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 Preliminary Proxy Statement</w:t>
      </w:r>
    </w:p>
    <w:p>
      <w:pPr>
        <w:spacing w:after="0" w:line="23" w:lineRule="exact"/>
        <w:rPr>
          <w:sz w:val="24"/>
          <w:szCs w:val="24"/>
          <w:color w:val="auto"/>
        </w:rPr>
      </w:pPr>
    </w:p>
    <w:p>
      <w:pPr>
        <w:ind w:left="660" w:right="4460" w:hanging="4"/>
        <w:spacing w:after="0" w:line="250" w:lineRule="auto"/>
        <w:tabs>
          <w:tab w:leader="none" w:pos="8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 Fee paid previously with preliminary materials.</w:t>
      </w:r>
    </w:p>
    <w:p>
      <w:pPr>
        <w:spacing w:after="0" w:line="23" w:lineRule="exact"/>
        <w:rPr>
          <w:sz w:val="24"/>
          <w:szCs w:val="24"/>
          <w:color w:val="auto"/>
        </w:rPr>
      </w:pPr>
    </w:p>
    <w:p>
      <w:pPr>
        <w:ind w:left="660" w:hanging="328"/>
        <w:spacing w:after="0" w:line="290" w:lineRule="auto"/>
        <w:tabs>
          <w:tab w:leader="none" w:pos="486" w:val="left"/>
        </w:tabs>
        <w:numPr>
          <w:ilvl w:val="1"/>
          <w:numId w:val="3"/>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448945</wp:posOffset>
            </wp:positionV>
            <wp:extent cx="1371600" cy="164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behalf of the Board of Directors, I cordially invite you to participate in the Annual Meeting of Shareholders of Ocwen Financial Corporation, which will be held on Wednesday, May 27, 2020, at 9:00 a.m., Eastern Daylight Time. In light of public health concerns regarding the coronavirus outbreak, we will be hosting this year’s Annual Meeting in a virtual format only via live audiocast on the Internet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To participate, vote or submit questions during the Annual Meeting via live audiocast, please review the detailed procedures included in our Notice of Annual Meeting. You will not be able to attend the Annual Meeting in person. This does not represent a change in our shareholder engagement philosophy and we intend to return to an in-person meeting next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matters to be considered by shareholders at the Annual Meeting are described in detail in the accompanying materials.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cannot vote your shares at the Annual Meeting unless you have obtained a legal proxy from your brokerage firm, bank, broker-dealer, or similar organization.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37160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27,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21"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27, 2020</w:t>
      </w:r>
    </w:p>
    <w:p>
      <w:pPr>
        <w:spacing w:after="0" w:line="27"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9"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Virtual Meeting Only via Live Audiocast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for one-year terms or until their successors are elected and qualified;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an amendment to our Articles of Incorporation to implement a reverse stock split of our issued and outstanding common stock in a ratio between 1-for-5 and 1-for-25 and reduce the number of authorized shares of our common stock by the same proportion as the ratio of our reverse stock split;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adjourn the Annual Meeting, if necessary or appropriate, to solicit additional proxies if there are not sufficient votes at the time of the Annual Meeting to approve Proposal Four;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27, 2020 as the record date for the determination of shareholders entitled to notice of and to vote at the Annual Meeting.</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you would like to attend the virtual meeting and you have your control number, please go to </w:t>
      </w:r>
      <w:r>
        <w:rPr>
          <w:rFonts w:ascii="Arial" w:cs="Arial" w:eastAsia="Arial" w:hAnsi="Arial"/>
          <w:sz w:val="16"/>
          <w:szCs w:val="16"/>
          <w:u w:val="single" w:color="auto"/>
          <w:color w:val="auto"/>
        </w:rPr>
        <w:t>www.virtualshareholdermeeting.com/OCN2020</w:t>
      </w:r>
      <w:r>
        <w:rPr>
          <w:rFonts w:ascii="Arial" w:cs="Arial" w:eastAsia="Arial" w:hAnsi="Arial"/>
          <w:sz w:val="16"/>
          <w:szCs w:val="16"/>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800-586-1548 (US) or 303-562-9288 (International).</w:t>
      </w:r>
    </w:p>
    <w:p>
      <w:pPr>
        <w:spacing w:after="0" w:line="16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you wish to submit a question during the Annual Meeting, log into the virtual meeting platform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This proxy statement for our 2020 Annual Meeting of Shareholders and our Annual Report to shareholders on Form 10-K for the year ended December 31, 2019 will be available on or about April 27, 2020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27, 2020.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have questions for Ocwen Financial Corporation regarding this virtual Annual Meeting, please contact our shareholder relations department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54305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Joseph J. Samarias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2020</w:t>
      </w:r>
    </w:p>
    <w:p>
      <w:pPr>
        <w:sectPr>
          <w:pgSz w:w="11900" w:h="16838" w:orient="portrait"/>
          <w:cols w:equalWidth="0" w:num="1">
            <w:col w:w="11240"/>
          </w:cols>
          <w:pgMar w:left="320" w:top="688" w:right="3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This proxy statement is being furnished to you in connection with the solicitation of proxies by the Board of Directors of Ocwen Financial Corporation (“Ocwen,” the “Company,” “we,” “us,” or “our”) for use at our 2020 Annual Meeting of Shareholders (the “Annual Meeting”) and at any postponement or adjournment of this meeting. The approximate date on which this proxy statement, the proxy card and other accompanying materials are first being sent or given to shareholders is April 27, 2020. The Annual Meeting will be held on Wednesday, May 27, 2020, at 9:00 a.m., Eastern Daylight Time, for the purposes listed in the Notice of Annual Meeting of Shareholders. In light of public health concerns regarding the coronavirus outbreak, we will be hosting this year’s Annual Meeting via live audiocast on the Internet at </w:t>
      </w:r>
      <w:r>
        <w:rPr>
          <w:rFonts w:ascii="Arial" w:cs="Arial" w:eastAsia="Arial" w:hAnsi="Arial"/>
          <w:sz w:val="17"/>
          <w:szCs w:val="17"/>
          <w:u w:val="single" w:color="auto"/>
          <w:color w:val="auto"/>
        </w:rPr>
        <w:t>www.virtualshareholdermeeting.com/OCN2020</w:t>
      </w:r>
      <w:r>
        <w:rPr>
          <w:rFonts w:ascii="Arial" w:cs="Arial" w:eastAsia="Arial" w:hAnsi="Arial"/>
          <w:sz w:val="17"/>
          <w:szCs w:val="17"/>
          <w:color w:val="auto"/>
        </w:rPr>
        <w:t>. This does not represent a change in our shareholder engagement philosophy and we intend to return to an in-person meeting next year. If you are interested in participating in the virtual meeting, voting or submitting questions at that time, please see “Annual Meeting Participation” below for further details. Please note that except as otherwise specified, all share and dollar amounts set forth in this Proxy Statement are on a pre-Reverse Stock Split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has appointed Glen A. Messina, President and Chief Executive Officer, and Joseph J. Samarias, Executive Vice President,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seven nominees for Director;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2020;</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 (“Say-on-Pay”);</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Four (Advisory Approval of an Amendment to the Articles of Incorporation to Effect a Reverse Stock Split) - “FOR” approval, on an advisory basis, of an amendment to our Articles of Incorporation to implement a reverse stock split of our issued and outstanding common stock in a ratio between 1-for-5 and 1-for-25 and reduce the number of authorized shares of our common stock by the same proportion as the ratio of our reverse stock split</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Five (Adjournment of Meeting to Solicit Additional Proxies for Proposal Four) - “FOR” approval of a proposal to adjourn the Annual Meeting, if necessary or appropriate, to solicit additional proxies if there are not sufficient votes at the time of the Annual Meeting to approve Proposal Four;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49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Joseph J. Samarias,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08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13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interested in participating in the virtual Annual Meeting, voting or submitting questions at that time, please see “Annual Meeting Participation” below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all matters properly presented at the Annual Meeting, each share of our common stock is entitled to one vote. All shareholders who owned our common stock as of the close of business on March 27, 2020 (the “Record Date”) are cordially invited to participate in the 2020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134,956,288 shares of common stock issued and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cannot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then the rules of the New York Stock Exchange provide Brokers discretionary power to vote your shares even if you do not provide instructions. “Routine” matters include proposals to ratify the appointment of the independent registered public accounting firm, provide advisory approval of an amendment to our Articles of Incorporation to implement a reverse stock split, and approve a proposal to authorize an adjournment of the Annual Meeting to solicit additional proxies for Proposal Four. If, however, the proposal involves a “non-routine” matter, such as the proposals to elect directors and vote on executive compensation,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2020, Proposal Four to approve a reverse stock split of our issued and outstanding common stock and reduce the number of authorized shares of our common stock by the same proportion as the ratio of our reverse stock split, or Proposal Five to authorize an adjournment of the Annual Meeting to solicit additional proxies for Proposal Four, your shares will constitute broker “non-votes” on each of the other proposals at the Annual Meeting. Therefore, it is important that you provide instructions to your Broker if your shares are held by a Broker so that your votes with respect to election of directors and Say-on-Pay are counted.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2020, Proposal Three to approve the Say-on-Pay, Proposal Four to approve a reverse stock split of our issued and outstanding common stock and reduce the number of authorized shares of our common stock by the same proportion as the ratio of our reverse stock split, and Proposal Five to authorize an adjournment of the Annual Meeting to solicit additional proxies for Proposal Four,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2020 and Proposal Three to approve the Say-on-Pay are advisory in nature, there is no specific requirement for approval for these proposals. It will be up to the Audit Committee and the Compensation and Human Capital Committee with respect to Proposals Two and Three, respectively, as well as the Board of Directors, to determine whether and how to implement the advisory votes on the ratification of the appointment of our independent registered public accounting firm and Say-on-Pay. In addition, Proposal Four to approve a reverse stock split of our issued and outstanding common stock and reduce the number of authorized shares of our common stock by the same proportion as the ratio of our reverse stock split is also advisory in nature. Under Florida law, because we are reducing our authorized shares proportionately, our Board is not required to submit the proposal regarding our reverse stock split to shareholders and may elect, as it determines to be in the best interests of the Company and our shareholders, whether or not to effect a Reverse Stock Split, and if so, at which split ratio. However, while our Board is seeking, and will give appropriate consideration to, advisory feedback from our shareholders in the form of Proposal Four, our Board may elect to implement a Reverse Stock Split at its sole discretion, even if the proposed Reverse Stock Split is not approved by our shareholders.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89" w:lineRule="auto"/>
        <w:rPr>
          <w:sz w:val="20"/>
          <w:szCs w:val="20"/>
          <w:color w:val="auto"/>
        </w:rPr>
      </w:pPr>
      <w:r>
        <w:rPr>
          <w:rFonts w:ascii="Arial" w:cs="Arial" w:eastAsia="Arial" w:hAnsi="Arial"/>
          <w:sz w:val="16"/>
          <w:szCs w:val="16"/>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2020, Proposal Three to approve the Say-on-Pay, Proposal Four to approve a reverse stock split of our issued and outstanding common stock and reduce the number of authorized shares of our common stock by the same proportion as the ratio of our reverse stock split, or Proposal Five to authorize an adjournment of the Annual Meeting to solicit additional proxies for Proposal Four and therefore will not be counted in determining the outcome of those proposals.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the Say-on-Pay.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Participation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light of public health concerns regarding the coronavirus outbreak and to support the health and wellbeing of our shareholders, our directors, and our employees, we will be hosting this year’s Annual Meeting via live audiocast on the Internet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You will not be able to attend the Annual Meeting in person. This does not represent a change in our shareholder engagement philosophy and we intend to return to an in-person meeting next year. Our shareholders will be afforded the same opportunities to participate at the virtual Annual Meeting as they would at an in-person annual meeting of shareholders.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hareholders of record will be able to vote and ask questions online during the meeting. If you would like to attend the virtual Annual Meeting and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your control number, please go to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cannot vote your shares at the Annual Meeting unless you have obtained a legal proxy from your Broker. Please contact your Broker for further information.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Arial" w:cs="Arial" w:eastAsia="Arial" w:hAnsi="Arial"/>
          <w:sz w:val="18"/>
          <w:szCs w:val="18"/>
          <w:u w:val="single" w:color="auto"/>
          <w:color w:val="auto"/>
        </w:rPr>
        <w:t>http://www.ocwen.com</w:t>
      </w:r>
      <w:r>
        <w:rPr>
          <w:rFonts w:ascii="Arial" w:cs="Arial" w:eastAsia="Arial" w:hAnsi="Arial"/>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technical assistance when logging into the virtual Annual Meeting, please call 800-586-1548 (US) or 303-562-9288 (International).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you plan to attend the virtual Annual Meeting, we request you notify us no less than seven days in advance at </w:t>
      </w:r>
      <w:r>
        <w:rPr>
          <w:rFonts w:ascii="Arial" w:cs="Arial" w:eastAsia="Arial" w:hAnsi="Arial"/>
          <w:sz w:val="18"/>
          <w:szCs w:val="18"/>
          <w:b w:val="1"/>
          <w:bCs w:val="1"/>
          <w:u w:val="single" w:color="auto"/>
          <w:color w:val="auto"/>
        </w:rPr>
        <w:t>shareholderrelations@ocwen.com</w:t>
      </w:r>
      <w:r>
        <w:rPr>
          <w:rFonts w:ascii="Arial" w:cs="Arial" w:eastAsia="Arial" w:hAnsi="Arial"/>
          <w:sz w:val="18"/>
          <w:szCs w:val="18"/>
          <w:b w:val="1"/>
          <w:bCs w:val="1"/>
          <w:color w:val="auto"/>
        </w:rPr>
        <w:t xml:space="preserve"> (i.e. no later than May 20, 2020) to assist us in our preparations for the virtual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by their nature address matters that are, to different degrees, uncertain. Our business has been undergoing substantial change and we are in the midst of a period of significant capital markets volatility and experiencing significant changes within the mortgage lending and servicing ecosystem which has magnified such uncertainties. In addition, there is significant uncertainty relating to the economic impact of the global COVID-19 pandemic, including the response of the U.S. government, state governments, and regulators, and disruption in the financial markets. Readers should bear these factors in mind when considering such statements and should not place undue reliance on such statements. 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2019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May 30, 2019, our Board of Directors fixed the number of directors at nine. Following the retirement of Robert A. Salcetti effective July 31, 2019, our Board has had eight directors. As Robert J. Lipstein has informed the Board of Directors that 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leadership of our Board, the Company demonstrated strong execution on our key strategic initiatives throughout 2019, including integrating PHH Corporation, growing our originations platform, re-engineering our cost structure, diversifying our funding sources, and fulfilling our regulatory commitments. The Company built a significant originations platform which includes all our channels for sourcing owned MSRs and subservicing, reduced costs and complexity through a legal entity reorganization in which we merged two of our licensed operating entities, Ocwen Loan Servicing, LLC and Homeward Residential, Inc., into PHH Mortgage Corporation, and completed the transition to the Black Knight Financial Services, Inc. LoanSphere MSP® servicing system. During the current highly challenging environment created by the global COVID-19 pandemic and related disruption in the financial markets and our industry, the Board remains committed to addressing our critical near-term challenges and positioning the Company to execute on our strategic priorities while maximizing value for our shareholders.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put the Company in the best position to execute on these initiatives, the Nomination/Governance Committee and the Board evaluated the skillsets and experiential perspectives of our directors as well as individuals recommended as potential nominees and, consistent with our Board Diversity Policy and our Corporate Governance Guidelines, identified a set of director nominees with individual backgrounds that, when combined, provide a portfolio of experience and knowledge that will best serve the Company’s strategic and governance needs.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Phyllis R. Caldwell. </w:t>
      </w:r>
      <w:r>
        <w:rPr>
          <w:rFonts w:ascii="Arial" w:cs="Arial" w:eastAsia="Arial" w:hAnsi="Arial"/>
          <w:sz w:val="16"/>
          <w:szCs w:val="16"/>
          <w:color w:val="auto"/>
        </w:rPr>
        <w:t>Ms. Caldwell became Chair of the Board of Directors on March 15, 2016. Ms. Caldwell has served as a director of Ocwen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2015. Ms. Caldwell is founder and managing member of Wroxton Civic Ventures, LLC, which provides advisory services on various financial, housing and economic development matters, a position she has held since January 2012.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 2014, Ms. Caldwell has served as an independent director of City First Bank of DC. Since October 2018, Ms. Caldwell has also served as a member of the board of directors of MicroVest Holdings, Inc. From January 2014 through September 2018, Ms. Caldwell served as an independent director of American Capital Senior Floating, Ltd. (NASDAQ: ACSF), a publicly traded business development company.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Jenne K. Britell. </w:t>
      </w:r>
      <w:r>
        <w:rPr>
          <w:rFonts w:ascii="Arial" w:cs="Arial" w:eastAsia="Arial" w:hAnsi="Arial"/>
          <w:sz w:val="17"/>
          <w:szCs w:val="17"/>
          <w:color w:val="auto"/>
        </w:rPr>
        <w:t>Dr. Britell has served as a director of Ocwen since February 2019. Dr. Britell served as a director of United Rentals, Inc. from 2006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including as its non-executive Chairman from 2008 to 2019. Dr. Britell also served as a director of Quest Diagnostics Inc., including as a member of its Audit and Finance Committee, from 2005 to 2019. From 2000 through 2017, Dr. Britell served as a director of Crown Holdings, Inc., including as Chairman of the Audit Committee. From 2001 to 2009, Dr. Britell was Chairman and Chief Executive Officer of Structured Ventures, Inc., advisors to U.S. and multinational companies. From 1996 to 2000, Dr. Britell was a senior executive of GE Capital. At GE Capital, she most recently served as the Executive Vice President of Global Consumer Finance and President of Global Commercial and Mortgage Banking. From January 1998 to July 1999, she was President and Chief Executive Officer of GE Capital, Central and Eastern Europe. Before joining GE Capital, she held significant management positions with Dime Bancorp, Inc., HomePower, Inc., Citicorp and Republic New York Corporation. Earlier, she was the founding Chairman and Chief Executive Officer of the Polish-American Mortgage Bank. Dr. Britell’s extensive prior board service also includes serving as Lead Director for Aames Investment Corp., as a trustee for the Teachers Insurance and Annuity Association (TIAA-CREF), including as a member of its Executive, Strategic Planning, and Mortgage Banking Committees, and as a director for Lincoln National Corp., including as a member of its Audit and Governance Committees, in addition to numerous civic and philanthropic boards.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Alan J. Bowers. </w:t>
      </w:r>
      <w:r>
        <w:rPr>
          <w:rFonts w:ascii="Arial" w:cs="Arial" w:eastAsia="Arial" w:hAnsi="Arial"/>
          <w:sz w:val="16"/>
          <w:szCs w:val="16"/>
          <w:color w:val="auto"/>
        </w:rPr>
        <w:t>Mr. Bowers has served as a director of Ocwen since May 2015. Mr. Bowers has also served as a Director of Walker &amp; Dunlop,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traded commercial real estate finance company, since December 2010, serves as its Lead Director, and serves on its Audit Committee and its Nominating and Corporate Governance Committee (Chair). Mr. Bowers also serves on the board and as Audit Committee Chair of CorePoint Lodging Group, a publicly traded lodging REIT, and serves on its Nominating/Governance and Compensation Committees. From July 2013 to May 2018, Mr. Bowers served as a Director of La Quinta Inns &amp; Suites, a publicly traded hotel chain. From 2006 to 2015, Mr. Bowers served as a Director of American Achievement Corp., a privately-held manufacturer and distributer of graduation products.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Chair of Refrigerated Holdings, Inc., a temperature controlled logistics firm (from January 2009 to April 2013); Roadlink Inc., a trucking and logistics firm (from February 2010 to April 2013); and Fastfrate Holdings, Inc., a Canadian 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 of Business Administration from St. John’s University.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Jacques J. Busquet. </w:t>
      </w:r>
      <w:r>
        <w:rPr>
          <w:rFonts w:ascii="Arial" w:cs="Arial" w:eastAsia="Arial" w:hAnsi="Arial"/>
          <w:sz w:val="16"/>
          <w:szCs w:val="16"/>
          <w:color w:val="auto"/>
        </w:rPr>
        <w:t>Mr. Busquet has served as a director of Ocwen since January 2016. Mr. Busquet was formerly Chief Risk Officer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Natixis North America LLC and a member of the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July 1, 2016, Mr. Busquet has served as a director of Mizuho Americas LLC, the US Bank Holding Company of Mizuho Financial Group, Inc.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 years. Mr. Busquet has a Master of Business Administration in Finance from each of The Wharton School of the University of Pennsylvania and Hautes Études Commerciales (HEC), Paris.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Glen A. Messina. </w:t>
      </w:r>
      <w:r>
        <w:rPr>
          <w:rFonts w:ascii="Arial" w:cs="Arial" w:eastAsia="Arial" w:hAnsi="Arial"/>
          <w:sz w:val="17"/>
          <w:szCs w:val="17"/>
          <w:color w:val="auto"/>
        </w:rPr>
        <w:t>Mr. Messina has served as President and Chief Executive Officer and as a director of Ocwen since October 2018.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 from 2008 until July 2011.</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Lincoln Gardens since 1990. He formerly served as New Jersey Secretary of State from 1999 to 2002 and as Chair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Chair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Kevin Stein. </w:t>
      </w:r>
      <w:r>
        <w:rPr>
          <w:rFonts w:ascii="Arial" w:cs="Arial" w:eastAsia="Arial" w:hAnsi="Arial"/>
          <w:sz w:val="16"/>
          <w:szCs w:val="16"/>
          <w:color w:val="auto"/>
        </w:rPr>
        <w:t>Mr. Stein has served as a director of Ocwen since February 2019. He is a Senior Managing Director of EJF Capital LLC. From March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Mr. Stein served as Chief Executive Officer of Resolution Analytica Corp., a buyer of commercial judgments. From March 2016 through March 2017, he served as Senior Managing Director of KCK US, Inc., a private equity firm. Mr. Stein was previously a Managing Director in the Financial Institutions Group of Barclays until 2016. Prior to joining Barclays in 2011, Mr. Stein was a Partner at FBR Capital Markets &amp; Co. From 1994 to 2004, Mr. Stein was an executive of GreenPoint Financial Corporation, a bank holding company. Prior to joining GreenPoint in 1994, Mr. Stein was an Associate Director of the Federal Deposit Insurance Corporation, Division of Resolutions. Mr. Stein is the Audit Chair of Dime Community Bancshares, Inc., and has served as a director since December 2017. Mr. Stein also served as a director of PHH from June 2017 until its acquisition by the Company in October 2018. Mr. Stein is also a director and Chair of the Audit Committee of Bedford Stuyvesant Restoration Corporation.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Stein was selected to serve as a member of our Board of Directors due to his knowledge regarding the financial services industry and his mortgage servicing experience, including his prior service as a director of PHH.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Robert J. Lipstein. </w:t>
      </w:r>
      <w:r>
        <w:rPr>
          <w:rFonts w:ascii="Arial" w:cs="Arial" w:eastAsia="Arial" w:hAnsi="Arial"/>
          <w:sz w:val="17"/>
          <w:szCs w:val="17"/>
          <w:color w:val="auto"/>
        </w:rPr>
        <w:t>Mr. Lipstein has served as a director of Ocwen since March 2017. Since May 2019, Mr. Lipstein has served as a board member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Chair of Seacoast Banking Corp. Mr. Lipstein was formerly a partner with KPMG LLP and served as the Global IT Partner in Charge of Business Services from 2014 to 2016 and as an Advisory Business Unit Partner in Charge for its Mid-Atlantic Region from 2009 to 2014. His career at KPMG LLP began in 1977. In January 2017, he became a director at CrossCountry Consulting, a privately-held consulting firm that focuses on corporate advisory services. Since January 2013, he has served as an Advisory Board Member of the Weinberg Center for Corporate Governance at the University of Delaware. Mr. Lipstein has a Bachelor of Science in Accounting from the University of Delaware.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held 14 meetings and acted by unanimous written consent six times in 2019. Each incumbent director who served as a director during 2019 attended at least 75% of the aggregate of these meetings and all meetings held by all committees of our Board of Directors on which he or she served during 2019. Directors are expected to attend the annual meeting of shareholders (including via electronic participation) and a director who is unable to attend is expected to notify the Company Secretary in advance of such meeting. Our 2019 Annual Meeting of Shareholders was attended by all directors in office on the date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 Caldwell, Messrs. Bowers, Busquet, and Stein, and Drs. Britell and Soaries are independent directors. In addition, our Board of Directors has previously determined that Mr. Salcetti, who served as a director through July 31, 2019, qualified as an independent director, and Mr. Lipstein, who is retiring immediately prior to the Annual Meeting, is an independent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2019 performance self-assessments were conducted in the first quarter of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of Directors believes that separating the positions of Chief Executive Officer and Chair of the Board of Directors is the best structure to fit the Company’s needs at this time. However, 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As Chair of the Board, Ms. Caldwell leads the Board of Directors and oversees Board meetings and the delivery of information necessary for the Board’s informed decision-making. As our President and Chief Executive Officer, Mr. Messina is responsible for our day-to-day operations and for formulating and executing our long-term strategies in collaboration with the Board of Directors.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and Human</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Nomination/</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Risk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Age</w:t>
            </w:r>
            <w:r>
              <w:rPr>
                <w:rFonts w:ascii="Arial" w:cs="Arial" w:eastAsia="Arial" w:hAnsi="Arial"/>
                <w:sz w:val="26"/>
                <w:szCs w:val="26"/>
                <w:b w:val="1"/>
                <w:bCs w:val="1"/>
                <w:color w:val="auto"/>
                <w:w w:val="85"/>
                <w:vertAlign w:val="superscript"/>
              </w:rPr>
              <w:t>(1)</w:t>
            </w:r>
          </w:p>
        </w:tc>
        <w:tc>
          <w:tcPr>
            <w:tcW w:w="100" w:type="dxa"/>
            <w:vAlign w:val="bottom"/>
            <w:vMerge w:val="restart"/>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Director</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Audit</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Capital</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Governance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Compliance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Executive</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Since</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0" w:type="dxa"/>
            <w:vAlign w:val="bottom"/>
          </w:tcPr>
          <w:p>
            <w:pPr>
              <w:spacing w:after="0"/>
              <w:rPr>
                <w:sz w:val="1"/>
                <w:szCs w:val="1"/>
                <w:color w:val="auto"/>
              </w:rPr>
            </w:pPr>
          </w:p>
        </w:tc>
      </w:tr>
      <w:tr>
        <w:trPr>
          <w:trHeight w:val="232"/>
        </w:trPr>
        <w:tc>
          <w:tcPr>
            <w:tcW w:w="1940" w:type="dxa"/>
            <w:vAlign w:val="bottom"/>
            <w:gridSpan w:val="2"/>
          </w:tcPr>
          <w:p>
            <w:pPr>
              <w:spacing w:after="0"/>
              <w:rPr>
                <w:sz w:val="20"/>
                <w:szCs w:val="20"/>
                <w:color w:val="auto"/>
              </w:rPr>
            </w:pPr>
            <w:r>
              <w:rPr>
                <w:rFonts w:ascii="Arial" w:cs="Arial" w:eastAsia="Arial" w:hAnsi="Arial"/>
                <w:sz w:val="16"/>
                <w:szCs w:val="16"/>
                <w:color w:val="auto"/>
              </w:rPr>
              <w:t>Alan J. Bowers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0"/>
                <w:szCs w:val="20"/>
                <w:color w:val="auto"/>
              </w:rPr>
            </w:pPr>
          </w:p>
        </w:tc>
        <w:tc>
          <w:tcPr>
            <w:tcW w:w="1100" w:type="dxa"/>
            <w:vAlign w:val="bottom"/>
          </w:tcPr>
          <w:p>
            <w:pPr>
              <w:jc w:val="center"/>
              <w:spacing w:after="0" w:line="232"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40" w:type="dxa"/>
            <w:vAlign w:val="bottom"/>
            <w:gridSpan w:val="2"/>
          </w:tcPr>
          <w:p>
            <w:pPr>
              <w:spacing w:after="0"/>
              <w:rPr>
                <w:sz w:val="20"/>
                <w:szCs w:val="20"/>
                <w:color w:val="auto"/>
              </w:rPr>
            </w:pPr>
            <w:r>
              <w:rPr>
                <w:rFonts w:ascii="Arial" w:cs="Arial" w:eastAsia="Arial" w:hAnsi="Arial"/>
                <w:sz w:val="16"/>
                <w:szCs w:val="16"/>
                <w:color w:val="auto"/>
              </w:rPr>
              <w:t>Jacques J. Busquet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rPr>
                <w:sz w:val="20"/>
                <w:szCs w:val="20"/>
                <w:color w:val="auto"/>
              </w:rPr>
            </w:pPr>
            <w:r>
              <w:rPr>
                <w:rFonts w:ascii="Arial" w:cs="Arial" w:eastAsia="Arial" w:hAnsi="Arial"/>
                <w:sz w:val="16"/>
                <w:szCs w:val="16"/>
                <w:color w:val="auto"/>
              </w:rPr>
              <w:t>Jenne K. Britell</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77</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spacing w:after="0"/>
              <w:rPr>
                <w:sz w:val="20"/>
                <w:szCs w:val="20"/>
                <w:color w:val="auto"/>
              </w:rPr>
            </w:pPr>
            <w:r>
              <w:rPr>
                <w:rFonts w:ascii="Arial" w:cs="Arial" w:eastAsia="Arial" w:hAnsi="Arial"/>
                <w:sz w:val="16"/>
                <w:szCs w:val="16"/>
                <w:color w:val="auto"/>
              </w:rPr>
              <w:t>Phyllis R. Caldwell</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244"/>
        </w:trPr>
        <w:tc>
          <w:tcPr>
            <w:tcW w:w="1940" w:type="dxa"/>
            <w:vAlign w:val="bottom"/>
            <w:gridSpan w:val="2"/>
          </w:tcPr>
          <w:p>
            <w:pPr>
              <w:spacing w:after="0" w:line="243" w:lineRule="exact"/>
              <w:rPr>
                <w:sz w:val="20"/>
                <w:szCs w:val="20"/>
                <w:color w:val="auto"/>
              </w:rPr>
            </w:pPr>
            <w:r>
              <w:rPr>
                <w:rFonts w:ascii="Arial" w:cs="Arial" w:eastAsia="Arial" w:hAnsi="Arial"/>
                <w:sz w:val="16"/>
                <w:szCs w:val="16"/>
                <w:color w:val="auto"/>
              </w:rPr>
              <w:t>Robert J. Lipstein</w:t>
            </w:r>
            <w:r>
              <w:rPr>
                <w:rFonts w:ascii="Arial" w:cs="Arial" w:eastAsia="Arial" w:hAnsi="Arial"/>
                <w:sz w:val="26"/>
                <w:szCs w:val="26"/>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Glen A. Messina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32"/>
                <w:szCs w:val="32"/>
                <w:color w:val="auto"/>
                <w:w w:val="86"/>
                <w:vertAlign w:val="subscript"/>
              </w:rPr>
              <w:t>X</w:t>
            </w:r>
            <w:r>
              <w:rPr>
                <w:rFonts w:ascii="Arial" w:cs="Arial" w:eastAsia="Arial" w:hAnsi="Arial"/>
                <w:sz w:val="13"/>
                <w:szCs w:val="13"/>
                <w:color w:val="auto"/>
                <w:w w:val="86"/>
              </w:rPr>
              <w:t>(2)</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39"/>
        </w:trPr>
        <w:tc>
          <w:tcPr>
            <w:tcW w:w="1940" w:type="dxa"/>
            <w:vAlign w:val="bottom"/>
            <w:gridSpan w:val="2"/>
          </w:tcPr>
          <w:p>
            <w:pPr>
              <w:spacing w:after="0"/>
              <w:rPr>
                <w:sz w:val="20"/>
                <w:szCs w:val="20"/>
                <w:color w:val="auto"/>
              </w:rPr>
            </w:pPr>
            <w:r>
              <w:rPr>
                <w:rFonts w:ascii="Arial" w:cs="Arial" w:eastAsia="Arial" w:hAnsi="Arial"/>
                <w:sz w:val="16"/>
                <w:szCs w:val="16"/>
                <w:color w:val="auto"/>
              </w:rPr>
              <w:t>DeForest B. Soaries, Jr.</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Kevin Stein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As of April 15, 2020</w:t>
      </w:r>
    </w:p>
    <w:p>
      <w:pPr>
        <w:spacing w:after="0" w:line="42" w:lineRule="exact"/>
        <w:rPr>
          <w:rFonts w:ascii="Arial" w:cs="Arial" w:eastAsia="Arial" w:hAnsi="Arial"/>
          <w:sz w:val="26"/>
          <w:szCs w:val="26"/>
          <w:color w:val="auto"/>
          <w:vertAlign w:val="superscript"/>
        </w:rPr>
      </w:pPr>
    </w:p>
    <w:p>
      <w:pPr>
        <w:ind w:left="220" w:hanging="212"/>
        <w:spacing w:after="0" w:line="194" w:lineRule="auto"/>
        <w:tabs>
          <w:tab w:leader="none" w:pos="22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Committee Chair</w:t>
      </w:r>
    </w:p>
    <w:p>
      <w:pPr>
        <w:spacing w:after="0" w:line="42" w:lineRule="exact"/>
        <w:rPr>
          <w:rFonts w:ascii="Arial" w:cs="Arial" w:eastAsia="Arial" w:hAnsi="Arial"/>
          <w:sz w:val="23"/>
          <w:szCs w:val="23"/>
          <w:color w:val="auto"/>
          <w:vertAlign w:val="superscript"/>
        </w:rPr>
      </w:pPr>
    </w:p>
    <w:p>
      <w:pPr>
        <w:ind w:firstLine="8"/>
        <w:spacing w:after="0"/>
        <w:tabs>
          <w:tab w:leader="none" w:pos="212"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In connection with his retirement from our Board of Directors at the Annual Meeting, Mr. Lipstein will step down from his membership on the Audit Committee.</w:t>
      </w:r>
    </w:p>
    <w:p>
      <w:pPr>
        <w:spacing w:after="0" w:line="3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public accounting firm,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members of the Audit Committee are Messrs. Bowers (Chair), Lipstein and Stein.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occasionally reviews it more frequently. When circumstances require, the charter is amended and the revised version posted on our website. This Committee met 11 times in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Compensation and Human Capital Committee. </w:t>
      </w:r>
      <w:r>
        <w:rPr>
          <w:rFonts w:ascii="Arial" w:cs="Arial" w:eastAsia="Arial" w:hAnsi="Arial"/>
          <w:sz w:val="16"/>
          <w:szCs w:val="16"/>
          <w:color w:val="auto"/>
        </w:rPr>
        <w:t>The Compensation and Human Capital Committee (Compensation Committee)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oversees our compensation and employee benefit plans and practices.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and the 2017 Performance Incentive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members of the Compensation Committee are Dr. Soaries (Chair), Mr. Busquet and Dr. Britell.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Our Compensation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Compensation Committee generally reviews its charter annually and occasionally reviews it more frequently. When circumstances require, the charter is amended and the revised version posted on our website. This Committee met nine times in 2019.</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Soaries, Messrs. Busquet and Lipstein, and Dr. Britell served as members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during 2019. None of such members were, at any time during the 2019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2019 fiscal year. No member of the Compensation Committee had any relationship with us requiring disclosure under Item 404 of Securities and Exchange Commission Regulation S-K.</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members of the Nomination/Governance Committee are Ms. Caldwell (Chair) and Drs. Britell and Soaries. Each member of our Nomination/Governance Committee is independent as defined in the listing standards of the New York Stock Exchange.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Nomination/Governance Committee generally reviews its charter annually and occasionally reviews it more frequently. When circumstances require, the charter is amended and the revised version posted on our website. This Committee met 13 times in 2019.</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Risk and Compliance Committee. </w:t>
      </w:r>
      <w:r>
        <w:rPr>
          <w:rFonts w:ascii="Arial" w:cs="Arial" w:eastAsia="Arial" w:hAnsi="Arial"/>
          <w:sz w:val="16"/>
          <w:szCs w:val="16"/>
          <w:color w:val="auto"/>
        </w:rPr>
        <w:t>The Risk and Compliance Committee of our Board of Directors provides assistance to the Board of Directors with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The current members of the Risk and Compliance Committee are Messrs. Busquet (Chair) and Messrs. Bowers and Stein, all of whom are independent directors as defined in the listing standards of the New York Stock Exchange.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Risk and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Risk and Compliance Committee generally reviews its charter annually and occasionally reviews it more frequently. When circumstances require, the charter will be amended and the revised version posted on our website. This Committee met eight times in 2019.</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if necessary. The current members of the Executive Committee are Ms. Caldwell (Chair) and Messrs. Messina and Busquet.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Other Committees. </w:t>
      </w:r>
      <w:r>
        <w:rPr>
          <w:rFonts w:ascii="Arial" w:cs="Arial" w:eastAsia="Arial" w:hAnsi="Arial"/>
          <w:sz w:val="17"/>
          <w:szCs w:val="17"/>
          <w:color w:val="auto"/>
        </w:rPr>
        <w:t>Our Board of Directors has the authority to form additional standing or temporary committees, and delegate appropriate authority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Nomination/Governance Committee periodically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May 30, 2019, our Board of Directors fixed the number of directors at nine. Following the retirement of Mr. Salcetti effective July 31, 2019, our Board has had eight directors. As Mr. Lipstein has informed the Board of Directors that 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In February 2019, we revised our prior policy that directors who have reached the age of 78 may generally not be nominated, as we believe it is more beneficial to focus on the qualifications, experience, and performance of our directors and director nominees and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Arial" w:cs="Arial" w:eastAsia="Arial" w:hAnsi="Arial"/>
          <w:sz w:val="16"/>
          <w:szCs w:val="16"/>
          <w:u w:val="single" w:color="auto"/>
          <w:color w:val="auto"/>
        </w:rPr>
        <w:t>www.ocwen.com.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6"/>
          <w:szCs w:val="16"/>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2021 Annual Meeting,” below for additional information about this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recommends amendments to the Board of Directors for approval.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Ms. Caldwell chairs executive sessions of the full Board of Directors. Our non-management directors met in executive sessions of the full Board without management during seven meetings in 2019. In addition, our Audit and Risk and Compliance Committees generally met in executive session at each regularly scheduled quarterly meeting and on other occasions when the members believed it was advisable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Chair,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General Counsel from time to time and the chair of the Risk and Compliance Committee meets independently with the Chief Risk and Compliance Officer and the General Counsel from time to time. Our directors have also visited various of our U.S. and international sites to meet generally with employees and senior management in those locations.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write to our Board of Directors through our website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Communications received in writing are distributed to our Board of Directors or to individual directors, as the General Counsel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 As discussed above, our Risk and Compliance Committee is responsible for monitoring the Company’s enterprise risk management framework, and regularly meets with the Chief Risk and Compliance Officer to discuss risk exposures and mitigation plans. This Committee monitors the Company’s evaluation and management of risks, including operational risk, regulatory compliance risks and cybersecurity risks, through reviews with management and it reviews and approves related party transactions. The Audit Committee monitors the Company’s financial risks through regular reviews of the Company’s financial activities with management and internal and external auditors. The Nomination/Governance Committee monitors the Company’s governance risk by regular review with management. The Compensation Committee monitors the Company’s compensation policies and related risks by regular reviews with management. 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compensation received for fiscal year 2019 by each member of our Board of Directors who was not employed by us or one of our subsidiaries and who served as a director during fiscal year 2019 (our “non-management directors”).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Fees Earned</w:t>
            </w: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Or Paid in Cash</w:t>
            </w:r>
          </w:p>
        </w:tc>
        <w:tc>
          <w:tcPr>
            <w:tcW w:w="2100" w:type="dxa"/>
            <w:vAlign w:val="bottom"/>
            <w:gridSpan w:val="2"/>
          </w:tcPr>
          <w:p>
            <w:pPr>
              <w:jc w:val="center"/>
              <w:ind w:right="300"/>
              <w:spacing w:after="0" w:line="252" w:lineRule="exact"/>
              <w:rPr>
                <w:sz w:val="20"/>
                <w:szCs w:val="20"/>
                <w:color w:val="auto"/>
              </w:rPr>
            </w:pPr>
            <w:r>
              <w:rPr>
                <w:rFonts w:ascii="Arial" w:cs="Arial" w:eastAsia="Arial" w:hAnsi="Arial"/>
                <w:sz w:val="29"/>
                <w:szCs w:val="29"/>
                <w:b w:val="1"/>
                <w:bCs w:val="1"/>
                <w:color w:val="auto"/>
                <w:w w:val="95"/>
                <w:vertAlign w:val="subscript"/>
              </w:rPr>
              <w:t>Awards</w:t>
            </w:r>
            <w:r>
              <w:rPr>
                <w:rFonts w:ascii="Arial" w:cs="Arial" w:eastAsia="Arial" w:hAnsi="Arial"/>
                <w:sz w:val="13"/>
                <w:szCs w:val="13"/>
                <w:b w:val="1"/>
                <w:bCs w:val="1"/>
                <w:color w:val="auto"/>
                <w:w w:val="95"/>
              </w:rPr>
              <w:t>(1)(2)(3)</w:t>
            </w: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w:t>
            </w: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Phyllis R. Caldwell</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34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Jenne K. Britell </w:t>
            </w:r>
            <w:r>
              <w:rPr>
                <w:rFonts w:ascii="Arial" w:cs="Arial" w:eastAsia="Arial" w:hAnsi="Arial"/>
                <w:sz w:val="29"/>
                <w:szCs w:val="29"/>
                <w:color w:val="auto"/>
                <w:vertAlign w:val="superscript"/>
              </w:rPr>
              <w:t>(4)</w:t>
            </w:r>
          </w:p>
        </w:tc>
        <w:tc>
          <w:tcPr>
            <w:tcW w:w="1800" w:type="dxa"/>
            <w:vAlign w:val="bottom"/>
          </w:tcPr>
          <w:p>
            <w:pPr>
              <w:jc w:val="right"/>
              <w:spacing w:after="0"/>
              <w:rPr>
                <w:sz w:val="20"/>
                <w:szCs w:val="20"/>
                <w:color w:val="auto"/>
              </w:rPr>
            </w:pPr>
            <w:r>
              <w:rPr>
                <w:rFonts w:ascii="Arial" w:cs="Arial" w:eastAsia="Arial" w:hAnsi="Arial"/>
                <w:sz w:val="18"/>
                <w:szCs w:val="18"/>
                <w:color w:val="auto"/>
              </w:rPr>
              <w:t>74,460</w:t>
            </w: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125,205</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199,665</w:t>
            </w:r>
          </w:p>
        </w:tc>
        <w:tc>
          <w:tcPr>
            <w:tcW w:w="100" w:type="dxa"/>
            <w:vAlign w:val="bottom"/>
          </w:tcPr>
          <w:p>
            <w:pPr>
              <w:spacing w:after="0"/>
              <w:rPr>
                <w:sz w:val="22"/>
                <w:szCs w:val="22"/>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123,500</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Jacques J. Busquet</w:t>
            </w:r>
          </w:p>
        </w:tc>
        <w:tc>
          <w:tcPr>
            <w:tcW w:w="1800" w:type="dxa"/>
            <w:vAlign w:val="bottom"/>
          </w:tcPr>
          <w:p>
            <w:pPr>
              <w:jc w:val="right"/>
              <w:spacing w:after="0"/>
              <w:rPr>
                <w:sz w:val="20"/>
                <w:szCs w:val="20"/>
                <w:color w:val="auto"/>
              </w:rPr>
            </w:pPr>
            <w:r>
              <w:rPr>
                <w:rFonts w:ascii="Arial" w:cs="Arial" w:eastAsia="Arial" w:hAnsi="Arial"/>
                <w:sz w:val="18"/>
                <w:szCs w:val="18"/>
                <w:color w:val="auto"/>
              </w:rPr>
              <w:t>124,500</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224,500</w:t>
            </w:r>
          </w:p>
        </w:tc>
        <w:tc>
          <w:tcPr>
            <w:tcW w:w="100" w:type="dxa"/>
            <w:vAlign w:val="bottom"/>
          </w:tcPr>
          <w:p>
            <w:pPr>
              <w:spacing w:after="0"/>
              <w:rPr>
                <w:sz w:val="18"/>
                <w:szCs w:val="18"/>
                <w:color w:val="auto"/>
              </w:rPr>
            </w:pPr>
          </w:p>
        </w:tc>
      </w:tr>
      <w:tr>
        <w:trPr>
          <w:trHeight w:val="257"/>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Carol J. Galante </w:t>
            </w:r>
            <w:r>
              <w:rPr>
                <w:rFonts w:ascii="Arial" w:cs="Arial" w:eastAsia="Arial" w:hAnsi="Arial"/>
                <w:sz w:val="29"/>
                <w:szCs w:val="29"/>
                <w:color w:val="auto"/>
                <w:vertAlign w:val="superscript"/>
              </w:rPr>
              <w:t>(5)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shd w:val="clear" w:color="auto" w:fill="CCEEFF"/>
          </w:tcPr>
          <w:p>
            <w:pPr>
              <w:spacing w:after="0"/>
              <w:rPr>
                <w:sz w:val="22"/>
                <w:szCs w:val="22"/>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Robert J. Lipstein</w:t>
            </w:r>
          </w:p>
        </w:tc>
        <w:tc>
          <w:tcPr>
            <w:tcW w:w="1800" w:type="dxa"/>
            <w:vAlign w:val="bottom"/>
          </w:tcPr>
          <w:p>
            <w:pPr>
              <w:jc w:val="right"/>
              <w:spacing w:after="0"/>
              <w:rPr>
                <w:sz w:val="20"/>
                <w:szCs w:val="20"/>
                <w:color w:val="auto"/>
              </w:rPr>
            </w:pPr>
            <w:r>
              <w:rPr>
                <w:rFonts w:ascii="Arial" w:cs="Arial" w:eastAsia="Arial" w:hAnsi="Arial"/>
                <w:sz w:val="18"/>
                <w:szCs w:val="18"/>
                <w:color w:val="auto"/>
              </w:rPr>
              <w:t>103,651</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203,651</w:t>
            </w:r>
          </w:p>
        </w:tc>
        <w:tc>
          <w:tcPr>
            <w:tcW w:w="100" w:type="dxa"/>
            <w:vAlign w:val="bottom"/>
          </w:tcPr>
          <w:p>
            <w:pPr>
              <w:spacing w:after="0"/>
              <w:rPr>
                <w:sz w:val="18"/>
                <w:szCs w:val="18"/>
                <w:color w:val="auto"/>
              </w:rPr>
            </w:pPr>
          </w:p>
        </w:tc>
      </w:tr>
      <w:tr>
        <w:trPr>
          <w:trHeight w:val="257"/>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A. Salcetti </w:t>
            </w:r>
            <w:r>
              <w:rPr>
                <w:rFonts w:ascii="Arial" w:cs="Arial" w:eastAsia="Arial" w:hAnsi="Arial"/>
                <w:sz w:val="29"/>
                <w:szCs w:val="29"/>
                <w:color w:val="auto"/>
                <w:vertAlign w:val="superscript"/>
              </w:rPr>
              <w:t>(6)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62,686</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162,686</w:t>
            </w:r>
          </w:p>
        </w:tc>
        <w:tc>
          <w:tcPr>
            <w:tcW w:w="100" w:type="dxa"/>
            <w:vAlign w:val="bottom"/>
            <w:shd w:val="clear" w:color="auto" w:fill="CCEEFF"/>
          </w:tcPr>
          <w:p>
            <w:pPr>
              <w:spacing w:after="0"/>
              <w:rPr>
                <w:sz w:val="22"/>
                <w:szCs w:val="22"/>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DeForest B. Soaries, Jr.</w:t>
            </w:r>
          </w:p>
        </w:tc>
        <w:tc>
          <w:tcPr>
            <w:tcW w:w="1800" w:type="dxa"/>
            <w:vAlign w:val="bottom"/>
          </w:tcPr>
          <w:p>
            <w:pPr>
              <w:jc w:val="right"/>
              <w:spacing w:after="0"/>
              <w:rPr>
                <w:sz w:val="20"/>
                <w:szCs w:val="20"/>
                <w:color w:val="auto"/>
              </w:rPr>
            </w:pPr>
            <w:r>
              <w:rPr>
                <w:rFonts w:ascii="Arial" w:cs="Arial" w:eastAsia="Arial" w:hAnsi="Arial"/>
                <w:sz w:val="18"/>
                <w:szCs w:val="18"/>
                <w:color w:val="auto"/>
              </w:rPr>
              <w:t>112,000</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tcPr>
          <w:p>
            <w:pPr>
              <w:spacing w:after="0"/>
              <w:rPr>
                <w:sz w:val="18"/>
                <w:szCs w:val="18"/>
                <w:color w:val="auto"/>
              </w:rPr>
            </w:pPr>
          </w:p>
        </w:tc>
      </w:tr>
      <w:tr>
        <w:trPr>
          <w:trHeight w:val="256"/>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Kevin Stein </w:t>
            </w:r>
            <w:r>
              <w:rPr>
                <w:rFonts w:ascii="Arial" w:cs="Arial" w:eastAsia="Arial" w:hAnsi="Arial"/>
                <w:sz w:val="29"/>
                <w:szCs w:val="29"/>
                <w:color w:val="auto"/>
                <w:vertAlign w:val="superscript"/>
              </w:rPr>
              <w:t>(4)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79,657</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125,205</w:t>
            </w: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204,862</w:t>
            </w:r>
          </w:p>
        </w:tc>
        <w:tc>
          <w:tcPr>
            <w:tcW w:w="100" w:type="dxa"/>
            <w:vAlign w:val="bottom"/>
            <w:shd w:val="clear" w:color="auto" w:fill="CCEEFF"/>
          </w:tcPr>
          <w:p>
            <w:pPr>
              <w:spacing w:after="0"/>
              <w:rPr>
                <w:sz w:val="22"/>
                <w:szCs w:val="22"/>
                <w:color w:val="auto"/>
              </w:rPr>
            </w:pPr>
          </w:p>
        </w:tc>
      </w:tr>
    </w:tbl>
    <w:p>
      <w:pPr>
        <w:spacing w:after="0" w:line="202" w:lineRule="exact"/>
        <w:rPr>
          <w:sz w:val="20"/>
          <w:szCs w:val="20"/>
          <w:color w:val="auto"/>
        </w:rPr>
      </w:pPr>
    </w:p>
    <w:p>
      <w:pPr>
        <w:jc w:val="both"/>
        <w:ind w:left="3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Amounts reported for stock awards represent the aggregate grant date fair value of awards granted during fiscal 2019 under the 2017 Performance Incentive Plan (the “2017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202" w:lineRule="exact"/>
        <w:rPr>
          <w:rFonts w:ascii="Arial" w:cs="Arial" w:eastAsia="Arial" w:hAnsi="Arial"/>
          <w:sz w:val="30"/>
          <w:szCs w:val="30"/>
          <w:color w:val="auto"/>
          <w:vertAlign w:val="superscript"/>
        </w:rPr>
      </w:pPr>
    </w:p>
    <w:p>
      <w:pPr>
        <w:jc w:val="both"/>
        <w:ind w:left="3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On May 30, 2019, our non-management directors received equity awards under the 2017 Plan for their service for the 2019-2020 term. Each award had a grant date fair value totaling $100,000 (with immaterial incremental value resulting from rounding to the next whole share). Each director received 62,500 restricted stock units (“RSUs”) vesting May 30, 2020 in the event each director attends at least 75% of applicable Board and committee meetings.</w:t>
      </w:r>
    </w:p>
    <w:p>
      <w:pPr>
        <w:spacing w:after="0" w:line="202" w:lineRule="exact"/>
        <w:rPr>
          <w:rFonts w:ascii="Arial" w:cs="Arial" w:eastAsia="Arial" w:hAnsi="Arial"/>
          <w:sz w:val="30"/>
          <w:szCs w:val="30"/>
          <w:color w:val="auto"/>
          <w:vertAlign w:val="superscript"/>
        </w:rPr>
      </w:pPr>
    </w:p>
    <w:p>
      <w:pPr>
        <w:jc w:val="both"/>
        <w:ind w:left="340" w:hanging="332"/>
        <w:spacing w:after="0" w:line="245"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Our non-management directors have no shares subject to option awards or other equity awards outstanding as of December 31, 2019, other than the RSUs issued May 30, 2019, except the following issued in prior service years to directors deferring their equity compensation pursuant to the Deferral Plan for Directors: Mr. Salcetti held 79,348 RSUs deliverable January 31, 2020 (six months following the termination of his service), and Dr. Soaries holds 12,240 RSUs deliverable six months following the termination of his service and 19,901 RSUs deliverable on January 1, 2023.</w:t>
      </w:r>
    </w:p>
    <w:p>
      <w:pPr>
        <w:spacing w:after="0" w:line="199" w:lineRule="exact"/>
        <w:rPr>
          <w:rFonts w:ascii="Arial" w:cs="Arial" w:eastAsia="Arial" w:hAnsi="Arial"/>
          <w:sz w:val="27"/>
          <w:szCs w:val="27"/>
          <w:color w:val="auto"/>
          <w:vertAlign w:val="superscript"/>
        </w:rPr>
      </w:pPr>
    </w:p>
    <w:p>
      <w:pPr>
        <w:jc w:val="both"/>
        <w:ind w:left="340" w:hanging="332"/>
        <w:spacing w:after="0" w:line="209"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On February 28, 2019, the Board appointed Dr. Britell and Mr. Stein to the Board of Directors and granted each a pro-rated equity award with a grant date fair value of $25,205 corresponding to the period between the date of their appointment and the date of the 2019 Annual Meeting. Each of Dr. Britell and Mr. Stein received 11,778 RSUs which vested on May 30, 2019.</w:t>
      </w:r>
    </w:p>
    <w:p>
      <w:pPr>
        <w:spacing w:after="0" w:line="203"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Ms. Galante retired effective May 30, 2019 immediately prior to the 2019 Annual Meeting. Accordingly, she did not receive a 2019 equity award for 2019-2020 director service.</w:t>
      </w:r>
    </w:p>
    <w:p>
      <w:pPr>
        <w:spacing w:after="0" w:line="201" w:lineRule="exact"/>
        <w:rPr>
          <w:rFonts w:ascii="Arial" w:cs="Arial" w:eastAsia="Arial" w:hAnsi="Arial"/>
          <w:sz w:val="30"/>
          <w:szCs w:val="30"/>
          <w:color w:val="auto"/>
          <w:vertAlign w:val="superscript"/>
        </w:rPr>
      </w:pPr>
    </w:p>
    <w:p>
      <w:pPr>
        <w:jc w:val="both"/>
        <w:ind w:left="340" w:hanging="332"/>
        <w:spacing w:after="0" w:line="253"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Mr. Salcetti retired effective July 31, 2019. As described in Note (2), above, director equity awards will vest May 30, 2020. Under the terms of the awards, a director who retires mid-year must attend 75% of the combined total of (i) Board meetings that occurred while he or she served on the Board during 2019 and (ii) the total number of meetings during 2019 for committees on which the director served immediately prior to retirement. If the 75% threshold is not met, the award will vest in the same proportion as the director’s attendance. Since presently unscheduled meetings may occur from the date of this Proxy Statement through May 30, 2020, it is not possible to determine what percentage of Mr. Salcetti’s $100,000 stock award will vest.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2019, we provided the following annual cash compensation to our non-management directors in quarterly installments (except as noted below):</w:t>
      </w: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retainer of $80,000;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$75,000 to the Chair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$25,000 to the Audit Committee, Compensation Committee, and Risk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$15,000 to the Nomination/Governance Committee Chair;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additional $12,500 to all Audit Committee, Compensation Committee, and Risk and Compliance Committee members (other than the Chairs).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directors receive per-meeting fees of $1,000 per meeting for each meeting in excess of eight meetings of the Board of Directors a year. Similarly, each member of the Compensation Committee receives an additional $1,000 for attending each meeting of the Compensation Committee in excess of eight annually. Our other committee members are not compensated on a per-meeting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2019 Board of Directors fee structure reflects the determination of our Compensation Committee to reduce the cash component of directors’ annual retainer fee from $100,000 to $80,000 and to reduce compensation for service as chair of the Audit, Compensation and Risk &amp; Compliance committees from $30,000 to $25,000, in each case effective as of January 1, 2019.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10, 2020, the Compensation Committee determined to increase annual compensation for service as Chair of the Board from $75,000 to $100,000.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our 2017 Annual Shareholder Meeting, our shareholders approved the 2017 Performance Incentive Plan (the “2017 Plan”). Following the 2019 Annual Shareholder Meeting, each non-management member of the Board of Directors was granted an award of restricted stock units (“RSUs”) under the 2017 Plan with a grant date fair value of $100,000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2020 Annual Shareholder Meeting on May 27, 2020, each non-management member of the Board of Directors will again be granted an equity award with a grant date fair value of $100,000 (rounded to the next whole share), subject to their election to defer, as described further below. In the event we have an insufficient number of shares remaining available under the 2017 Plan at the time of the Annual Meeting, directors will be granted the right to receive cash to the extent of the available share shortfall. Payment of any cash amounts will be made on May 27, 2021 subject to the same vesting and other conditions as the RSUs.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Age</w:t>
            </w:r>
            <w:r>
              <w:rPr>
                <w:rFonts w:ascii="Arial" w:cs="Arial" w:eastAsia="Arial" w:hAnsi="Arial"/>
                <w:sz w:val="29"/>
                <w:szCs w:val="29"/>
                <w:b w:val="1"/>
                <w:bCs w:val="1"/>
                <w:color w:val="auto"/>
                <w:w w:val="83"/>
                <w:vertAlign w:val="superscript"/>
              </w:rPr>
              <w:t>(1)</w:t>
            </w:r>
          </w:p>
        </w:tc>
        <w:tc>
          <w:tcPr>
            <w:tcW w:w="6280" w:type="dxa"/>
            <w:vAlign w:val="bottom"/>
          </w:tcPr>
          <w:p>
            <w:pPr>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9"/>
                <w:szCs w:val="29"/>
                <w:b w:val="1"/>
                <w:bCs w:val="1"/>
                <w:color w:val="auto"/>
                <w:vertAlign w:val="superscript"/>
              </w:rPr>
              <w:t>(1)</w:t>
            </w:r>
          </w:p>
        </w:tc>
      </w:tr>
      <w:tr>
        <w:trPr>
          <w:trHeight w:val="202"/>
        </w:trPr>
        <w:tc>
          <w:tcPr>
            <w:tcW w:w="3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Investment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Albert J. Celini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Risk and Compliance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Francois Grunenwald</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Joseph J. Samarias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General Counsel and Company Secretary</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Arthur C. Walker, Jr.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Global Tax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Growth Officer</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7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All age and position information set forth herein is as of April 15, 2020.</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is set forth below.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Scott W. Anderson. </w:t>
      </w:r>
      <w:r>
        <w:rPr>
          <w:rFonts w:ascii="Arial" w:cs="Arial" w:eastAsia="Arial" w:hAnsi="Arial"/>
          <w:sz w:val="17"/>
          <w:szCs w:val="17"/>
          <w:color w:val="auto"/>
        </w:rPr>
        <w:t>Mr. Anderson has served as Executive Vice President and Chief Servicing Officer since 2009, and his career with Ocwen has spanned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John V. Britti</w:t>
      </w:r>
      <w:r>
        <w:rPr>
          <w:rFonts w:ascii="Arial" w:cs="Arial" w:eastAsia="Arial" w:hAnsi="Arial"/>
          <w:sz w:val="17"/>
          <w:szCs w:val="17"/>
          <w:color w:val="auto"/>
        </w:rPr>
        <w:t>. Mr. Britti has served as Executive Vice President and Chief Investment Officer since June 2014. From July 1, 2018 through October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he also served as interim Chief Executive Officer. From September 2016 to February 2017, he 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June C. Campbell</w:t>
      </w:r>
      <w:r>
        <w:rPr>
          <w:rFonts w:ascii="Arial" w:cs="Arial" w:eastAsia="Arial" w:hAnsi="Arial"/>
          <w:sz w:val="18"/>
          <w:szCs w:val="18"/>
          <w:color w:val="auto"/>
        </w:rPr>
        <w:t>. Ms. Campbell has served as Executive Vice President and Chief Financial Officer since March 2019. Ms. Campbell joined Ocwen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 Capital, the financial services unit of General Electric Company, where she held multiple senior management positions in Finance, Capital Markets and Operations during her more than 20-year career at the company. Most recently, she served as Managing Director, Global Capital Markets, a position she held since 2014. Ms. Campbell’s prior roles included serving as Chief Operating Officer for GE Capital Canada from 2011 to 2014 and Chief Financial Officer of GE Capital Real Estate Canada from 2008 to 2011. She holds a Bachelor of Science from Simmons College and a Master of Business Administration from the University of Chicago.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b w:val="1"/>
          <w:bCs w:val="1"/>
          <w:i w:val="1"/>
          <w:iCs w:val="1"/>
          <w:color w:val="auto"/>
        </w:rPr>
        <w:t>Albert J. Celini</w:t>
      </w:r>
      <w:r>
        <w:rPr>
          <w:rFonts w:ascii="Arial" w:cs="Arial" w:eastAsia="Arial" w:hAnsi="Arial"/>
          <w:sz w:val="18"/>
          <w:szCs w:val="18"/>
          <w:color w:val="auto"/>
        </w:rPr>
        <w:t>. Mr. Celini has served as Executive Vice President and Chief Risk and Compliance Officer since May 2019. From the closing of Ocwen’s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PHH Corporation in October 2018 until May 2019, he served as Senior Vice President and Chief Risk and Compliance Officer. From November 2017 through October 2018, he served as the Chief Risk and Compliance Officer of PHH Corporation. From May 2017 through October 2018, he served as a risk management consultant to the mortgage industry with Newbold Advisors LLC, a professional services firm, and from June 2016 through April 2017, with Common Securitization Solutions LLC (a joint venture between Fannie Mae and Freddie Mac). He also previously held executive roles at Sun National Bank, Freddie Mac, and Ally Bank (formerly GMAC Bank). Mr. Celini is a Certified Public Accountant and received a Bachelor of Science in Accounting from Fordham University.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Francois Grunenwald</w:t>
      </w:r>
      <w:r>
        <w:rPr>
          <w:rFonts w:ascii="Arial" w:cs="Arial" w:eastAsia="Arial" w:hAnsi="Arial"/>
          <w:sz w:val="18"/>
          <w:szCs w:val="18"/>
          <w:color w:val="auto"/>
        </w:rPr>
        <w:t>. Mr. Grunenwald has served as our Senior Vice President and Chief Accounting Officer since August 2019. Prior to joining Ocwen,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 and holds a Master’s degree in Finance and Banking from the University of Paris II Panthéon-Assas.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Joseph J. Samarias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Samarias has served as Executive Vice President and General Counsel since April 2019. He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 Mr. Walker has advised companies in many different industries throughout his career including financial services, technology, software, service provider, pharmaceutical, transportation, healthcare, and manufacturing. His tax practice experience has included planning, intercompany transfer pricing, structuring / 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Timothy J. Yanoti</w:t>
      </w:r>
      <w:r>
        <w:rPr>
          <w:rFonts w:ascii="Arial" w:cs="Arial" w:eastAsia="Arial" w:hAnsi="Arial"/>
          <w:sz w:val="16"/>
          <w:szCs w:val="16"/>
          <w:color w:val="auto"/>
        </w:rPr>
        <w:t>. Mr. Yanoti has served as Executive Vice President and Chief Growth Officer since November 2018. From 2014 through 2018, he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Co-Chairman and President of American Financial Resources, a residential mortgage originations company with over 500 employees operating in all 50 states. From 2011 through 2014, he was Senior Vice President, Head of Securitization for Fannie Mae where he was responsible for developing the Common Securitization Platform for the GSEs. Prior to joining Fannie Mae, Mr. Yanoti served as Managing Director, Head of Mortgage Banking of Knight Capital Group, a global financial services firm, and Senior Managing Director, Head of Capital Markets of National City Corporation. During his career Mr. Yanoti has also held several leadership roles at General Electric Company, including Head of Global Securitization of GE Capital and Head of Capital and Secondary Markets of GE Mortgage. Prior to entering the finance and banking industry he worked as an aerospace and software engineer. He received a Bachelor of Science from Clarkson University and a Master of Business Administration from Cornell University.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Dennis Zeleny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Zeleny has served as Executive Vice President and Chief Administrative Officer since August 2019. In that capacity, he oversees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global human resources function, corporate communications, facilities, and diversity and inclusion programs. From January through August 2019, Mr. Zeleny served Ocwen as a human resources consultant. From 2012 through 2019, Mr. Zeleny provided executive Human Capital consulting services including co-CEO Center on Executive Compensation, and an Interim CHRO for Hertz.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B.S. from Cornell University and an M.S. from the Graduate School of Business at Columbia University.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April 15, 2020 by:</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129,683,377 shares of our common stock outstanding as of April 15, 2020, unless otherwise noted.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280" w:type="dxa"/>
            <w:vAlign w:val="bottom"/>
            <w:tcBorders>
              <w:top w:val="single" w:sz="8" w:color="auto"/>
            </w:tcBorders>
          </w:tcPr>
          <w:p>
            <w:pPr>
              <w:spacing w:after="0"/>
              <w:rPr>
                <w:sz w:val="17"/>
                <w:szCs w:val="17"/>
                <w:color w:val="auto"/>
              </w:rPr>
            </w:pPr>
          </w:p>
        </w:tc>
        <w:tc>
          <w:tcPr>
            <w:tcW w:w="6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41"/>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2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Percent of Class</w:t>
            </w:r>
          </w:p>
        </w:tc>
      </w:tr>
      <w:tr>
        <w:trPr>
          <w:trHeight w:val="242"/>
        </w:trPr>
        <w:tc>
          <w:tcPr>
            <w:tcW w:w="6300" w:type="dxa"/>
            <w:vAlign w:val="bottom"/>
            <w:tcBorders>
              <w:top w:val="single" w:sz="8" w:color="auto"/>
            </w:tcBorders>
            <w:gridSpan w:val="2"/>
            <w:shd w:val="clear" w:color="auto" w:fill="CCEEFF"/>
          </w:tcPr>
          <w:p>
            <w:pPr>
              <w:spacing w:after="0" w:line="242"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1195 Bangtail Way</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Steamboat Springs, CO 80487</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13,356,147</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42"/>
        </w:trPr>
        <w:tc>
          <w:tcPr>
            <w:tcW w:w="6520" w:type="dxa"/>
            <w:vAlign w:val="bottom"/>
            <w:gridSpan w:val="3"/>
          </w:tcPr>
          <w:p>
            <w:pPr>
              <w:spacing w:after="0" w:line="242"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(3)</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St. Andrew’s Country Club</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7118 Melrose Castle Lane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Boca Raton, FL 33428</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12,193,460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42"/>
        </w:trPr>
        <w:tc>
          <w:tcPr>
            <w:tcW w:w="652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(4)</w:t>
            </w:r>
          </w:p>
        </w:tc>
        <w:tc>
          <w:tcPr>
            <w:tcW w:w="2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9,514,671</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42"/>
        </w:trPr>
        <w:tc>
          <w:tcPr>
            <w:tcW w:w="6520" w:type="dxa"/>
            <w:vAlign w:val="bottom"/>
            <w:gridSpan w:val="3"/>
          </w:tcPr>
          <w:p>
            <w:pPr>
              <w:spacing w:after="0" w:line="242" w:lineRule="exact"/>
              <w:rPr>
                <w:sz w:val="20"/>
                <w:szCs w:val="20"/>
                <w:color w:val="auto"/>
              </w:rPr>
            </w:pPr>
            <w:r>
              <w:rPr>
                <w:rFonts w:ascii="Arial" w:cs="Arial" w:eastAsia="Arial" w:hAnsi="Arial"/>
                <w:sz w:val="17"/>
                <w:szCs w:val="17"/>
                <w:color w:val="auto"/>
              </w:rPr>
              <w:t>Roberto Marco Sella</w:t>
            </w:r>
            <w:r>
              <w:rPr>
                <w:rFonts w:ascii="Arial" w:cs="Arial" w:eastAsia="Arial" w:hAnsi="Arial"/>
                <w:sz w:val="28"/>
                <w:szCs w:val="28"/>
                <w:color w:val="auto"/>
                <w:vertAlign w:val="superscript"/>
              </w:rPr>
              <w:t>(5)</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2929 Arch Street, Suite 325</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Philadelphia, PA 19104</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6,821,474</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466"/>
        </w:trPr>
        <w:tc>
          <w:tcPr>
            <w:tcW w:w="6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57"/>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253,326</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Alan J. Bowers</w:t>
            </w:r>
            <w:r>
              <w:rPr>
                <w:rFonts w:ascii="Arial" w:cs="Arial" w:eastAsia="Arial" w:hAnsi="Arial"/>
                <w:sz w:val="29"/>
                <w:szCs w:val="29"/>
                <w:color w:val="auto"/>
                <w:vertAlign w:val="superscript"/>
              </w:rPr>
              <w:t>(7)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151,715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Jenne K. Britell</w:t>
            </w:r>
            <w:r>
              <w:rPr>
                <w:rFonts w:ascii="Arial" w:cs="Arial" w:eastAsia="Arial" w:hAnsi="Arial"/>
                <w:sz w:val="29"/>
                <w:szCs w:val="29"/>
                <w:color w:val="auto"/>
                <w:vertAlign w:val="superscript"/>
              </w:rPr>
              <w:t>(8)</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113,858</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Jacques J. Busquet</w:t>
            </w:r>
            <w:r>
              <w:rPr>
                <w:rFonts w:ascii="Arial" w:cs="Arial" w:eastAsia="Arial" w:hAnsi="Arial"/>
                <w:sz w:val="29"/>
                <w:szCs w:val="29"/>
                <w:color w:val="auto"/>
                <w:vertAlign w:val="superscript"/>
              </w:rPr>
              <w:t>(9)</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136,717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Phyllis R. Caldwell</w:t>
            </w:r>
            <w:r>
              <w:rPr>
                <w:rFonts w:ascii="Arial" w:cs="Arial" w:eastAsia="Arial" w:hAnsi="Arial"/>
                <w:sz w:val="29"/>
                <w:szCs w:val="29"/>
                <w:color w:val="auto"/>
                <w:vertAlign w:val="superscript"/>
              </w:rPr>
              <w:t>(10)</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285,651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(11)</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83,377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(12)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Robert J. Lipstein</w:t>
            </w:r>
            <w:r>
              <w:rPr>
                <w:rFonts w:ascii="Arial" w:cs="Arial" w:eastAsia="Arial" w:hAnsi="Arial"/>
                <w:sz w:val="29"/>
                <w:szCs w:val="29"/>
                <w:color w:val="auto"/>
                <w:vertAlign w:val="superscript"/>
              </w:rPr>
              <w:t>(13)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333,052</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(14)</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674,242</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9"/>
                <w:szCs w:val="29"/>
                <w:color w:val="auto"/>
                <w:vertAlign w:val="superscript"/>
              </w:rPr>
              <w:t>(15)</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59,447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Kevin Stein</w:t>
            </w:r>
            <w:r>
              <w:rPr>
                <w:rFonts w:ascii="Arial" w:cs="Arial" w:eastAsia="Arial" w:hAnsi="Arial"/>
                <w:sz w:val="29"/>
                <w:szCs w:val="29"/>
                <w:color w:val="auto"/>
                <w:vertAlign w:val="superscript"/>
              </w:rPr>
              <w:t>(16)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104,278</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Timothy J. Yanoti</w:t>
            </w:r>
            <w:r>
              <w:rPr>
                <w:rFonts w:ascii="Arial" w:cs="Arial" w:eastAsia="Arial" w:hAnsi="Arial"/>
                <w:sz w:val="29"/>
                <w:szCs w:val="29"/>
                <w:color w:val="auto"/>
                <w:vertAlign w:val="superscript"/>
              </w:rPr>
              <w:t>(17)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107,785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Dennis Zeleny</w:t>
            </w:r>
            <w:r>
              <w:rPr>
                <w:rFonts w:ascii="Arial" w:cs="Arial" w:eastAsia="Arial" w:hAnsi="Arial"/>
                <w:sz w:val="29"/>
                <w:szCs w:val="29"/>
                <w:color w:val="auto"/>
                <w:vertAlign w:val="superscript"/>
              </w:rPr>
              <w:t>(18)</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52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(17 persons)</w:t>
            </w:r>
            <w:r>
              <w:rPr>
                <w:rFonts w:ascii="Arial" w:cs="Arial" w:eastAsia="Arial" w:hAnsi="Arial"/>
                <w:sz w:val="29"/>
                <w:szCs w:val="29"/>
                <w:color w:val="auto"/>
                <w:vertAlign w:val="superscript"/>
              </w:rPr>
              <w:t>(19)</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2,777,229</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98"/>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ind w:left="460" w:hanging="452"/>
        <w:spacing w:after="0" w:line="279"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purposes of this table, an individual is considered the beneficial owner of shares of common stock if he or she has the right to acquire such common stock within 60 days of April 15, 2020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71" w:lineRule="exact"/>
        <w:rPr>
          <w:rFonts w:ascii="Arial" w:cs="Arial" w:eastAsia="Arial" w:hAnsi="Arial"/>
          <w:sz w:val="17"/>
          <w:szCs w:val="17"/>
          <w:color w:val="auto"/>
        </w:rPr>
      </w:pPr>
    </w:p>
    <w:p>
      <w:pPr>
        <w:jc w:val="both"/>
        <w:ind w:left="460" w:hanging="452"/>
        <w:spacing w:after="0" w:line="28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Deer Park Road Management Company, LP: Based solely on information contained in a Schedule 13G/A filed with the Securities and Exchange Commission on February 14, 2020, reporting securities deemed to be beneficially owned as of December 31, 2019, by Deer Park Road Management Company, LP (“Deer Park”); Deer Park Road Management GP, LLC (“DPRM”); Deer Park Road Corporation (“DPRC”); Michael Craig-Scheckman (“Mr. Craig-Scheckman”); AgateCreek LLC (“AgateCreek”); and Scott Edward Burg (“Mr. Burg”), each of which reports shared voting and dispositive power of 13,356,147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7" w:name="page28"/>
    <w:bookmarkEnd w:id="27"/>
    <w:p>
      <w:pPr>
        <w:jc w:val="both"/>
        <w:ind w:left="452" w:hanging="452"/>
        <w:spacing w:after="0" w:line="288"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Cooperman: Based solely on information contained in a Schedule 13G/A filed with the Securities and Exchange Commission on February 14, 2020 reporting securities beneficially owned as of December 31, 2019. Mr. Cooperman is the Managing Member of Omega Associates, L.L.C. (“Associates”), a limited liability company organized under the laws of the State of Delaware. Associates is a private investment firm formed to invest in and act as general partner of investment partnerships or similar investment vehicles. Associates is the general partner of a limited partnership organized under the laws of Delaware known as Omega Capital Partners, L.P. (“Capital LP”), a private investment firm comprised of Cooperman family funds engaged in the purchase and sale of securities for investment for its own account. Mr. Cooperman is the ultimate controlling person of Associates and Capital LP. Mr. Cooperman is married to an individual named Toby Cooperman, and has an adult son named Michael S. Cooperman. Mr. Cooperman has investment authority over the shares held by Toby Cooperman and Michael S. Cooperman. Mr. Cooperman reports sole voting and dispositive power with respect to 12,193,460 shares, which consists of 10,193,460 shares owned by Capital LP, 1,000,000 shares owned by Mr. Cooperman, 500,000 shares owned by Toby Cooperman, and 500,000 shares owned by Michael S. Cooperman.</w:t>
      </w:r>
    </w:p>
    <w:p>
      <w:pPr>
        <w:spacing w:after="0" w:line="168" w:lineRule="exact"/>
        <w:rPr>
          <w:rFonts w:ascii="Arial" w:cs="Arial" w:eastAsia="Arial" w:hAnsi="Arial"/>
          <w:sz w:val="16"/>
          <w:szCs w:val="16"/>
          <w:color w:val="auto"/>
        </w:rPr>
      </w:pPr>
    </w:p>
    <w:p>
      <w:pPr>
        <w:jc w:val="both"/>
        <w:ind w:left="452" w:hanging="452"/>
        <w:spacing w:after="0" w:line="291"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BlackRock, Inc.: Based solely on information contained in a Schedule 13G/A filed with the Securities and Exchange Commission on February 5, 2020 reporting securities deemed to be beneficially owned as of December 31, 2019, by BlackRock, Inc. Pursuant to the Schedule 13G/A, BlackRock, Inc. has sole voting power over 9,129,512 shares and sole dispositive power over 9,514,671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166" w:lineRule="exact"/>
        <w:rPr>
          <w:rFonts w:ascii="Arial" w:cs="Arial" w:eastAsia="Arial" w:hAnsi="Arial"/>
          <w:sz w:val="16"/>
          <w:szCs w:val="16"/>
          <w:color w:val="auto"/>
        </w:rPr>
      </w:pPr>
    </w:p>
    <w:p>
      <w:pPr>
        <w:jc w:val="both"/>
        <w:ind w:left="452" w:hanging="452"/>
        <w:spacing w:after="0" w:line="272" w:lineRule="auto"/>
        <w:tabs>
          <w:tab w:leader="none" w:pos="4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Sella: Based solely on information contained in a Schedule 13G/A filed with the Securities and Exchange Commission on February 6, 2020 reporting securities beneficially owned as of December 31, 2019, Mr. Sella reports sole voting and dispositive power with respect to 6,480,400 shares, consisting of 6,139,326 shares held of record by Roberto Marco Sella and 341,074 shares held of record by LL Charitable Foundation, of which Mr. Sella serves as President. Mr. Sella reports shared voting and dispositive power with respect to 341,074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341,074 shares of Common Stock held by the Trust. Mr. Sella is not a beneficiary of the Trust.</w:t>
      </w:r>
    </w:p>
    <w:p>
      <w:pPr>
        <w:spacing w:after="0" w:line="177" w:lineRule="exact"/>
        <w:rPr>
          <w:rFonts w:ascii="Arial" w:cs="Arial" w:eastAsia="Arial" w:hAnsi="Arial"/>
          <w:sz w:val="17"/>
          <w:szCs w:val="17"/>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Anderson serves as Executive Vice President and Chief Servicing Officer. Includes shares underlying 55,272 options which are presently exercisable and 16,875 options which could become exercisable within 60 days of April 15, 2020.</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Bowers serves as a director. Includes shares underlying 62,500 RSUs which will vest May 27, 2020 subject to certain conditions relating to the individual’s service as a director.</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Britell serves as a director. Includes shares underlying 62,500 RSUs which will vest May 27, 2020 subject to certain conditions relating to the individual’s service as a director. Also includes 39,580 shares held by trust.</w:t>
      </w:r>
    </w:p>
    <w:p>
      <w:pPr>
        <w:spacing w:after="0" w:line="170"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Busquet serves as a director. Does not include shares underlying 62,500 RSUs which will vest May 27, 2020 subject to certain conditions relating to the individual’s service as a director but which are not settleable until June 1, 2022.</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Ms. Caldwell serves as Chair of the Board of Directors. Includes shares underlying 62,500 RSUs which will vest May 27, 2020 subject to certain conditions relating to the individual’s service as a director.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28" w:name="page29"/>
    <w:bookmarkEnd w:id="28"/>
    <w:p>
      <w:pPr>
        <w:jc w:val="both"/>
        <w:ind w:left="452" w:hanging="452"/>
        <w:spacing w:after="0" w:line="342"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Campbell serves as Executive Vice President and Chief Financial Officer. Includes shares underlying 11,060 options which are presently exercisable and 19,201 restricted stock units which could vest within 60 days of April 15, 2020. Also includes 47,638 shares held jointly with spouse.</w:t>
      </w:r>
    </w:p>
    <w:p>
      <w:pPr>
        <w:spacing w:after="0" w:line="123" w:lineRule="exact"/>
        <w:rPr>
          <w:rFonts w:ascii="Arial" w:cs="Arial" w:eastAsia="Arial" w:hAnsi="Arial"/>
          <w:sz w:val="16"/>
          <w:szCs w:val="16"/>
          <w:color w:val="auto"/>
        </w:rPr>
      </w:pPr>
    </w:p>
    <w:p>
      <w:pPr>
        <w:ind w:left="492" w:hanging="492"/>
        <w:spacing w:after="0"/>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Dondzila served as principal financial officer from July 17, 2018 through March 3, 2019.</w:t>
      </w:r>
    </w:p>
    <w:p>
      <w:pPr>
        <w:spacing w:after="0" w:line="225" w:lineRule="exact"/>
        <w:rPr>
          <w:rFonts w:ascii="Arial" w:cs="Arial" w:eastAsia="Arial" w:hAnsi="Arial"/>
          <w:sz w:val="18"/>
          <w:szCs w:val="18"/>
          <w:color w:val="auto"/>
        </w:rPr>
      </w:pPr>
    </w:p>
    <w:p>
      <w:pPr>
        <w:jc w:val="both"/>
        <w:ind w:left="452" w:hanging="452"/>
        <w:spacing w:after="0" w:line="263"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Lipstein serves as a director. Includes shares underlying 62,500 RSUs which will vest May 27, 2020 subject to certain conditions relating to the individual’s service as a director. Mr. Lipstein has announced his retirement from the Board, effective immediately prior to the commencement of the Annual Meeting.</w:t>
      </w:r>
    </w:p>
    <w:p>
      <w:pPr>
        <w:spacing w:after="0" w:line="183"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Messina serves as President, Chief Executive Officer, and a director. Includes shares underlying 88,996 options which are presently exercisable. Also includes 308,300 shares held jointly with spouse.</w:t>
      </w:r>
    </w:p>
    <w:p>
      <w:pPr>
        <w:spacing w:after="0" w:line="17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Soaries serves as a director. Does not include shares underlying 62,500 RSUs which will vest May 27, 2020 subject to certain conditions relating to the individual’s service as a director but which are not settleable until the six-month anniversary of the director’s termination of service, 12,240 shares underlying vested RSUs which are not settleable until the six-month anniversary of the director’s termination of service, and 19,901 shares underlying vested RSUs which are not settleable until January 1, 2023.</w:t>
      </w:r>
    </w:p>
    <w:p>
      <w:pPr>
        <w:spacing w:after="0" w:line="186"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Stein serves as a director. Includes shares underlying 62,500 RSUs which will vest May 27, 2020 subject to certain conditions relating to the individual’s service as a director. Also includes 30,000 shares held by trust.</w:t>
      </w:r>
    </w:p>
    <w:p>
      <w:pPr>
        <w:spacing w:after="0" w:line="170"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Yanoti serves as Executive Vice President and Chief Growth Officer. Includes shares underlying 27,131 options which are presently exercisable and 23,255 restricted stock units which could vest within 60 days of April 15, 2020. Also includes 10,000 shares held by spouse.</w:t>
      </w:r>
    </w:p>
    <w:p>
      <w:pPr>
        <w:spacing w:after="0" w:line="146" w:lineRule="exact"/>
        <w:rPr>
          <w:rFonts w:ascii="Arial" w:cs="Arial" w:eastAsia="Arial" w:hAnsi="Arial"/>
          <w:sz w:val="17"/>
          <w:szCs w:val="17"/>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Zeleny serves as Executive Vice President and Chief Administrative Officer.</w:t>
      </w:r>
    </w:p>
    <w:p>
      <w:pPr>
        <w:spacing w:after="0" w:line="225" w:lineRule="exact"/>
        <w:rPr>
          <w:rFonts w:ascii="Arial" w:cs="Arial" w:eastAsia="Arial" w:hAnsi="Arial"/>
          <w:sz w:val="18"/>
          <w:szCs w:val="18"/>
          <w:color w:val="auto"/>
        </w:rPr>
      </w:pPr>
    </w:p>
    <w:p>
      <w:pPr>
        <w:jc w:val="both"/>
        <w:ind w:left="452" w:hanging="452"/>
        <w:spacing w:after="0" w:line="30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shares underlying 355,041 stock options which are presently exercisable, 26,250 stock options which could become exercisable within 60 days, and 42,456 restricted stock units which could vest within 60 days of April 15, 2020. Excludes shares beneficially owned by Catherine D. Dondzila, who is a Named Executive Officer for SEC purposes but not a current executive officer, and includes shares beneficially owned by John V. Britti, Albert. J Celini, Joseph J. Samarias, and Arthur C. Walker, Jr., who are current executive officers but not Named Executive Officers.</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securities to</w:t>
            </w:r>
          </w:p>
        </w:tc>
        <w:tc>
          <w:tcPr>
            <w:tcW w:w="2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be issued upon exercise</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of outstanding options,</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equity compensation</w:t>
            </w:r>
          </w:p>
        </w:tc>
      </w:tr>
      <w:tr>
        <w:trPr>
          <w:trHeight w:val="224"/>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 and rights</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 and rights</w:t>
            </w:r>
          </w:p>
        </w:tc>
        <w:tc>
          <w:tcPr>
            <w:tcW w:w="2460" w:type="dxa"/>
            <w:vAlign w:val="bottom"/>
            <w:gridSpan w:val="2"/>
          </w:tcPr>
          <w:p>
            <w:pPr>
              <w:jc w:val="center"/>
              <w:ind w:right="120"/>
              <w:spacing w:after="0" w:line="223" w:lineRule="exact"/>
              <w:rPr>
                <w:sz w:val="20"/>
                <w:szCs w:val="20"/>
                <w:color w:val="auto"/>
              </w:rPr>
            </w:pPr>
            <w:r>
              <w:rPr>
                <w:rFonts w:ascii="Arial" w:cs="Arial" w:eastAsia="Arial" w:hAnsi="Arial"/>
                <w:sz w:val="16"/>
                <w:szCs w:val="16"/>
                <w:b w:val="1"/>
                <w:bCs w:val="1"/>
                <w:color w:val="auto"/>
                <w:w w:val="93"/>
              </w:rPr>
              <w:t>plans</w:t>
            </w:r>
            <w:r>
              <w:rPr>
                <w:rFonts w:ascii="Arial" w:cs="Arial" w:eastAsia="Arial" w:hAnsi="Arial"/>
                <w:sz w:val="25"/>
                <w:szCs w:val="25"/>
                <w:color w:val="auto"/>
                <w:w w:val="93"/>
                <w:vertAlign w:val="superscript"/>
              </w:rPr>
              <w:t>(3)</w:t>
            </w:r>
          </w:p>
        </w:tc>
      </w:tr>
      <w:tr>
        <w:trPr>
          <w:trHeight w:val="27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38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color w:val="auto"/>
                <w:w w:val="83"/>
                <w:vertAlign w:val="superscript"/>
              </w:rPr>
              <w:t>(1)</w:t>
            </w:r>
          </w:p>
        </w:tc>
        <w:tc>
          <w:tcPr>
            <w:tcW w:w="340" w:type="dxa"/>
            <w:vAlign w:val="bottom"/>
          </w:tcPr>
          <w:p>
            <w:pPr>
              <w:spacing w:after="0"/>
              <w:rPr>
                <w:sz w:val="23"/>
                <w:szCs w:val="23"/>
                <w:color w:val="auto"/>
              </w:rPr>
            </w:pPr>
          </w:p>
        </w:tc>
        <w:tc>
          <w:tcPr>
            <w:tcW w:w="236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color w:val="auto"/>
                <w:w w:val="83"/>
                <w:vertAlign w:val="superscript"/>
              </w:rPr>
              <w:t>(2)</w:t>
            </w:r>
          </w:p>
        </w:tc>
        <w:tc>
          <w:tcPr>
            <w:tcW w:w="32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r>
      <w:tr>
        <w:trPr>
          <w:trHeight w:val="202"/>
        </w:trPr>
        <w:tc>
          <w:tcPr>
            <w:tcW w:w="3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2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4,638,556</w:t>
            </w:r>
          </w:p>
        </w:tc>
        <w:tc>
          <w:tcPr>
            <w:tcW w:w="2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6,841,386</w:t>
            </w: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4,638,556</w:t>
            </w:r>
          </w:p>
        </w:tc>
        <w:tc>
          <w:tcPr>
            <w:tcW w:w="2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6,841,386</w:t>
            </w:r>
          </w:p>
        </w:tc>
      </w:tr>
    </w:tbl>
    <w:p>
      <w:pPr>
        <w:spacing w:after="0" w:line="202" w:lineRule="exact"/>
        <w:rPr>
          <w:sz w:val="20"/>
          <w:szCs w:val="20"/>
          <w:color w:val="auto"/>
        </w:rPr>
      </w:pPr>
    </w:p>
    <w:p>
      <w:pPr>
        <w:ind w:left="460" w:hanging="452"/>
        <w:spacing w:after="0" w:line="202" w:lineRule="auto"/>
        <w:tabs>
          <w:tab w:leader="none" w:pos="46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Includes 1,979,431 shares subject to outstanding stock option awards and 2,659,125 shares subject to outstanding restricted stock unit awards (including outstanding performance-based restricted stock unit awards, which are presented at their target level of performance).</w:t>
      </w:r>
    </w:p>
    <w:p>
      <w:pPr>
        <w:spacing w:after="0" w:line="88" w:lineRule="exact"/>
        <w:rPr>
          <w:rFonts w:ascii="Arial" w:cs="Arial" w:eastAsia="Arial" w:hAnsi="Arial"/>
          <w:sz w:val="29"/>
          <w:szCs w:val="29"/>
          <w:color w:val="auto"/>
          <w:vertAlign w:val="superscript"/>
        </w:rPr>
      </w:pPr>
    </w:p>
    <w:p>
      <w:pPr>
        <w:ind w:left="460" w:hanging="452"/>
        <w:spacing w:after="0"/>
        <w:tabs>
          <w:tab w:leader="none" w:pos="46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Calculated exclusive of outstanding restricted stock unit awards, which do not have an exercise price.</w:t>
      </w:r>
    </w:p>
    <w:p>
      <w:pPr>
        <w:spacing w:after="0" w:line="201" w:lineRule="exact"/>
        <w:rPr>
          <w:rFonts w:ascii="Arial" w:cs="Arial" w:eastAsia="Arial" w:hAnsi="Arial"/>
          <w:sz w:val="30"/>
          <w:szCs w:val="30"/>
          <w:color w:val="auto"/>
          <w:vertAlign w:val="superscript"/>
        </w:rPr>
      </w:pPr>
    </w:p>
    <w:p>
      <w:pPr>
        <w:jc w:val="both"/>
        <w:ind w:left="460" w:hanging="452"/>
        <w:spacing w:after="0" w:line="246" w:lineRule="auto"/>
        <w:tabs>
          <w:tab w:leader="none" w:pos="46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Represents 6,841,386 shares available for new award grants under the Company’s 2017 Performance Incentive Plan (the “2017 Plan”) as of December 31, 2019. Each share issued under the 2017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2017 Plan, any shares subject to (1) restricted stock and restricted stock unit awards or (2) stock options granted under our 2007 Equity Incentive Plan that are presently outstanding which are subsequently forfeited, terminated, canceled, or otherwise reacquired by the Company will increase the pool of shares available for new awards under the 2017 Plan at the rate of 1.2 shares or 1.0 shares, respectively. Long-term incentive awards issued in the form of cash-settled restricted stock units do not reduce available shares under the 2017 Plan.</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persons who own more than 10% of our common stock to file reports of ownership and changes in ownership with the Securities and Exchange Commission. Based solely upon a review of reports filed electronically with the Securities and Exchange Commission during the 2019 fiscal year, or written representations from certain reporting persons that no Forms 5 were required, we believe that all filing requirements applicable to our officers and directors and greater than 10% beneficial owners were complied with during the 2019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LETTER FROM COMPENSATION COMMITTEE AND BOARD CHAIRS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following Compensation Discussion and Analysis we have provided the context and rationale the Compensation and Human Capital Committee (Compensation Committee) used in crafting the framework and determining the compensation for our named executive officers in 2019.</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begin with, 2019 was a year that required the management team and the broader employee population to work with remarkable focus and resiliency to execute against our key business initiatives following the acquisition of PHH Corporation (PHH) in October of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aim of these initiatives was to return Ocwen to profitability in the shortest timeframe possible within an appropriate risk and compliance environment and to enable a sustainable business model with potential to create value for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five initiatives were: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 the integration of PHH into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Re-engineer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funding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Replenish portfolio runoff and restore a growth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Fulfill regulatory commitments and resolve remaining legacy matters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we embarked on 2019, the Compensation Committee approved a 2019 Annual Incentive Plan for management containing ten objectives that linked directly to the above initiatives in order to align management’s annual bonus opportunity to executing on our strategy to create value for shareholders.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ensure a strong alignment between the compensation of our management team and results for our shareholders, in 2019, the Compensation Committee took two important actions to re-orient compensation for the management team towards shareholder outcomes in very substantive ways.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the management team went from having zero percent of their target annual compensation tied to Ocwen’s stock price performance to having an average of 40% of it tied to Ocwen’s stock performance, with half of that value forfeitable unless a defined total shareholder return (TSR) threshold was met.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the Compensation Committee reduced the bonus payout payable for 2018 performance to members of the senior management team by 35% and instead provided a “transitional” three-year long-term incentive opportunity which would only be realized if the Company achieved compounded annual growth of 16.7% in its stock price over the ensuing three-year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feedback we received during our shareholder outreach initiative to shareholders who collectively hold more than 58% of our stock and looking back on the Company’s performance during 2019, we believe the compensation framework developed and the objectives against which we held management accountable were indeed the most important ones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invite you to read the following Compensation Discussion and Analysis for further details on our decisions relating to compensation during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further shareholder engagement.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DeForest B. Soaries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Chair, Compensation and Human Capital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design and the application of our executive compensation programs take shape and are delivered within the context of Ocwen’s business plan and its performance against that plan. 2019 was a year in which we set very ambitious goals for the company. It was also a year of tremendous change for the company in which we made progress on a number of the strategic, financial and operational priorities that we set out to accomplish.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business highlights which the management team delivered against include:</w:t>
      </w:r>
    </w:p>
    <w:p>
      <w:pPr>
        <w:spacing w:after="0" w:line="225"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Completed integration of PHH Corporation which was acquired on October 4, 2018, including harmonization of policies, programs and platforms including the transitioning of all our servicing onto the Black Knight MSP servicing system.</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Delivered against synergy cost reduction objectives, including reducing total staffing levels by 1,100 or 17%, with a total headcount of approximately 5,300 at December 31, 2019 compared to the Ocwen headcount pre-PHH acquisition of 6,400 on September 30, 2018.</w:t>
      </w:r>
    </w:p>
    <w:p>
      <w:pPr>
        <w:ind w:left="660" w:right="2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Took substantial steps toward removing operating risk by complying with ongoing commitments under settlement agreements with 29 states and District of Columbia to resolve alleged deficiencies in compliance with laws and regulations relating to our servicing and lending activities.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Grew total revenue by 6% to $1.1 billion in 2019.</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Improved our liquidity position, as measured by unrestricted cash, by over 30% from December 31, 2018 to a total of $428.3 million at December 31, 2019, while also increasing our available borrowing capacity under our advance financing facilities by 9% to $50.9 million from December 31, 2018 to December 31,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Implemented a hedging strategy to partially offset the changes in fair value of our net MSR portfolio attributable to interest rate changes.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designed the 2019 executive compensation program to align with evolving compensation and governance best practices and strengthen the rigor used to link to pay for performance and shareholder value creation.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key features of our 2019 executive compensation program relating to pay decisions, program design and shareholder engagement are highlighted below:</w:t>
      </w:r>
    </w:p>
    <w:p>
      <w:pPr>
        <w:spacing w:after="0" w:line="170" w:lineRule="exact"/>
        <w:rPr>
          <w:sz w:val="20"/>
          <w:szCs w:val="20"/>
          <w:color w:val="auto"/>
        </w:rPr>
      </w:pPr>
    </w:p>
    <w:p>
      <w:pPr>
        <w:jc w:val="both"/>
        <w:ind w:left="660" w:hanging="328"/>
        <w:spacing w:after="0" w:line="28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Introduced annual Long-Term Incentive (LTI) awards under our 2017 Performance Incentive Plan that (1) changed the mix of compensation tied to long-term objectives for our named executive officers (NEOs) from 0% to 40%; (2) tied all LTI award value to stock price performance; and (3) linked half of the target LTI award value granted to any participant to absolute TSR objectives over the course of a 3-year measurement period.</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Fortified the pay-for-performance linkage within our 2019 Annual Incentive Program (AIP) through the use of ten objectives that linked directly to our publicly-disclosed key business initiatives. Moreover, financial performance objectives which constituted over 50% of corporate and business unit scorecards were 100% formulaic with specific goal posts for threshold, target and maximum performance levels.</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2018 AIP payments for all NEOs by 35% based on the Compensation Committee’s general assessment of the Company’s overall performance and financial condition</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Initiated an outreach effort to shareholders representing over 58% of outstanding shares regarding their views on our executive compensation program.</w:t>
      </w: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Conducted a comprehensive, risk-based review of our compensation policies and practices designed to ensure appropriate mitigation of undue risk.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Our named executive officers for 2019, whose compensation we will discuss in detail below,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4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160" w:type="dxa"/>
            <w:vAlign w:val="bottom"/>
          </w:tcPr>
          <w:p>
            <w:pPr>
              <w:spacing w:after="0"/>
              <w:rPr>
                <w:sz w:val="17"/>
                <w:szCs w:val="17"/>
                <w:color w:val="auto"/>
              </w:rPr>
            </w:pPr>
          </w:p>
        </w:tc>
        <w:tc>
          <w:tcPr>
            <w:tcW w:w="5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Growth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394"/>
        </w:trPr>
        <w:tc>
          <w:tcPr>
            <w:tcW w:w="358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(1)</w:t>
            </w:r>
          </w:p>
        </w:tc>
        <w:tc>
          <w:tcPr>
            <w:tcW w:w="5400" w:type="dxa"/>
            <w:vAlign w:val="bottom"/>
          </w:tcPr>
          <w:p>
            <w:pPr>
              <w:spacing w:after="0"/>
              <w:rPr>
                <w:sz w:val="20"/>
                <w:szCs w:val="20"/>
                <w:color w:val="auto"/>
              </w:rPr>
            </w:pPr>
            <w:r>
              <w:rPr>
                <w:rFonts w:ascii="Arial" w:cs="Arial" w:eastAsia="Arial" w:hAnsi="Arial"/>
                <w:sz w:val="18"/>
                <w:szCs w:val="18"/>
                <w:color w:val="auto"/>
              </w:rPr>
              <w:t>Former Senior Vice President and Chief Accounting Officer</w:t>
            </w:r>
          </w:p>
        </w:tc>
      </w:tr>
    </w:tbl>
    <w:p>
      <w:pPr>
        <w:spacing w:after="0" w:line="79" w:lineRule="exact"/>
        <w:rPr>
          <w:sz w:val="20"/>
          <w:szCs w:val="20"/>
          <w:color w:val="auto"/>
        </w:rPr>
      </w:pPr>
    </w:p>
    <w:p>
      <w:pPr>
        <w:jc w:val="both"/>
        <w:ind w:left="1300" w:hanging="320"/>
        <w:spacing w:after="0" w:line="209" w:lineRule="auto"/>
        <w:tabs>
          <w:tab w:leader="none" w:pos="1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Ms. Dondzila resigned as Senior Vice President and Chief Accounting Officer on May 31, 2019. Due to serving as principal financial officer during a portion of 2019, Ms. Dondzila is included in this Proxy Statement as a “Named Executive Officer” pursuant to the Securities Exchange Act of 1934,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Equally important, our compensation programs are designed to communicate our goals and reinforce our standards as they relate to risk, compliance and leadership - not only to our senior management team, but across our entire employee population.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Within this context, we believe our executive compensation programs enable us to:</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Retain and hire top-caliber experienced executives</w:t>
      </w:r>
      <w:r>
        <w:rPr>
          <w:rFonts w:ascii="Arial" w:cs="Arial" w:eastAsia="Arial" w:hAnsi="Arial"/>
          <w:sz w:val="18"/>
          <w:szCs w:val="18"/>
          <w:color w:val="auto"/>
        </w:rPr>
        <w:t>: In a tight labor market, especially within an organization that is facing appreciable challenges to build a sustainable business model and pivot back to profitability, we believe it is critical that we offer compensation opportunities that allow us to attract and retain strong proven executive talent.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Pay for Performance</w:t>
      </w:r>
      <w:r>
        <w:rPr>
          <w:rFonts w:ascii="Arial" w:cs="Arial" w:eastAsia="Arial" w:hAnsi="Arial"/>
          <w:sz w:val="18"/>
          <w:szCs w:val="18"/>
          <w:color w:val="auto"/>
        </w:rPr>
        <w:t>: A significant portion of our target 2019 executive compensation (the sum of base salary, annual target bonus, and grant date fair value of stock awards granted during 2019) – 63% for NEOs and 79% for CEO – was dependent on the Company’s business performance and our executive officers’ contribution to that performance, and the performance of our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Align compensation with shareholder interests</w:t>
      </w:r>
      <w:r>
        <w:rPr>
          <w:rFonts w:ascii="Arial" w:cs="Arial" w:eastAsia="Arial" w:hAnsi="Arial"/>
          <w:sz w:val="18"/>
          <w:szCs w:val="18"/>
          <w:color w:val="auto"/>
        </w:rPr>
        <w:t>: A consequential portion of our target 2019 executive compensation – 29% for NEOs and 53% for CEO – is directly tied to absolute TSR or stock price emphasizing our focus on shareholder value creation.</w:t>
      </w: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Reinforce a long-term view</w:t>
      </w:r>
      <w:r>
        <w:rPr>
          <w:rFonts w:ascii="Arial" w:cs="Arial" w:eastAsia="Arial" w:hAnsi="Arial"/>
          <w:sz w:val="18"/>
          <w:szCs w:val="18"/>
          <w:color w:val="auto"/>
        </w:rPr>
        <w:t>: A major portion – 25% – of each executive officer’s target 2019 annual incentive compensation was tied to risk and compliance-based objectives demonstrating that our focus is not only on what was accomplished but on how it was accomplished. We believe that our focus on how things are done in the short-term will establish a foundation for long-term success.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Programs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create a strong link between our incentive compensation opportunities and our short-term and longer-term objectives, we use two specific programs: our AIP and LTI awards under our 2017 Performance Incentive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The chart below illustrates the portions of our NEOs’ target 2019 executive compensation that are driven by the various objectives under our incentive programs. Our programs are designed to align the interests of our executives with the interests of our shareholders and link the drivers of short-term and long-term value creation with our executive compensation performance metrics.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NEOs’</w:t>
            </w:r>
          </w:p>
        </w:tc>
        <w:tc>
          <w:tcPr>
            <w:tcW w:w="1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(excluding CEO)</w:t>
            </w: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Average % of 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CEO’s % of Total</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Element of 2019</w:t>
            </w: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Compensation</w:t>
            </w:r>
          </w:p>
        </w:tc>
        <w:tc>
          <w:tcPr>
            <w:tcW w:w="4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Description and Link to Key Priorities</w:t>
            </w:r>
          </w:p>
        </w:tc>
        <w:tc>
          <w:tcPr>
            <w:tcW w:w="17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Salary</w:t>
            </w:r>
          </w:p>
        </w:tc>
        <w:tc>
          <w:tcPr>
            <w:tcW w:w="618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w w:val="95"/>
              </w:rPr>
              <w:t>● Only element of total direct compensation that is not at risk based on short- or</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37%</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Arial" w:cs="Arial" w:eastAsia="Arial" w:hAnsi="Arial"/>
                <w:sz w:val="18"/>
                <w:szCs w:val="18"/>
                <w:color w:val="auto"/>
              </w:rPr>
              <w:t>long-term performance.</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 The Committee determines salaries after consideration of multiple factors,</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including comparative data from our peer group (described below).</w:t>
            </w:r>
          </w:p>
        </w:tc>
        <w:tc>
          <w:tcPr>
            <w:tcW w:w="16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AIP</w:t>
            </w:r>
          </w:p>
        </w:tc>
        <w:tc>
          <w:tcPr>
            <w:tcW w:w="180" w:type="dxa"/>
            <w:vAlign w:val="bottom"/>
          </w:tcPr>
          <w:p>
            <w:pPr>
              <w:ind w:left="60"/>
              <w:spacing w:after="0" w:line="195"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Target amount is informed by comparator groups,</w:t>
            </w:r>
          </w:p>
        </w:tc>
        <w:tc>
          <w:tcPr>
            <w:tcW w:w="17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Financial Performance</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17%</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including peer group, and other factors further noted</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below.</w:t>
            </w:r>
          </w:p>
        </w:tc>
        <w:tc>
          <w:tcPr>
            <w:tcW w:w="17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spacing w:after="0"/>
              <w:rPr>
                <w:sz w:val="15"/>
                <w:szCs w:val="15"/>
                <w:color w:val="auto"/>
              </w:rPr>
            </w:pPr>
          </w:p>
        </w:tc>
        <w:tc>
          <w:tcPr>
            <w:tcW w:w="180" w:type="dxa"/>
            <w:vAlign w:val="bottom"/>
          </w:tcPr>
          <w:p>
            <w:pPr>
              <w:ind w:left="60"/>
              <w:spacing w:after="0" w:line="182"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Funding is linked to key priorities of the Company in</w:t>
            </w:r>
          </w:p>
        </w:tc>
        <w:tc>
          <w:tcPr>
            <w:tcW w:w="17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Strategic and</w:t>
            </w:r>
          </w:p>
        </w:tc>
        <w:tc>
          <w:tcPr>
            <w:tcW w:w="1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9%</w:t>
            </w:r>
          </w:p>
        </w:tc>
        <w:tc>
          <w:tcPr>
            <w:tcW w:w="15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three areas (shown right).</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Operational Objectives</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All components, as well as individual payouts, are</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capped at a maximum of 150%.</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820" w:type="dxa"/>
            <w:vAlign w:val="bottom"/>
            <w:tcBorders>
              <w:left w:val="single" w:sz="8" w:color="auto"/>
              <w:right w:val="single" w:sz="8" w:color="auto"/>
            </w:tcBorders>
          </w:tcPr>
          <w:p>
            <w:pPr>
              <w:spacing w:after="0"/>
              <w:rPr>
                <w:sz w:val="2"/>
                <w:szCs w:val="2"/>
                <w:color w:val="auto"/>
              </w:rPr>
            </w:pP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Individual performance serves as a modifier to the</w:t>
            </w:r>
          </w:p>
        </w:tc>
        <w:tc>
          <w:tcPr>
            <w:tcW w:w="17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auto"/>
            </w:tcBorders>
          </w:tcPr>
          <w:p>
            <w:pPr>
              <w:spacing w:after="0"/>
              <w:rPr>
                <w:sz w:val="14"/>
                <w:szCs w:val="14"/>
                <w:color w:val="auto"/>
              </w:rPr>
            </w:pPr>
          </w:p>
        </w:tc>
        <w:tc>
          <w:tcPr>
            <w:tcW w:w="180" w:type="dxa"/>
            <w:vAlign w:val="bottom"/>
            <w:vMerge w:val="continue"/>
          </w:tcPr>
          <w:p>
            <w:pPr>
              <w:spacing w:after="0"/>
              <w:rPr>
                <w:sz w:val="14"/>
                <w:szCs w:val="14"/>
                <w:color w:val="auto"/>
              </w:rPr>
            </w:pPr>
          </w:p>
        </w:tc>
        <w:tc>
          <w:tcPr>
            <w:tcW w:w="42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ind w:left="40"/>
              <w:spacing w:after="0" w:line="168" w:lineRule="exact"/>
              <w:rPr>
                <w:sz w:val="20"/>
                <w:szCs w:val="20"/>
                <w:color w:val="auto"/>
              </w:rPr>
            </w:pPr>
            <w:r>
              <w:rPr>
                <w:rFonts w:ascii="Arial" w:cs="Arial" w:eastAsia="Arial" w:hAnsi="Arial"/>
                <w:sz w:val="18"/>
                <w:szCs w:val="18"/>
                <w:color w:val="auto"/>
              </w:rPr>
              <w:t>Managing Risk and</w:t>
            </w:r>
          </w:p>
        </w:tc>
        <w:tc>
          <w:tcPr>
            <w:tcW w:w="16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2"/>
              </w:rPr>
              <w:t>9%</w:t>
            </w:r>
          </w:p>
        </w:tc>
        <w:tc>
          <w:tcPr>
            <w:tcW w:w="15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corporate and business unit scorecard performance level</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Ensuring Compliance</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Individual Performance Multiplier).</w:t>
            </w: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4"/>
                <w:szCs w:val="14"/>
                <w:b w:val="1"/>
                <w:bCs w:val="1"/>
                <w:color w:val="auto"/>
              </w:rPr>
              <w:t>LTI Awards</w:t>
            </w:r>
            <w:r>
              <w:rPr>
                <w:rFonts w:ascii="Arial" w:cs="Arial" w:eastAsia="Arial" w:hAnsi="Arial"/>
                <w:sz w:val="22"/>
                <w:szCs w:val="22"/>
                <w:b w:val="1"/>
                <w:bCs w:val="1"/>
                <w:color w:val="auto"/>
                <w:vertAlign w:val="superscript"/>
              </w:rPr>
              <w:t>(a)</w:t>
            </w:r>
          </w:p>
        </w:tc>
        <w:tc>
          <w:tcPr>
            <w:tcW w:w="180" w:type="dxa"/>
            <w:vAlign w:val="bottom"/>
          </w:tcPr>
          <w:p>
            <w:pPr>
              <w:ind w:left="60"/>
              <w:spacing w:after="0" w:line="196"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Target amount is informed by comparator groups,</w:t>
            </w:r>
          </w:p>
        </w:tc>
        <w:tc>
          <w:tcPr>
            <w:tcW w:w="178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Time-vested Units</w:t>
            </w:r>
          </w:p>
        </w:tc>
        <w:tc>
          <w:tcPr>
            <w:tcW w:w="16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13%</w:t>
            </w:r>
          </w:p>
        </w:tc>
        <w:tc>
          <w:tcPr>
            <w:tcW w:w="15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15"/>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including peer group, and other factors further noted</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below.</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 of award is in form of Restricted Stock Units</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(RSUs) that vest annually over three years in equal</w:t>
            </w:r>
          </w:p>
        </w:tc>
        <w:tc>
          <w:tcPr>
            <w:tcW w:w="178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22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8"/>
                <w:szCs w:val="18"/>
                <w:color w:val="auto"/>
                <w:w w:val="91"/>
              </w:rPr>
              <w:t>Units Earned Based on</w:t>
            </w: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4"/>
              </w:rPr>
              <w:t>15%</w:t>
            </w:r>
          </w:p>
        </w:tc>
        <w:tc>
          <w:tcPr>
            <w:tcW w:w="1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161"/>
        </w:trPr>
        <w:tc>
          <w:tcPr>
            <w:tcW w:w="182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2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8"/>
                <w:szCs w:val="18"/>
                <w:color w:val="auto"/>
              </w:rPr>
              <w:t>tranches.</w:t>
            </w:r>
          </w:p>
        </w:tc>
        <w:tc>
          <w:tcPr>
            <w:tcW w:w="1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Total Shareholder</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tcPr>
          <w:p>
            <w:pPr>
              <w:spacing w:after="0"/>
              <w:rPr>
                <w:sz w:val="8"/>
                <w:szCs w:val="8"/>
                <w:color w:val="auto"/>
              </w:rPr>
            </w:pPr>
          </w:p>
        </w:tc>
        <w:tc>
          <w:tcPr>
            <w:tcW w:w="44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 50% of award is in form of Performance-Restricted</w:t>
            </w:r>
          </w:p>
        </w:tc>
        <w:tc>
          <w:tcPr>
            <w:tcW w:w="178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4400" w:type="dxa"/>
            <w:vAlign w:val="bottom"/>
            <w:tcBorders>
              <w:right w:val="single" w:sz="8" w:color="auto"/>
            </w:tcBorders>
            <w:gridSpan w:val="2"/>
            <w:vMerge w:val="continue"/>
          </w:tcPr>
          <w:p>
            <w:pPr>
              <w:spacing w:after="0"/>
              <w:rPr>
                <w:sz w:val="10"/>
                <w:szCs w:val="10"/>
                <w:color w:val="auto"/>
              </w:rPr>
            </w:pPr>
          </w:p>
        </w:tc>
        <w:tc>
          <w:tcPr>
            <w:tcW w:w="1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7"/>
              </w:rPr>
              <w:t>Return or Share Price</w:t>
            </w:r>
          </w:p>
        </w:tc>
        <w:tc>
          <w:tcPr>
            <w:tcW w:w="16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Stock Units (PRSUs) that cliff vest at end of three years</w:t>
            </w: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provided minimum TSR level has been achieved.</w:t>
            </w: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b w:val="1"/>
                <w:bCs w:val="1"/>
                <w:color w:val="auto"/>
              </w:rPr>
              <w:t>Total</w:t>
            </w:r>
            <w:r>
              <w:rPr>
                <w:rFonts w:ascii="Arial" w:cs="Arial" w:eastAsia="Arial" w:hAnsi="Arial"/>
                <w:sz w:val="28"/>
                <w:szCs w:val="28"/>
                <w:b w:val="1"/>
                <w:bCs w:val="1"/>
                <w:color w:val="auto"/>
                <w:vertAlign w:val="superscript"/>
              </w:rPr>
              <w:t>(b)</w:t>
            </w:r>
          </w:p>
        </w:tc>
        <w:tc>
          <w:tcPr>
            <w:tcW w:w="1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29" w:lineRule="auto"/>
        <w:tabs>
          <w:tab w:leader="none" w:pos="340" w:val="left"/>
        </w:tabs>
        <w:numPr>
          <w:ilvl w:val="0"/>
          <w:numId w:val="24"/>
        </w:numPr>
        <w:rPr>
          <w:rFonts w:ascii="Arial" w:cs="Arial" w:eastAsia="Arial" w:hAnsi="Arial"/>
          <w:sz w:val="29"/>
          <w:szCs w:val="29"/>
          <w:color w:val="auto"/>
          <w:vertAlign w:val="superscript"/>
        </w:rPr>
      </w:pPr>
      <w:r>
        <w:rPr>
          <w:rFonts w:ascii="Arial" w:cs="Arial" w:eastAsia="Arial" w:hAnsi="Arial"/>
          <w:sz w:val="17"/>
          <w:szCs w:val="17"/>
          <w:color w:val="auto"/>
        </w:rPr>
        <w:t>Not included are one-time transitional PRSU awards granted to Messrs. Messina and Anderson, which were awarded based on the decision to reduce 2018 bonus payments and not as part of regular annual target compensation. Ms. Campbell’s LTI Awards were granted 50% as time-vested awards (RSUs and stock options) vesting in equal installments over three years, and 50% as PRSUs vesting in equal installments over four years if stock price doubles from grant date. Refer to “2019 Long-Term Incentive (LTI) Awards” below for further details.</w:t>
      </w:r>
    </w:p>
    <w:p>
      <w:pPr>
        <w:ind w:left="34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compensation that is available to all of our employees includes medical, dental and life insurance programs. 401(k) matching contributions account for less than 0.1% of our NEOs’ compensation.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27, 2019, in furtherance of the Company’s cost re-engineering efforts, Mr. Messina volunteered to reduce his compensation as follows: (i) reduce his annual cash target incentive from $1,350,000 to $1,125,000, and (ii) reduce his annual long-term incentive equity target from a target value of $3,150,000 to $2,250,000. These reductions were effective for the 2019 calendar year and represented a reduction of approximately 20% to Mr. Messina’s target total compensation for 2019. On March 30, 2020, the Compensation Committee proposed to restore Mr. Messina’s 2020 target total compensation to the levels he received upon his October 4, 2018 hire, in recognition of his strong performance in his first full year as President and Chief Executive Officer in 2019 (described below) and informed by relevant market benchmarks, including the Company’s compensation peer group. However, Mr. Messina declined to accept the increased compensation. Consequently, Mr. Messina’s compensation levels for 2020 continue to reflect the reductions Mr. Messina agreed to in 2019.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i w:val="1"/>
          <w:iCs w:val="1"/>
          <w:color w:val="auto"/>
        </w:rPr>
        <w:t>Parties Involved in Compensation Decisions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governance of our executive compensation programs generally occurs through interaction of three groups: the Compensation Committee, the Compensation Committee’s independent compensation consultants and management. In 2019,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Committee</w:t>
      </w:r>
    </w:p>
    <w:p>
      <w:pPr>
        <w:spacing w:after="0" w:line="225"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Willis Towers Watson, individual performance of the NEO,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as discussed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Committee’s review for NEOs also includes:</w:t>
      </w:r>
    </w:p>
    <w:p>
      <w:pPr>
        <w:spacing w:after="0" w:line="225" w:lineRule="exact"/>
        <w:rPr>
          <w:sz w:val="20"/>
          <w:szCs w:val="20"/>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of corporate and business unit scorecards;</w:t>
      </w:r>
    </w:p>
    <w:p>
      <w:pPr>
        <w:spacing w:after="0" w:line="23" w:lineRule="exact"/>
        <w:rPr>
          <w:rFonts w:ascii="Arial" w:cs="Arial" w:eastAsia="Arial" w:hAnsi="Arial"/>
          <w:sz w:val="18"/>
          <w:szCs w:val="18"/>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individual performance results to determine the Individual Performance Multiplier of each NEO;</w:t>
      </w:r>
    </w:p>
    <w:p>
      <w:pPr>
        <w:spacing w:after="0" w:line="9" w:lineRule="exact"/>
        <w:rPr>
          <w:rFonts w:ascii="Arial" w:cs="Arial" w:eastAsia="Arial" w:hAnsi="Arial"/>
          <w:sz w:val="18"/>
          <w:szCs w:val="18"/>
          <w:color w:val="auto"/>
        </w:rPr>
      </w:pPr>
    </w:p>
    <w:p>
      <w:pPr>
        <w:jc w:val="both"/>
        <w:ind w:left="680" w:hanging="328"/>
        <w:spacing w:after="0" w:line="25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the market competitiveness of each NEO’s total compensation (and principal elements of compensation) against applicable market data including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at the beginning of 2019 is listed below.</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1"/>
              </w:rPr>
              <w:t>Associated Banc-Corp</w:t>
            </w:r>
          </w:p>
        </w:tc>
        <w:tc>
          <w:tcPr>
            <w:tcW w:w="6240" w:type="dxa"/>
            <w:vAlign w:val="bottom"/>
          </w:tcPr>
          <w:p>
            <w:pPr>
              <w:jc w:val="center"/>
              <w:spacing w:after="0"/>
              <w:rPr>
                <w:sz w:val="20"/>
                <w:szCs w:val="20"/>
                <w:color w:val="auto"/>
              </w:rPr>
            </w:pPr>
            <w:r>
              <w:rPr>
                <w:rFonts w:ascii="Arial" w:cs="Arial" w:eastAsia="Arial" w:hAnsi="Arial"/>
                <w:sz w:val="18"/>
                <w:szCs w:val="18"/>
                <w:color w:val="auto"/>
                <w:w w:val="92"/>
              </w:rPr>
              <w:t>MGIC Investment Corporation</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3"/>
              </w:rPr>
              <w:t>BankUnited,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3"/>
              </w:rPr>
              <w:t>Navient Corporation</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Black Knight Financial Services,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5"/>
              </w:rPr>
              <w:t>CIT Group</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People’s United Financial,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CoreLogic,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Radian Group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Euronet Worldwide</w:t>
            </w:r>
          </w:p>
        </w:tc>
        <w:tc>
          <w:tcPr>
            <w:tcW w:w="6240" w:type="dxa"/>
            <w:vAlign w:val="bottom"/>
          </w:tcPr>
          <w:p>
            <w:pPr>
              <w:jc w:val="center"/>
              <w:spacing w:after="0"/>
              <w:rPr>
                <w:sz w:val="20"/>
                <w:szCs w:val="20"/>
                <w:color w:val="auto"/>
              </w:rPr>
            </w:pPr>
            <w:r>
              <w:rPr>
                <w:rFonts w:ascii="Arial" w:cs="Arial" w:eastAsia="Arial" w:hAnsi="Arial"/>
                <w:sz w:val="18"/>
                <w:szCs w:val="18"/>
                <w:color w:val="auto"/>
                <w:w w:val="89"/>
              </w:rPr>
              <w:t>Signature Bank</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First Republic Bank</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Sterling Bancorp</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0"/>
              </w:rPr>
              <w:t>Flagstar Bancorp,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Synovus Financial Corp.</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0"/>
              </w:rPr>
              <w:t>Jack Henry &amp; Associates,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2"/>
              </w:rPr>
              <w:t>Zions National Bancorp</w:t>
            </w:r>
          </w:p>
        </w:tc>
      </w:tr>
      <w:tr>
        <w:trPr>
          <w:trHeight w:val="230"/>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1"/>
              </w:rPr>
              <w:t>LendingTree, Inc.</w:t>
            </w:r>
          </w:p>
        </w:tc>
        <w:tc>
          <w:tcPr>
            <w:tcW w:w="6240" w:type="dxa"/>
            <w:vAlign w:val="bottom"/>
          </w:tcPr>
          <w:p>
            <w:pPr>
              <w:spacing w:after="0"/>
              <w:rPr>
                <w:sz w:val="20"/>
                <w:szCs w:val="20"/>
                <w:color w:val="auto"/>
              </w:rPr>
            </w:pPr>
          </w:p>
        </w:tc>
      </w:tr>
      <w:tr>
        <w:trPr>
          <w:trHeight w:val="439"/>
        </w:trPr>
        <w:tc>
          <w:tcPr>
            <w:tcW w:w="50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60"/>
          </w:cols>
          <w:pgMar w:left="300" w:top="692"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In August 2019, the Compensation Committee revised the peer group to the list below to better reflect our business model, scale and competitors.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1"/>
              </w:rPr>
              <w:t>Associated Banc-Corp</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2"/>
              </w:rPr>
              <w:t>Mr. Cooper Group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3"/>
              </w:rPr>
              <w:t>BankUnited,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3"/>
              </w:rPr>
              <w:t>Navient Corporation</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2"/>
              </w:rPr>
              <w:t>Black Knight Financial Services,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89"/>
              </w:rPr>
              <w:t>CenterState Bank Corporation</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People’s United Financial,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2"/>
              </w:rPr>
              <w:t>CoreLogic,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Radian Group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0"/>
              </w:rPr>
              <w:t>Flagstar Bancorp,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89"/>
              </w:rPr>
              <w:t>Signature Bank</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0"/>
              </w:rPr>
              <w:t>Jack Henry &amp; Associates,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Sterling Bancorp</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1"/>
              </w:rPr>
              <w:t>LendingTree,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Synovus Financial Corp.</w:t>
            </w:r>
          </w:p>
        </w:tc>
      </w:tr>
      <w:tr>
        <w:trPr>
          <w:trHeight w:val="230"/>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3"/>
              </w:rPr>
              <w:t>MGIC Investment Corporation</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5"/>
              </w:rPr>
              <w:t>Walker &amp; Dunlop, Inc.</w:t>
            </w: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of any changes to compensation, including, but not limited to, base salary, short-term and long-term incentive award opportunities, severance payments and retention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Make Compensation Decisions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Each year our executive and other compensation programs are developed and refined through a year’s worth of analysis and decision making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 typical year’s work is summarized below:</w:t>
      </w:r>
    </w:p>
    <w:p>
      <w:pPr>
        <w:sectPr>
          <w:pgSz w:w="11900" w:h="16838" w:orient="portrait"/>
          <w:cols w:equalWidth="0" w:num="1">
            <w:col w:w="11240"/>
          </w:cols>
          <w:pgMar w:left="320" w:top="692" w:right="339" w:bottom="1440" w:gutter="0" w:footer="0" w:header="0"/>
        </w:sectPr>
      </w:pP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QUARTER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145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34" w:lineRule="exact"/>
        <w:rPr>
          <w:sz w:val="20"/>
          <w:szCs w:val="20"/>
          <w:color w:val="auto"/>
        </w:rPr>
      </w:pPr>
    </w:p>
    <w:p>
      <w:pPr>
        <w:jc w:val="both"/>
        <w:ind w:left="220" w:hanging="158"/>
        <w:spacing w:after="0" w:line="285"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 the Company’s prior year performance against the financial and strategic metrics set forth in the prior year’s corporate and business unit scorecards.</w:t>
      </w:r>
    </w:p>
    <w:p>
      <w:pPr>
        <w:spacing w:after="0" w:line="1" w:lineRule="exact"/>
        <w:rPr>
          <w:rFonts w:ascii="Arial" w:cs="Arial" w:eastAsia="Arial" w:hAnsi="Arial"/>
          <w:sz w:val="16"/>
          <w:szCs w:val="16"/>
          <w:color w:val="auto"/>
        </w:rPr>
      </w:pPr>
    </w:p>
    <w:p>
      <w:pPr>
        <w:jc w:val="both"/>
        <w:ind w:left="220" w:right="20" w:hanging="158"/>
        <w:spacing w:after="0" w:line="281" w:lineRule="auto"/>
        <w:tabs>
          <w:tab w:leader="none" w:pos="4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and evaluate the individual performance of the CEO and each of our other NEOs and other executive officers.</w:t>
      </w:r>
    </w:p>
    <w:p>
      <w:pPr>
        <w:spacing w:after="0" w:line="2" w:lineRule="exact"/>
        <w:rPr>
          <w:rFonts w:ascii="Arial" w:cs="Arial" w:eastAsia="Arial" w:hAnsi="Arial"/>
          <w:sz w:val="16"/>
          <w:szCs w:val="16"/>
          <w:color w:val="auto"/>
        </w:rPr>
      </w:pPr>
    </w:p>
    <w:p>
      <w:pPr>
        <w:jc w:val="both"/>
        <w:ind w:left="220" w:hanging="158"/>
        <w:spacing w:after="0" w:line="250" w:lineRule="auto"/>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payouts to be made under the AIP based on prior year’s performance.</w:t>
      </w:r>
    </w:p>
    <w:p>
      <w:pPr>
        <w:spacing w:after="0" w:line="1" w:lineRule="exact"/>
        <w:rPr>
          <w:rFonts w:ascii="Arial" w:cs="Arial" w:eastAsia="Arial" w:hAnsi="Arial"/>
          <w:sz w:val="18"/>
          <w:szCs w:val="18"/>
          <w:color w:val="auto"/>
        </w:rPr>
      </w:pPr>
    </w:p>
    <w:p>
      <w:pPr>
        <w:jc w:val="both"/>
        <w:ind w:left="220" w:hanging="158"/>
        <w:spacing w:after="0" w:line="250" w:lineRule="auto"/>
        <w:tabs>
          <w:tab w:leader="none" w:pos="6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total target compensation levels for our NEOs and other executive officers, as informed by both market data and prior year’s performance.</w:t>
      </w:r>
    </w:p>
    <w:p>
      <w:pPr>
        <w:spacing w:after="0" w:line="2" w:lineRule="exact"/>
        <w:rPr>
          <w:rFonts w:ascii="Arial" w:cs="Arial" w:eastAsia="Arial" w:hAnsi="Arial"/>
          <w:sz w:val="18"/>
          <w:szCs w:val="18"/>
          <w:color w:val="auto"/>
        </w:rPr>
      </w:pPr>
    </w:p>
    <w:p>
      <w:pPr>
        <w:jc w:val="both"/>
        <w:ind w:left="220" w:hanging="158"/>
        <w:spacing w:after="0" w:line="281" w:lineRule="auto"/>
        <w:tabs>
          <w:tab w:leader="none" w:pos="2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and targets for the current year’s AIP to align with the financial and strategic priorities for the Company.</w:t>
      </w:r>
    </w:p>
    <w:p>
      <w:pPr>
        <w:spacing w:after="0" w:line="2" w:lineRule="exact"/>
        <w:rPr>
          <w:rFonts w:ascii="Arial" w:cs="Arial" w:eastAsia="Arial" w:hAnsi="Arial"/>
          <w:sz w:val="16"/>
          <w:szCs w:val="16"/>
          <w:color w:val="auto"/>
        </w:rPr>
      </w:pPr>
    </w:p>
    <w:p>
      <w:pPr>
        <w:ind w:left="220" w:right="340" w:hanging="158"/>
        <w:spacing w:after="0" w:line="295" w:lineRule="auto"/>
        <w:tabs>
          <w:tab w:leader="none" w:pos="2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for the current year’s LTI awards, including TSR or other performance objective.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QUARTER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26035</wp:posOffset>
            </wp:positionV>
            <wp:extent cx="16459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34" w:lineRule="exact"/>
        <w:rPr>
          <w:sz w:val="20"/>
          <w:szCs w:val="20"/>
          <w:color w:val="auto"/>
        </w:rPr>
      </w:pPr>
    </w:p>
    <w:p>
      <w:pPr>
        <w:jc w:val="both"/>
        <w:ind w:left="169" w:right="240" w:hanging="169"/>
        <w:spacing w:after="0" w:line="271" w:lineRule="auto"/>
        <w:tabs>
          <w:tab w:leader="none" w:pos="3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Prepare the Compensation Committee’s report and CD&amp;A for the Proxy Statement.</w:t>
      </w:r>
    </w:p>
    <w:p>
      <w:pPr>
        <w:jc w:val="both"/>
        <w:ind w:left="169" w:right="240" w:hanging="169"/>
        <w:spacing w:after="0" w:line="265" w:lineRule="auto"/>
        <w:tabs>
          <w:tab w:leader="none" w:pos="174"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discuss Say-on-Pay voting recommendations from proxy advisory firms.</w:t>
      </w:r>
    </w:p>
    <w:p>
      <w:pPr>
        <w:jc w:val="both"/>
        <w:ind w:left="169" w:right="220" w:hanging="169"/>
        <w:spacing w:after="0" w:line="250" w:lineRule="auto"/>
        <w:tabs>
          <w:tab w:leader="none" w:pos="2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discuss the results of the voting at the Annual Meeting.</w:t>
      </w:r>
    </w:p>
    <w:p>
      <w:pPr>
        <w:spacing w:after="0" w:line="1" w:lineRule="exact"/>
        <w:rPr>
          <w:rFonts w:ascii="Arial" w:cs="Arial" w:eastAsia="Arial" w:hAnsi="Arial"/>
          <w:sz w:val="18"/>
          <w:szCs w:val="18"/>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reports  from  the</w:t>
      </w:r>
    </w:p>
    <w:p>
      <w:pPr>
        <w:spacing w:after="0" w:line="9" w:lineRule="exact"/>
        <w:rPr>
          <w:rFonts w:ascii="Arial" w:cs="Arial" w:eastAsia="Arial" w:hAnsi="Arial"/>
          <w:sz w:val="18"/>
          <w:szCs w:val="18"/>
          <w:color w:val="auto"/>
        </w:rPr>
      </w:pPr>
    </w:p>
    <w:p>
      <w:pPr>
        <w:ind w:left="169"/>
        <w:spacing w:after="0"/>
        <w:rPr>
          <w:rFonts w:ascii="Arial" w:cs="Arial" w:eastAsia="Arial" w:hAnsi="Arial"/>
          <w:sz w:val="18"/>
          <w:szCs w:val="18"/>
          <w:color w:val="auto"/>
        </w:rPr>
      </w:pPr>
      <w:r>
        <w:rPr>
          <w:rFonts w:ascii="Arial" w:cs="Arial" w:eastAsia="Arial" w:hAnsi="Arial"/>
          <w:sz w:val="18"/>
          <w:szCs w:val="18"/>
          <w:color w:val="auto"/>
        </w:rPr>
        <w:t>Compensation</w:t>
      </w:r>
      <w:r>
        <w:rPr>
          <w:rFonts w:ascii="Arial" w:cs="Arial" w:eastAsia="Arial" w:hAnsi="Arial"/>
          <w:sz w:val="16"/>
          <w:szCs w:val="16"/>
          <w:color w:val="auto"/>
        </w:rPr>
        <w:t>Committee’s</w:t>
      </w:r>
    </w:p>
    <w:p>
      <w:pPr>
        <w:spacing w:after="0" w:line="9" w:lineRule="exact"/>
        <w:rPr>
          <w:rFonts w:ascii="Arial" w:cs="Arial" w:eastAsia="Arial" w:hAnsi="Arial"/>
          <w:sz w:val="18"/>
          <w:szCs w:val="18"/>
          <w:color w:val="auto"/>
        </w:rPr>
      </w:pPr>
    </w:p>
    <w:p>
      <w:pPr>
        <w:jc w:val="both"/>
        <w:ind w:left="169" w:right="240"/>
        <w:spacing w:after="0" w:line="255" w:lineRule="auto"/>
        <w:rPr>
          <w:rFonts w:ascii="Arial" w:cs="Arial" w:eastAsia="Arial" w:hAnsi="Arial"/>
          <w:sz w:val="18"/>
          <w:szCs w:val="18"/>
          <w:color w:val="auto"/>
        </w:rPr>
      </w:pPr>
      <w:r>
        <w:rPr>
          <w:rFonts w:ascii="Arial" w:cs="Arial" w:eastAsia="Arial" w:hAnsi="Arial"/>
          <w:sz w:val="18"/>
          <w:szCs w:val="18"/>
          <w:color w:val="auto"/>
        </w:rPr>
        <w:t>independent compensation consultants on practices and trends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27"/>
        <w:spacing w:after="0"/>
        <w:rPr>
          <w:sz w:val="20"/>
          <w:szCs w:val="20"/>
          <w:color w:val="auto"/>
        </w:rPr>
      </w:pPr>
      <w:r>
        <w:rPr>
          <w:rFonts w:ascii="Arial" w:cs="Arial" w:eastAsia="Arial" w:hAnsi="Arial"/>
          <w:sz w:val="18"/>
          <w:szCs w:val="18"/>
          <w:b w:val="1"/>
          <w:bCs w:val="1"/>
          <w:color w:val="auto"/>
        </w:rPr>
        <w:t>QUARTER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26035</wp:posOffset>
            </wp:positionV>
            <wp:extent cx="16370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4" w:lineRule="exact"/>
        <w:rPr>
          <w:sz w:val="20"/>
          <w:szCs w:val="20"/>
          <w:color w:val="auto"/>
        </w:rPr>
      </w:pPr>
    </w:p>
    <w:p>
      <w:pPr>
        <w:jc w:val="both"/>
        <w:ind w:left="167" w:hanging="167"/>
        <w:spacing w:after="0" w:line="253"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Undertake a review of the Company’s designated peer group to determine if any changes need to be made in order for it to remain appropriate.</w:t>
      </w:r>
    </w:p>
    <w:p>
      <w:pPr>
        <w:spacing w:after="0" w:line="1" w:lineRule="exact"/>
        <w:rPr>
          <w:rFonts w:ascii="Arial" w:cs="Arial" w:eastAsia="Arial" w:hAnsi="Arial"/>
          <w:sz w:val="18"/>
          <w:szCs w:val="18"/>
          <w:color w:val="auto"/>
        </w:rPr>
      </w:pPr>
    </w:p>
    <w:p>
      <w:pPr>
        <w:jc w:val="both"/>
        <w:ind w:left="167" w:hanging="167"/>
        <w:spacing w:after="0" w:line="265" w:lineRule="auto"/>
        <w:tabs>
          <w:tab w:leader="none" w:pos="5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Commence shareholder engagement focused on the Say-on-Pay vote at the Annual Meeting to inform pay</w:t>
      </w:r>
    </w:p>
    <w:p>
      <w:pPr>
        <w:jc w:val="both"/>
        <w:ind w:left="167"/>
        <w:spacing w:after="0" w:line="255" w:lineRule="auto"/>
        <w:rPr>
          <w:rFonts w:ascii="Arial" w:cs="Arial" w:eastAsia="Arial" w:hAnsi="Arial"/>
          <w:sz w:val="17"/>
          <w:szCs w:val="17"/>
          <w:color w:val="auto"/>
        </w:rPr>
      </w:pPr>
      <w:r>
        <w:rPr>
          <w:rFonts w:ascii="Arial" w:cs="Arial" w:eastAsia="Arial" w:hAnsi="Arial"/>
          <w:sz w:val="18"/>
          <w:szCs w:val="18"/>
          <w:color w:val="auto"/>
        </w:rPr>
        <w:t>decisions and design compensation programs for the coming 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26035</wp:posOffset>
            </wp:positionV>
            <wp:extent cx="17056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4" w:lineRule="exact"/>
        <w:rPr>
          <w:sz w:val="20"/>
          <w:szCs w:val="20"/>
          <w:color w:val="auto"/>
        </w:rPr>
      </w:pPr>
    </w:p>
    <w:p>
      <w:pPr>
        <w:jc w:val="both"/>
        <w:ind w:left="160" w:right="40" w:hanging="161"/>
        <w:spacing w:after="0" w:line="287" w:lineRule="auto"/>
        <w:tabs>
          <w:tab w:leader="none" w:pos="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Continue shareholder engagement focused on Say-on-Pay vote at the Annual Meeting.</w:t>
      </w:r>
    </w:p>
    <w:p>
      <w:pPr>
        <w:spacing w:after="0" w:line="2" w:lineRule="exact"/>
        <w:rPr>
          <w:sz w:val="20"/>
          <w:szCs w:val="20"/>
          <w:color w:val="auto"/>
        </w:rPr>
      </w:pPr>
    </w:p>
    <w:p>
      <w:pPr>
        <w:jc w:val="both"/>
        <w:ind w:left="160" w:right="40" w:hanging="153"/>
        <w:spacing w:after="0" w:line="250" w:lineRule="auto"/>
        <w:tabs>
          <w:tab w:leader="none" w:pos="1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goals and objectives of the Company’s compensation programs.</w:t>
      </w:r>
    </w:p>
    <w:p>
      <w:pPr>
        <w:spacing w:after="0" w:line="1" w:lineRule="exact"/>
        <w:rPr>
          <w:rFonts w:ascii="Arial" w:cs="Arial" w:eastAsia="Arial" w:hAnsi="Arial"/>
          <w:sz w:val="18"/>
          <w:szCs w:val="18"/>
          <w:color w:val="auto"/>
        </w:rPr>
      </w:pPr>
    </w:p>
    <w:p>
      <w:pPr>
        <w:jc w:val="both"/>
        <w:ind w:left="160" w:right="40" w:hanging="153"/>
        <w:spacing w:after="0" w:line="250" w:lineRule="auto"/>
        <w:tabs>
          <w:tab w:leader="none" w:pos="3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an assessment of executive compensation and</w:t>
      </w:r>
    </w:p>
    <w:p>
      <w:pPr>
        <w:jc w:val="both"/>
        <w:ind w:left="160" w:right="40"/>
        <w:spacing w:after="0" w:line="281" w:lineRule="auto"/>
        <w:rPr>
          <w:rFonts w:ascii="Arial" w:cs="Arial" w:eastAsia="Arial" w:hAnsi="Arial"/>
          <w:sz w:val="18"/>
          <w:szCs w:val="18"/>
          <w:color w:val="auto"/>
        </w:rPr>
      </w:pPr>
      <w:r>
        <w:rPr>
          <w:rFonts w:ascii="Arial" w:cs="Arial" w:eastAsia="Arial" w:hAnsi="Arial"/>
          <w:sz w:val="16"/>
          <w:szCs w:val="16"/>
          <w:color w:val="auto"/>
        </w:rPr>
        <w:t>independent Director compensation against peer group and relevant bench-marks assisted by analysis provided by the Compensation Committee’s</w:t>
      </w:r>
    </w:p>
    <w:p>
      <w:pPr>
        <w:spacing w:after="0" w:line="2" w:lineRule="exact"/>
        <w:rPr>
          <w:rFonts w:ascii="Arial" w:cs="Arial" w:eastAsia="Arial" w:hAnsi="Arial"/>
          <w:sz w:val="18"/>
          <w:szCs w:val="18"/>
          <w:color w:val="auto"/>
        </w:rPr>
      </w:pPr>
    </w:p>
    <w:p>
      <w:pPr>
        <w:ind w:left="160" w:right="40"/>
        <w:spacing w:after="0" w:line="250" w:lineRule="auto"/>
        <w:rPr>
          <w:rFonts w:ascii="Arial" w:cs="Arial" w:eastAsia="Arial" w:hAnsi="Arial"/>
          <w:sz w:val="18"/>
          <w:szCs w:val="18"/>
          <w:color w:val="auto"/>
        </w:rPr>
      </w:pPr>
      <w:r>
        <w:rPr>
          <w:rFonts w:ascii="Arial" w:cs="Arial" w:eastAsia="Arial" w:hAnsi="Arial"/>
          <w:sz w:val="18"/>
          <w:szCs w:val="18"/>
          <w:color w:val="auto"/>
        </w:rPr>
        <w:t>independent compensation consultants.</w:t>
      </w:r>
    </w:p>
    <w:p>
      <w:pPr>
        <w:jc w:val="both"/>
        <w:ind w:left="160" w:right="40" w:hanging="153"/>
        <w:spacing w:after="0" w:line="270" w:lineRule="auto"/>
        <w:tabs>
          <w:tab w:leader="none" w:pos="287"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Conduct comprehensive, risk-based review of the Company’s compensation policies and practices that is designed to ensure appropriate mitigation of undue risk.</w:t>
      </w:r>
    </w:p>
    <w:p>
      <w:pPr>
        <w:sectPr>
          <w:pgSz w:w="11900" w:h="16838" w:orient="portrait"/>
          <w:cols w:equalWidth="0" w:num="4">
            <w:col w:w="2680" w:space="311"/>
            <w:col w:w="2729" w:space="93"/>
            <w:col w:w="2487" w:space="300"/>
            <w:col w:w="2640"/>
          </w:cols>
          <w:pgMar w:left="320" w:top="692" w:right="339" w:bottom="1440" w:gutter="0" w:footer="0" w:header="0"/>
          <w:type w:val="continuous"/>
        </w:sectPr>
      </w:pPr>
    </w:p>
    <w:bookmarkStart w:id="36" w:name="page37"/>
    <w:bookmarkEnd w:id="36"/>
    <w:p>
      <w:pPr>
        <w:jc w:val="both"/>
        <w:ind w:left="20"/>
        <w:spacing w:after="0" w:line="277" w:lineRule="auto"/>
        <w:rPr>
          <w:sz w:val="20"/>
          <w:szCs w:val="20"/>
          <w:color w:val="auto"/>
        </w:rPr>
      </w:pPr>
      <w:r>
        <w:rPr>
          <w:rFonts w:ascii="Arial" w:cs="Arial" w:eastAsia="Arial" w:hAnsi="Arial"/>
          <w:sz w:val="18"/>
          <w:szCs w:val="18"/>
          <w:color w:val="auto"/>
        </w:rPr>
        <w:t>These decisions and payments were made before the full global extent of COVID-19 became apparent. The Compensation Committee will consider the business and financial impact to Ocwen, our shareholders and our employees, in evaluating 2020 performance in early 2021.</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Roles of Executive Officers</w:t>
      </w:r>
    </w:p>
    <w:p>
      <w:pPr>
        <w:spacing w:after="0" w:line="225"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The President and Chief Executive Officer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225"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The primary role of the Compensation Committee’s independent compensation consultant (Willis Towers Watson) is to assist the Compensation Committee with overseeing the development and approval of our compensation policies and programs. Except as otherwise noted in this Compensation Discussion and Analysis, the Compensation Committee’s compensation determinations are the result of the Compensation Committee’s business judgment with respect to compensation matters. The Compensation Committee’s judgment is informed by the experiences of the members of the Compensation Committee and analysis and input from the Compensation Committee’s independent compensation consultants, among other factors. The Compensation Committee has assessed the independence of Willis Towers Watson and has concluded that its engagement does not raise any conflict of interest with the Company or any of its directors or executive officers. During 2019, Willis Towers Watson performed a number of services for the Compensation Committee, including but not limited to reviewing and providing guidance on:</w:t>
      </w:r>
    </w:p>
    <w:p>
      <w:pPr>
        <w:spacing w:after="0" w:line="178" w:lineRule="exact"/>
        <w:rPr>
          <w:sz w:val="20"/>
          <w:szCs w:val="20"/>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2019 AIP and LTI awards</w:t>
      </w:r>
    </w:p>
    <w:p>
      <w:pPr>
        <w:spacing w:after="0" w:line="23"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the 2019 compensation of our NEOs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peer group for purposes of informing compensation decisions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reports of proxy advisory firms, ISS and Glass-Lewis, relating to the 2019 Proxy Statement</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the compensation of our independent directors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emerging best practices for executive and independent director compensation</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Shareholder Engagement and Consideration of Shareholder Advisors’ Input</w:t>
      </w:r>
    </w:p>
    <w:p>
      <w:pPr>
        <w:spacing w:after="0" w:line="225"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Prior to last year, shareholder feedback in the form of shareholder advisory votes on Ocwen’s executive compensation has been very positive. At each of our Annual Meetings of Shareholders from 2014 through 2018, we received at least 85% of votes cast on our Say-on-Pay proposal in favor of our executive compensation. That changed last year when we received 66% support on the votes casted on our Say-on-Pay proposal. Based on outreach efforts to both institutional and active investors, we believe that a significant driver of this was the “AGAINST” recommendation provided by ISS’s proxy advisory group. We understand that factors guiding their recommendation included their views that annual incentive awards were tied to a large number of metrics, several of which they considered to be subjective, and that our CEO’s new hire equity grants were large and not performance-restricted.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92" w:right="3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The Compensation Committee considered ISS’s input, as well as the input we gathered from reaching out or meeting directly with active investors. Through these outreach efforts we reached a group who held approximately 58% of our outstanding shares. During the shareholder engagement process, we shared with investors the changes we had made in our programs including the reduction of compensation levels and the introduction of a long-term incentive plan. As a result of the engagement process, we concluded that Ocwen’s current focus on rewarding the management team for cost reduction, maximizing the synergies of the PHH acquisition, settling legacy issues with regulators and focusing on the quickest return to profitability, as well as linking management’s compensation to absolute total shareholder return, aligns with the priorities of our shareholders.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Governance Considerations in How We Design and Implement Our Compensation Programs</w:t>
      </w:r>
    </w:p>
    <w:p>
      <w:pPr>
        <w:sectPr>
          <w:pgSz w:w="11900" w:h="16838" w:orient="portrait"/>
          <w:cols w:equalWidth="0" w:num="1">
            <w:col w:w="11240"/>
          </w:cols>
          <w:pgMar w:left="320" w:top="692"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Most of our NEOs’ pay is at-risk and not guaranteed. We set clear and transparent financial and strategic goals within our short- and long-term incentive awards which include performance-based vesting conditions.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Discourage excessive risk taking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 an independent compensation consultant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retained the services of Willis Towers Watson as an independent consultant that reports directly to the Chair of the Compensation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Caps on annual incentives and long-term awards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practice under the AIP provides for a maximum payout opportunity at 150% of the target incentive and our current equity incentive plan limits the number of shares that may be awarded to any individual to 4,000,000 shares during any 12 -month period.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34886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fixed term of employment agreements</w:t>
      </w:r>
    </w:p>
    <w:p>
      <w:pPr>
        <w:spacing w:after="0" w:line="27"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tax gross-ups</w:t>
      </w:r>
    </w:p>
    <w:p>
      <w:pPr>
        <w:spacing w:after="0" w:line="2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option back-dating, re-pricing or reloading</w:t>
      </w:r>
    </w:p>
    <w:p>
      <w:pPr>
        <w:spacing w:after="0" w:line="27" w:lineRule="exact"/>
        <w:rPr>
          <w:sz w:val="20"/>
          <w:szCs w:val="20"/>
          <w:color w:val="auto"/>
        </w:rPr>
      </w:pPr>
    </w:p>
    <w:p>
      <w:pPr>
        <w:jc w:val="both"/>
        <w:ind w:left="200"/>
        <w:spacing w:after="0" w:line="277" w:lineRule="auto"/>
        <w:rPr>
          <w:sz w:val="20"/>
          <w:szCs w:val="20"/>
          <w:color w:val="auto"/>
        </w:rPr>
      </w:pPr>
      <w:r>
        <w:rPr>
          <w:rFonts w:ascii="Arial" w:cs="Arial" w:eastAsia="Arial" w:hAnsi="Arial"/>
          <w:sz w:val="17"/>
          <w:szCs w:val="17"/>
          <w:color w:val="auto"/>
        </w:rPr>
        <w:t>We do not permit back-dating, re-pricing of stock options, or reloading of stock options. No stock options are granted with exercise prices that are below the closing price of Ocwen stock on the date of grant.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hedging or pledging</w:t>
      </w:r>
    </w:p>
    <w:p>
      <w:pPr>
        <w:spacing w:after="0" w:line="2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“single-trigger” LTI awards</w:t>
      </w:r>
    </w:p>
    <w:p>
      <w:pPr>
        <w:spacing w:after="0" w:line="27" w:lineRule="exact"/>
        <w:rPr>
          <w:sz w:val="20"/>
          <w:szCs w:val="20"/>
          <w:color w:val="auto"/>
        </w:rPr>
      </w:pPr>
    </w:p>
    <w:p>
      <w:pPr>
        <w:jc w:val="both"/>
        <w:ind w:left="200"/>
        <w:spacing w:after="0" w:line="292" w:lineRule="auto"/>
        <w:rPr>
          <w:sz w:val="20"/>
          <w:szCs w:val="20"/>
          <w:color w:val="auto"/>
        </w:rPr>
      </w:pPr>
      <w:r>
        <w:rPr>
          <w:rFonts w:ascii="Arial" w:cs="Arial" w:eastAsia="Arial" w:hAnsi="Arial"/>
          <w:sz w:val="16"/>
          <w:szCs w:val="16"/>
          <w:color w:val="auto"/>
        </w:rPr>
        <w:t>With the exception of the sign-on LTIP for our CFO, 2019 LTI awards do not automatically vest upon the occurrence of a change in control. Rather, these LTI awards include double-trigger provisions such that a NEO will only receive accelerated payouts if terminated without cause, or upon voluntary resignation for good reason, following a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20" w:space="20"/>
            <w:col w:w="5700"/>
          </w:cols>
          <w:pgMar w:left="320" w:top="692"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Base Salaries for our NEOs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 salaries are intended to provide a level of cash compensation that is competitive and appropriate in relation to the responsibilities of the executive’s position. During 2019, the Compensation Committee provided an increase only to Ms. Campbell. Base salaries provided to our executives represent relative market competitive positioning, experience, performance and contributions to our success.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Annualized Salary</w:t>
            </w:r>
          </w:p>
        </w:tc>
        <w:tc>
          <w:tcPr>
            <w:tcW w:w="1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As of 12/31/2018 or 2019</w:t>
            </w:r>
          </w:p>
        </w:tc>
        <w:tc>
          <w:tcPr>
            <w:tcW w:w="21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As of 12/31/2019</w:t>
            </w:r>
          </w:p>
        </w:tc>
        <w:tc>
          <w:tcPr>
            <w:tcW w:w="1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Change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Date of Hire</w:t>
            </w: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or Separation</w:t>
            </w:r>
          </w:p>
        </w:tc>
        <w:tc>
          <w:tcPr>
            <w:tcW w:w="19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1"/>
              </w:rPr>
              <w:t>Annualized Salary</w:t>
            </w:r>
          </w:p>
        </w:tc>
        <w:tc>
          <w:tcPr>
            <w:tcW w:w="0" w:type="dxa"/>
            <w:vAlign w:val="bottom"/>
          </w:tcPr>
          <w:p>
            <w:pPr>
              <w:spacing w:after="0"/>
              <w:rPr>
                <w:sz w:val="1"/>
                <w:szCs w:val="1"/>
                <w:color w:val="auto"/>
              </w:rPr>
            </w:pPr>
          </w:p>
        </w:tc>
      </w:tr>
      <w:tr>
        <w:trPr>
          <w:trHeight w:val="24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83"/>
        </w:trPr>
        <w:tc>
          <w:tcPr>
            <w:tcW w:w="3200" w:type="dxa"/>
            <w:vAlign w:val="bottom"/>
            <w:gridSpan w:val="2"/>
          </w:tcPr>
          <w:p>
            <w:pPr>
              <w:spacing w:after="0" w:line="284"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color w:val="auto"/>
              </w:rPr>
              <w:t>425,000</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475,000</w:t>
            </w:r>
          </w:p>
        </w:tc>
        <w:tc>
          <w:tcPr>
            <w:tcW w:w="30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2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Dennis Zeleny</w:t>
            </w:r>
            <w:r>
              <w:rPr>
                <w:rFonts w:ascii="Arial" w:cs="Arial" w:eastAsia="Arial" w:hAnsi="Arial"/>
                <w:sz w:val="23"/>
                <w:szCs w:val="23"/>
                <w:color w:val="auto"/>
                <w:vertAlign w:val="superscript"/>
              </w:rPr>
              <w:t>(2)</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8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0" w:type="dxa"/>
            <w:vAlign w:val="bottom"/>
            <w:shd w:val="clear" w:color="auto" w:fill="CCEEFF"/>
          </w:tcPr>
          <w:p>
            <w:pPr>
              <w:jc w:val="right"/>
              <w:spacing w:after="0" w:line="81" w:lineRule="exact"/>
              <w:rPr>
                <w:sz w:val="20"/>
                <w:szCs w:val="20"/>
                <w:color w:val="auto"/>
              </w:rPr>
            </w:pPr>
            <w:r>
              <w:rPr>
                <w:rFonts w:ascii="Arial" w:cs="Arial" w:eastAsia="Arial" w:hAnsi="Arial"/>
                <w:sz w:val="9"/>
                <w:szCs w:val="9"/>
                <w:color w:val="auto"/>
              </w:rPr>
              <w:t>0</w:t>
            </w: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90"/>
        </w:trPr>
        <w:tc>
          <w:tcPr>
            <w:tcW w:w="320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(3)</w:t>
            </w:r>
          </w:p>
        </w:tc>
        <w:tc>
          <w:tcPr>
            <w:tcW w:w="2000" w:type="dxa"/>
            <w:vAlign w:val="bottom"/>
          </w:tcPr>
          <w:p>
            <w:pPr>
              <w:jc w:val="right"/>
              <w:spacing w:after="0"/>
              <w:rPr>
                <w:sz w:val="20"/>
                <w:szCs w:val="20"/>
                <w:color w:val="auto"/>
              </w:rPr>
            </w:pPr>
            <w:r>
              <w:rPr>
                <w:rFonts w:ascii="Arial" w:cs="Arial" w:eastAsia="Arial" w:hAnsi="Arial"/>
                <w:sz w:val="18"/>
                <w:szCs w:val="18"/>
                <w:color w:val="auto"/>
              </w:rPr>
              <w:t>433,100</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433,100</w:t>
            </w:r>
          </w:p>
        </w:tc>
        <w:tc>
          <w:tcPr>
            <w:tcW w:w="30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660" w:hanging="328"/>
        <w:spacing w:after="0" w:line="209" w:lineRule="auto"/>
        <w:tabs>
          <w:tab w:leader="none" w:pos="66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Ms. Campbell assumed the role of Executive Vice President and Chief Financial Officer on March 4, 2019 and received a $50,000 increase in her base salary effective August 1, 2019 to compensate her for the expansion of her responsibilities to include oversight of the Capital Markets and Investor Relations functions.</w:t>
      </w:r>
    </w:p>
    <w:p>
      <w:pPr>
        <w:spacing w:after="0" w:line="1" w:lineRule="exact"/>
        <w:rPr>
          <w:rFonts w:ascii="Arial" w:cs="Arial" w:eastAsia="Arial" w:hAnsi="Arial"/>
          <w:sz w:val="30"/>
          <w:szCs w:val="30"/>
          <w:color w:val="auto"/>
          <w:vertAlign w:val="superscript"/>
        </w:rPr>
      </w:pPr>
    </w:p>
    <w:p>
      <w:pPr>
        <w:ind w:left="660" w:hanging="328"/>
        <w:spacing w:after="0" w:line="180"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Mr. Zeleny assumed the role of Executive Vice President and Chief Administrative Officer on July 31, 2019.</w:t>
      </w:r>
    </w:p>
    <w:p>
      <w:pPr>
        <w:spacing w:after="0" w:line="2" w:lineRule="exact"/>
        <w:rPr>
          <w:rFonts w:ascii="Arial" w:cs="Arial" w:eastAsia="Arial" w:hAnsi="Arial"/>
          <w:sz w:val="25"/>
          <w:szCs w:val="25"/>
          <w:color w:val="auto"/>
          <w:vertAlign w:val="superscript"/>
        </w:rPr>
      </w:pPr>
    </w:p>
    <w:p>
      <w:pPr>
        <w:ind w:left="660" w:hanging="328"/>
        <w:spacing w:after="0" w:line="194" w:lineRule="auto"/>
        <w:tabs>
          <w:tab w:leader="none" w:pos="66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auto"/>
        </w:rPr>
        <w:t>Ms. Dondzila resigned as Senior Vice President and Chief Accounting Officer on May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Compensation for our NEOs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Ocwen’s annual incentive compensation opportunity for eligible employees, including our executive officers, is provided under the 1998 Annual Incentive Plan (AIP), as amended, which has been approved by our shareholders. Awards under the plan are paid in cash or, in the Compensation Committee’s discretion, all or a portion of the total award value may be paid in the form of equity awards of our stock. Awards under the plan for 2019 were in the form of cash. The plan provides the Compensation Committee with the authority to establish incentive award guidelines which are further discussed below. If equity awards are granted as payment of an award under the 1998 Annual Incentive Plan, they will be granted pursuant to the 2017 Performance Incentive Plan discussed below. Other equity awards may also be made under the 2017 Performance Incentive Plan as discussed below.</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executive officer has a target annual incentive award that is expressed as a percentage of base salary. The target annual incentive award for each executive officer was determined by the Compensation Committee based on its assessment of the nature and scope of each executive officer’s responsibilities and an assessment of compensation levels necessary to maintain and attract quality personnel as informed by market benchmarking.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earlier in the Compensation Highlights section, the implementation of an annual LTIP is a continuation of our compensation strategy, which is to ensure that our executives’ overall pay mix accounts for both short-term and long-term objectives and will result in reduced target short-term compensation delivered through our Annual Incentive Plan. 2019 AIP targets were reduced from 2018 levels for many senior leaders, including Mr. Anderson. Mr. Messina’s 2019 AIP target was voluntarily reduced as part of cost savings initiatives. Ms. Campbell and Messrs. Yanoti and Zeleny were not eligible for the 2018 AIP.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The table below reflects each presently-serving NEO’s 2019 AIP targets expressed as a percentage of his or her base salary and a comparison against 2018 AIP targets, if applicable. Under Ms. Dondzila’s separation agreement with the Company, she was not eligible for payouts under the 2019 Annual Incentive Plan and as such she is excluded from the below chart and subsequent narrative on 2019 AIP.</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340"/>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1"/>
              </w:rPr>
              <w:t>Annualized AIP Target</w:t>
            </w:r>
            <w:r>
              <w:rPr>
                <w:rFonts w:ascii="Arial" w:cs="Arial" w:eastAsia="Arial" w:hAnsi="Arial"/>
                <w:sz w:val="29"/>
                <w:szCs w:val="29"/>
                <w:b w:val="1"/>
                <w:bCs w:val="1"/>
                <w:color w:val="auto"/>
                <w:w w:val="91"/>
                <w:vertAlign w:val="superscript"/>
              </w:rPr>
              <w:t>(1)</w:t>
            </w: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8"/>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As of</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12/31/2018 or</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2019 Date of</w:t>
            </w: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9"/>
              </w:rPr>
              <w:t>% of</w:t>
            </w: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12/31/2019 or</w:t>
            </w: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 of</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Percent Change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Hire</w:t>
            </w:r>
          </w:p>
        </w:tc>
        <w:tc>
          <w:tcPr>
            <w:tcW w:w="16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Annualized</w:t>
            </w:r>
          </w:p>
        </w:tc>
        <w:tc>
          <w:tcPr>
            <w:tcW w:w="1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Separation</w:t>
            </w: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Annualized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 AIP Target</w:t>
            </w: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Salary</w:t>
            </w: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Borders>
              <w:bottom w:val="single" w:sz="8" w:color="CCEEFF"/>
            </w:tcBorders>
          </w:tcPr>
          <w:p>
            <w:pPr>
              <w:spacing w:after="0"/>
              <w:rPr>
                <w:sz w:val="20"/>
                <w:szCs w:val="20"/>
                <w:color w:val="auto"/>
              </w:rPr>
            </w:pPr>
          </w:p>
        </w:tc>
      </w:tr>
      <w:tr>
        <w:trPr>
          <w:trHeight w:val="283"/>
        </w:trPr>
        <w:tc>
          <w:tcPr>
            <w:tcW w:w="266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1,125,000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r>
      <w:tr>
        <w:trPr>
          <w:trHeight w:val="283"/>
        </w:trPr>
        <w:tc>
          <w:tcPr>
            <w:tcW w:w="2860" w:type="dxa"/>
            <w:vAlign w:val="bottom"/>
            <w:gridSpan w:val="2"/>
          </w:tcPr>
          <w:p>
            <w:pPr>
              <w:spacing w:after="0" w:line="284"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425,000</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r>
      <w:tr>
        <w:trPr>
          <w:trHeight w:val="283"/>
        </w:trPr>
        <w:tc>
          <w:tcPr>
            <w:tcW w:w="286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Timothy J. Yanoti</w:t>
            </w:r>
            <w:r>
              <w:rPr>
                <w:rFonts w:ascii="Arial" w:cs="Arial" w:eastAsia="Arial" w:hAnsi="Arial"/>
                <w:sz w:val="29"/>
                <w:szCs w:val="29"/>
                <w:color w:val="auto"/>
                <w:vertAlign w:val="superscript"/>
              </w:rPr>
              <w:t>(4)</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r>
        <w:trPr>
          <w:trHeight w:val="284"/>
        </w:trPr>
        <w:tc>
          <w:tcPr>
            <w:tcW w:w="2860" w:type="dxa"/>
            <w:vAlign w:val="bottom"/>
            <w:gridSpan w:val="2"/>
          </w:tcPr>
          <w:p>
            <w:pPr>
              <w:spacing w:after="0" w:line="284"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r>
      <w:tr>
        <w:trPr>
          <w:trHeight w:val="243"/>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bl>
    <w:p>
      <w:pPr>
        <w:spacing w:after="0" w:line="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Annualized AIP targets are pro-rated for in-year hire dates as well as in-year salary changes.</w:t>
      </w:r>
    </w:p>
    <w:p>
      <w:pPr>
        <w:spacing w:after="0" w:line="1"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Effective January 1, 2019, Mr. Messina’s Annualized Incentive Target was voluntarily reduced to $1,125,000.</w:t>
      </w:r>
    </w:p>
    <w:p>
      <w:pPr>
        <w:spacing w:after="0" w:line="2" w:lineRule="exact"/>
        <w:rPr>
          <w:rFonts w:ascii="Arial" w:cs="Arial" w:eastAsia="Arial" w:hAnsi="Arial"/>
          <w:sz w:val="23"/>
          <w:szCs w:val="23"/>
          <w:color w:val="auto"/>
          <w:vertAlign w:val="superscript"/>
        </w:rPr>
      </w:pPr>
    </w:p>
    <w:p>
      <w:pPr>
        <w:ind w:left="660" w:hanging="328"/>
        <w:spacing w:after="0" w:line="187" w:lineRule="auto"/>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Effective August 1, 2019 Ms. Campbell received a $50,000 increase in her AIP target effective to compensate her for the expansion of her responsibilities to include oversight of both the Capital Markets and Investor Relations functions.</w:t>
      </w:r>
    </w:p>
    <w:p>
      <w:pPr>
        <w:ind w:left="660" w:hanging="328"/>
        <w:spacing w:after="0" w:line="180"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Mr. Yanoti was not eligible for a 2018 AIP due to the date of his hire.</w:t>
      </w:r>
    </w:p>
    <w:p>
      <w:pPr>
        <w:spacing w:after="0" w:line="2" w:lineRule="exact"/>
        <w:rPr>
          <w:rFonts w:ascii="Arial" w:cs="Arial" w:eastAsia="Arial" w:hAnsi="Arial"/>
          <w:sz w:val="25"/>
          <w:szCs w:val="25"/>
          <w:color w:val="auto"/>
          <w:vertAlign w:val="superscript"/>
        </w:rPr>
      </w:pPr>
    </w:p>
    <w:p>
      <w:pPr>
        <w:ind w:left="660" w:hanging="328"/>
        <w:spacing w:after="0" w:line="187" w:lineRule="auto"/>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Effective January 1, 2019, Mr. Anderson’s AIP target was reduced from $500,000 to $450,000 as part of the introduction of the annual LTI awards and pay mix rebalancing.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Detail on the 2019 Annual Incentive Plan (AIP)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structured the 2019 AIP award opportunity to help motivate executives to deliver against the five key initiatives listed below that it believes will enhance Company performance and create a path for long-term shareholder value.</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 the integration of PHH into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Re-engineer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funding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Replenish portfolio runoff and restore growth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Fulfill regulatory commitments and resolve remaining legacy matters.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doing so, the Compensation Committee, working with the President and CEO, his management team and the Compensation Committee’s independent advisor, prioritized a series of 10 measurable objectives which formed the performance metrics of the Corporate Scorecard.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Determination for each NEO under the 2019 AIP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each executive other than the CEO, the 2019 AIP award opportunity was based on a combination of three components.</w:t>
      </w:r>
    </w:p>
    <w:p>
      <w:pPr>
        <w:spacing w:after="0" w:line="22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Company’s performance in meeting the objectives established in the corporate scorecard (the </w:t>
      </w:r>
      <w:r>
        <w:rPr>
          <w:rFonts w:ascii="Arial" w:cs="Arial" w:eastAsia="Arial" w:hAnsi="Arial"/>
          <w:sz w:val="18"/>
          <w:szCs w:val="18"/>
          <w:b w:val="1"/>
          <w:bCs w:val="1"/>
          <w:color w:val="auto"/>
        </w:rPr>
        <w:t>Corporate Scorecard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Meeting performance objectives of the executive officer’s business unit or support unit scorecard (the </w:t>
      </w:r>
      <w:r>
        <w:rPr>
          <w:rFonts w:ascii="Arial" w:cs="Arial" w:eastAsia="Arial" w:hAnsi="Arial"/>
          <w:sz w:val="18"/>
          <w:szCs w:val="18"/>
          <w:b w:val="1"/>
          <w:bCs w:val="1"/>
          <w:color w:val="auto"/>
        </w:rPr>
        <w:t>Business Unit Scorecard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Individual Performance</w:t>
      </w:r>
      <w:r>
        <w:rPr>
          <w:rFonts w:ascii="Arial" w:cs="Arial" w:eastAsia="Arial" w:hAnsi="Arial"/>
          <w:sz w:val="18"/>
          <w:szCs w:val="18"/>
          <w:color w:val="auto"/>
        </w:rPr>
        <w:t xml:space="preserve"> component which is based on an assessment of their individual performance against a number of key objectives unique to them, including achievement against key projects and their demonstrated leadership in promulgating a high-performing culture focused on teamwork, managing risk, and maintaining compliance.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The performance achievement level in the first two components creates the baseline funding level for the executive’s 2019 AIP award. Specifically, for the CEO, 100% of funding comes from the Corporate Scorecard, and for the other NEOs, 80% of the funding comes from the Corporate Scorecard and 20% from the Business Unit Scorecard.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baseline funding is then subject to an Individual Performance Multiplier recognizing the third component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Scorecard Component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Corporate Scorecard which drives the overall funding for the AIP is approved annually by the Compensation Committee. The Committee then delegates to the CEO the development of the Business Unit Scorecards. The 2019 Corporate Scorecard contained both specific financial goals and other non-financial goals that are aligned to key business initiatives, including risk management.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performance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Level of Achievement</w:t>
            </w:r>
          </w:p>
        </w:tc>
        <w:tc>
          <w:tcPr>
            <w:tcW w:w="2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Target Opportunity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Outstanding (Maximum)</w:t>
            </w:r>
          </w:p>
        </w:tc>
        <w:tc>
          <w:tcPr>
            <w:tcW w:w="160" w:type="dxa"/>
            <w:vAlign w:val="bottom"/>
            <w:vMerge w:val="continue"/>
          </w:tcPr>
          <w:p>
            <w:pPr>
              <w:spacing w:after="0"/>
              <w:rPr>
                <w:sz w:val="18"/>
                <w:szCs w:val="18"/>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Threshold</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measured the level of performance achievement against scorecard objectives using both quantitative and qualitative assessments, as appropriate. Quantitative assessments were used when the objective measure was numeric in nature, such as meeting the budget. For the assessments, the level of achievement was determined using straight-line interpolation between the “threshold”, “target” and “maximum” anchor posts, as applicable. Other objectives required a more nuanced and qualitative assessment, even for objectives containing deadlines and metrics which defined achievement, such as risk and compliance objectives. Achievement against these qualitative objectives were scored either “Pass” or “Fail” and yielded funding of 100% or 0%,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Committee’s assessment of the level of performance achieved against scorecard objectives, the information on which the Committee based its assessment was first reviewed and verified by the Company’s Internal Audit, Finance and Risk Management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color w:val="auto"/>
        </w:rPr>
        <w:t>Based on the Company’s actual performance and the relative weightings assigned to each of the 10 objectives, the overall Corporate Scorecard 2019 AIP funding was 113.5%. Our Corporate Scorecard for 2019 and corresponding achievement levels are detailed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940" w:type="dxa"/>
            <w:vAlign w:val="bottom"/>
            <w:tcBorders>
              <w:top w:val="single" w:sz="8" w:color="auto"/>
              <w:left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Objective</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Performance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Corporate Objective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Weight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Outcome</w:t>
            </w:r>
          </w:p>
        </w:tc>
        <w:tc>
          <w:tcPr>
            <w:tcW w:w="1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Achievement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Achievement</w:t>
            </w: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Financial Objectives</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4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Full-year pre-tax income before notable items</w:t>
            </w:r>
            <w:r>
              <w:rPr>
                <w:rFonts w:ascii="Arial" w:cs="Arial" w:eastAsia="Arial" w:hAnsi="Arial"/>
                <w:sz w:val="25"/>
                <w:szCs w:val="25"/>
                <w:color w:val="auto"/>
                <w:vertAlign w:val="superscript"/>
              </w:rPr>
              <w:t>(1)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 (both</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-$117M</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-$96M</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-$72M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-$67M</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62.2%</w:t>
            </w:r>
          </w:p>
        </w:tc>
        <w:tc>
          <w:tcPr>
            <w:tcW w:w="0" w:type="dxa"/>
            <w:vAlign w:val="bottom"/>
          </w:tcPr>
          <w:p>
            <w:pPr>
              <w:spacing w:after="0"/>
              <w:rPr>
                <w:sz w:val="1"/>
                <w:szCs w:val="1"/>
                <w:color w:val="auto"/>
              </w:rPr>
            </w:pPr>
          </w:p>
        </w:tc>
      </w:tr>
      <w:tr>
        <w:trPr>
          <w:trHeight w:val="215"/>
        </w:trPr>
        <w:tc>
          <w:tcPr>
            <w:tcW w:w="394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objectives</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must meet</w:t>
            </w:r>
          </w:p>
        </w:tc>
        <w:tc>
          <w:tcPr>
            <w:tcW w:w="10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40" w:type="dxa"/>
            <w:vAlign w:val="bottom"/>
            <w:tcBorders>
              <w:left w:val="single" w:sz="8" w:color="auto"/>
              <w:right w:val="single" w:sz="8" w:color="auto"/>
            </w:tcBorders>
            <w:vMerge w:val="restart"/>
          </w:tcPr>
          <w:p>
            <w:pPr>
              <w:ind w:left="20"/>
              <w:spacing w:after="0" w:line="303" w:lineRule="exact"/>
              <w:rPr>
                <w:sz w:val="20"/>
                <w:szCs w:val="20"/>
                <w:color w:val="auto"/>
              </w:rPr>
            </w:pPr>
            <w:r>
              <w:rPr>
                <w:rFonts w:ascii="Arial" w:cs="Arial" w:eastAsia="Arial" w:hAnsi="Arial"/>
                <w:sz w:val="18"/>
                <w:szCs w:val="18"/>
                <w:color w:val="auto"/>
                <w:w w:val="90"/>
              </w:rPr>
              <w:t>Fourth-quarter pre-tax income before notable items</w:t>
            </w:r>
            <w:r>
              <w:rPr>
                <w:rFonts w:ascii="Arial" w:cs="Arial" w:eastAsia="Arial" w:hAnsi="Arial"/>
                <w:sz w:val="29"/>
                <w:szCs w:val="29"/>
                <w:color w:val="auto"/>
                <w:w w:val="90"/>
                <w:vertAlign w:val="superscript"/>
              </w:rPr>
              <w:t>(1)</w:t>
            </w:r>
          </w:p>
        </w:tc>
        <w:tc>
          <w:tcPr>
            <w:tcW w:w="10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-$9M</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$1M</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$25M</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$12M</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124.5%</w:t>
            </w: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vMerge w:val="continue"/>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threshold</w:t>
            </w:r>
          </w:p>
        </w:tc>
        <w:tc>
          <w:tcPr>
            <w:tcW w:w="102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achievement)</w:t>
            </w:r>
          </w:p>
        </w:tc>
        <w:tc>
          <w:tcPr>
            <w:tcW w:w="10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Key Strategic Priorities</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Execute the integration - complete integration, loan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Up to 30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Achieve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At least 30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Achieved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boarding and legal entity merger actions and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days behind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integration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days ahead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integration</w:t>
            </w: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milestones per finalized integration plans as of March</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schedule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of schedule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plan</w:t>
            </w: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15, 2019</w:t>
            </w:r>
          </w:p>
        </w:tc>
        <w:tc>
          <w:tcPr>
            <w:tcW w:w="10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overall</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milestones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overall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milestones</w:t>
            </w: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Achieve 2019 Board approved business plan volume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$23B</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$27B</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$43B</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$17B</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objectives (amount and timing) - $ billions unpaid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principal balance (UPB) replenishment funded by</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and in the calendar year within targeted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risk/return thresholds</w:t>
            </w:r>
          </w:p>
        </w:tc>
        <w:tc>
          <w:tcPr>
            <w:tcW w:w="10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Cost re-engineering annualized cost reduction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$300M</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$327M</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$345M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$347M</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0" w:type="dxa"/>
            <w:vAlign w:val="bottom"/>
          </w:tcPr>
          <w:p>
            <w:pPr>
              <w:spacing w:after="0"/>
              <w:rPr>
                <w:sz w:val="1"/>
                <w:szCs w:val="1"/>
                <w:color w:val="auto"/>
              </w:rPr>
            </w:pPr>
          </w:p>
        </w:tc>
      </w:tr>
      <w:tr>
        <w:trPr>
          <w:trHeight w:val="294"/>
        </w:trPr>
        <w:tc>
          <w:tcPr>
            <w:tcW w:w="3940" w:type="dxa"/>
            <w:vAlign w:val="bottom"/>
            <w:tcBorders>
              <w:left w:val="single" w:sz="8" w:color="auto"/>
              <w:bottom w:val="single" w:sz="8" w:color="auto"/>
              <w:right w:val="single" w:sz="8" w:color="auto"/>
            </w:tcBorders>
          </w:tcPr>
          <w:p>
            <w:pPr>
              <w:ind w:left="20"/>
              <w:spacing w:after="0" w:line="294" w:lineRule="exact"/>
              <w:rPr>
                <w:sz w:val="20"/>
                <w:szCs w:val="20"/>
                <w:color w:val="auto"/>
              </w:rPr>
            </w:pPr>
            <w:r>
              <w:rPr>
                <w:rFonts w:ascii="Arial" w:cs="Arial" w:eastAsia="Arial" w:hAnsi="Arial"/>
                <w:sz w:val="18"/>
                <w:szCs w:val="18"/>
                <w:color w:val="auto"/>
              </w:rPr>
              <w:t>achievement by year-end</w:t>
            </w:r>
            <w:r>
              <w:rPr>
                <w:rFonts w:ascii="Arial" w:cs="Arial" w:eastAsia="Arial" w:hAnsi="Arial"/>
                <w:sz w:val="29"/>
                <w:szCs w:val="29"/>
                <w:color w:val="auto"/>
                <w:vertAlign w:val="superscript"/>
              </w:rPr>
              <w:t>(2)</w:t>
            </w: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Establish funding for growth - achieve financing plan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objectives of $100M senior secured term loan</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upsizing, 60% financing for purchased mortgage</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servicing rights (MSRs), and 60% secured funding</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against existing agency and Ginnie Mae MSRs on</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market rates and terms; all facilities renewed on time</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 market rates and terms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Timely and complete fulfillment of regulatory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commitment deliverables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Risk and Compliance</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Promote Risk and Compliance culture within Board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28.75%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Risk Appetite thresholds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(objectives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940" w:type="dxa"/>
            <w:vAlign w:val="bottom"/>
            <w:tcBorders>
              <w:left w:val="single" w:sz="8" w:color="auto"/>
              <w:bottom w:val="single" w:sz="8" w:color="auto"/>
              <w:right w:val="single" w:sz="8" w:color="auto"/>
            </w:tcBorders>
          </w:tcPr>
          <w:p>
            <w:pPr>
              <w:spacing w:after="0"/>
              <w:rPr>
                <w:sz w:val="3"/>
                <w:szCs w:val="3"/>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evaluated in</w:t>
            </w: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1"/>
              </w:rPr>
              <w:t>Timely resolution of open issue remediation items (%</w:t>
            </w:r>
          </w:p>
        </w:tc>
        <w:tc>
          <w:tcPr>
            <w:tcW w:w="104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80%</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90%</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1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93%</w:t>
            </w:r>
          </w:p>
        </w:tc>
        <w:tc>
          <w:tcPr>
            <w:tcW w:w="11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resolved by policy remediation date)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the aggregate)</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940" w:type="dxa"/>
            <w:vAlign w:val="bottom"/>
            <w:tcBorders>
              <w:left w:val="single" w:sz="8" w:color="auto"/>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No significant current audit, exam or SOX matters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113.5%</w:t>
            </w: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85"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Pre-tax income before notable items for purposes of the Corporate Scorecard excludes income statement notables and amortization of New Residential Investment Corp. (NRZ) lump-sum payments and refers to our pre-tax income/(loss) after excluding the positive impact of the amortization of NRZ lump-sum payments and after adjusting GAAP pre-tax income/(loss) for the following factors (1) Expense Notables (excluding MSR Valuation Adjustments, net), (2) changes in fair value of our Non-Agency MSRs due to changes in interest rates, valuation inputs and other assumptions, (3) changes in fair value of our Agency MSRs due to changes in interest rates, valuation inputs and other assumptions, net of hedge position, (4) offsets to changes in fair value of our MSRs in our NRZ financing liability due to changes in interest rates, valuation inputs and other assumptions, (5) changes in fair value of our reverse lending portfolio due to changes in interest rates, valuation inputs and other assumptions (6) gains related to exercising servicer call rights, and (7) certain other costs, including pension benefits (collectively, Other) consistent with the intent of providing management and investors with a supplemental means of evaluating our pre-tax income/(loss). Collectively, we refer to these adjustments as “income statement notables.” “Expense Notables” includes (1) expense related to severance, retention and other cost re-engineering actions, (2) certain significant legal and regulatory settlement expense items, (3) CFPB, Florida Attorney General/Florida Office of Financial Regulations and Massachusetts Attorney General litigation related legal expenses, state regulatory action related legal expenses and state regulatory action settlement related escrow analysis costs (collectively, CFPB and state regulatory defense and escrow analysis expenses), (4) NRZ consent process expenses related to the transfer of legal title in MSRs to NRZ, (5) PHH Corporation acquisition and integration planning expenses, (6) expense recoveries related to insurance recoveries of legal expenses, mortgage insurance claim settlement recoveries and amounts previously expensed from a service provider and (7) certain other costs including compensation expense reversals relating to departing executives and reversals of management incentive compensation payouts and reversals of reserves related to a legacy MSR sale (collectively, Other) consistent with the intent of providing management and investors with a supplemental means of evaluating our expenses.</w:t>
      </w:r>
    </w:p>
    <w:p>
      <w:pPr>
        <w:spacing w:after="0" w:line="173" w:lineRule="exact"/>
        <w:rPr>
          <w:rFonts w:ascii="Arial" w:cs="Arial" w:eastAsia="Arial" w:hAnsi="Arial"/>
          <w:sz w:val="16"/>
          <w:szCs w:val="16"/>
          <w:color w:val="auto"/>
        </w:rPr>
      </w:pPr>
    </w:p>
    <w:p>
      <w:pPr>
        <w:jc w:val="both"/>
        <w:ind w:firstLine="8"/>
        <w:spacing w:after="0" w:line="30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 re-engineering annualized cost reduction achievement by year-end for purposes of the Corporate Scorecard is compared to a 2Q’18 baseline and was adjusted for notable items, as defined above, and further adjusted to account for changes in certain beneficial GAAP accrual impacts that did not warrant inclusion for purposes of cost re-engineering performance measurement. See also Ocwen’s February 26, 2020 earnings call webcast and the accompanying presentation materials, which are available in the Shareholder Relations section of Ocwen’s website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578"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Business Unit Scorecard Component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developing the Business Unit Scorecard goals in the NEO scorecards, we incorporated a variety of quantitative and qualitative measures to incentivize performance that we believe will help perpetuate the long-term success of the Company and discourage executives from pursuing short-term goals that may not be consistent with achieving such long-term success. The level of performance achievement against Business Unit Scorecard objectives was determined in the same manner described in the Corporate Scorecard section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NEO’s Business Unit Scorecard contained components and weighting consistent with the Company’s Corporate Scorecard, including:</w:t>
      </w:r>
    </w:p>
    <w:p>
      <w:pPr>
        <w:spacing w:after="0" w:line="225"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Objectives (50% weight) contained the same full-year and fourth-quarter pre-tax income objectives for each executive officer’s respective area of responsibility;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Key Strategic Priorities (25% weight) measured critical functional objectives, including meeting PHH integration objectives and timelines, and goals around cost re-engineering, which linked back to the work that each NEO needed to accomplish in their respective area to help the Company achieve the 10 objectives contained in the Corporate Scorecard;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and Compliance (25% weight) contained the same objectives as the Corporate scorecard, measuring results for each executive officer’s respective area of responsibility.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NEO had a unique set of Key Strategic Priorities which correlated directly to line-of-sight objectives supporting Corporate objectives listed above in their respective area of responsibility and were weighted depending upon their relative importance within the category. Each executives Key Strategic Priorities included the following:</w:t>
      </w:r>
    </w:p>
    <w:p>
      <w:pPr>
        <w:spacing w:after="0" w:line="184" w:lineRule="exact"/>
        <w:rPr>
          <w:sz w:val="20"/>
          <w:szCs w:val="20"/>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Campbell’s Business Unit Scorecard was based on her oversight of the Finance, Capital Markets and Treasury departments, which included objectives on financial reporting and forecasting, and cultural transformation.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Yanoti’s Business Unit Scorecard was based on his oversight of the Originations organization, which included objectives on unpaid principal balance (UPB) replenishment and customer satisfaction scores.</w:t>
      </w: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Anderson’s Business Unit Scorecard was based on his oversight of the Servicing organization, which included objectives on on-boarding of loans, reduction of Consumer Financial Protection Bureau complaints, and customer satisfaction scores.</w:t>
      </w: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Zeleny’s Business Unit Scorecard was based on his oversight of the Human Resources, Communications and Facilities organizations, which included objectives on executing the human capital aspects associated with the PHH integration, including managing the reduction of the workforce and other strategic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Performance Component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accountable for both reviewing and approving the full-year performance evaluations and recommended performance appraisal ratings for each member of the Executive Leadership Team, including the President and CEO. The Compensation Committee considers recommendations from the CEO in determining performance appraisal ratings of the other NEOs. The CEO’s performance appraisal rating is determined by the Compensation Committee in consultation with the other non-management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7"/>
          <w:szCs w:val="17"/>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65" w:lineRule="exact"/>
        <w:rPr>
          <w:sz w:val="20"/>
          <w:szCs w:val="20"/>
          <w:color w:val="auto"/>
        </w:rPr>
      </w:pPr>
    </w:p>
    <w:p>
      <w:pPr>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Key Business Unit and Functional Priorities (55% weight) reflected individual goals required to meet the objectives contained in the Corporate and Business Unit Scorecards;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Leadership Expectations and Behaviors (25% weight, described below);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 and Compliance (20% weight) assessed executive performance in promoting a culture of risk and compliance, remediating of any identified issues, and lack of any material findings relating to audit, SOX or examination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Leadership expectations and behaviors for our executive team require them to:</w:t>
      </w:r>
    </w:p>
    <w:p>
      <w:pPr>
        <w:spacing w:after="0" w:line="279"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Behave as a leadership role model and lead by example, demonstrate integrity, create a culture in which we keep our promises, treats all with respect and dignity, and build trust within and outside the organization.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Build strong working relationships in which they solicit, consider and appropriately incorporate perspectives from others.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Drive and deliver exceptional results by proactively anticipating situations that require a plan of action, identifying critical issues and assuming personal ownership for driving their resolution.</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Lead efforts on diversity and inclusion by creating, promoting and sustaining an inclusive work environment in which diversity, inclusiveness and respect are integral parts of our culture and work environment.</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Build and motivate a high performing team by identifying and securing top talent to increase performance while also actively holding people accountable for results and behaviors.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Lead change by providing a visible anchor for others and helping resolve breakdowns in times of transition and uncertainty, and by convincing others of the need for change to support critical organizational objectives.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then evaluates the proposed results and performance appraisal recommendations and determines the final incentive compensation awards for each executive. Each executive receives an individual Performance Appraisal rating against a 4-point scale with an “individual performance multiplier” that is applied to their funded Annual Incentive, as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value for the multiplier is determined by the Compensation Committee using a value from the range shown in the chart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Individual Performance</w:t>
            </w:r>
          </w:p>
        </w:tc>
        <w:tc>
          <w:tcPr>
            <w:tcW w:w="1680" w:type="dxa"/>
            <w:vAlign w:val="bottom"/>
          </w:tcPr>
          <w:p>
            <w:pPr>
              <w:spacing w:after="0"/>
              <w:rPr>
                <w:sz w:val="18"/>
                <w:szCs w:val="18"/>
                <w:color w:val="auto"/>
              </w:rPr>
            </w:pPr>
          </w:p>
        </w:tc>
      </w:tr>
      <w:tr>
        <w:trPr>
          <w:trHeight w:val="241"/>
        </w:trPr>
        <w:tc>
          <w:tcPr>
            <w:tcW w:w="48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Individual Performance Rating</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Multiplier</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Exceeds Expectations</w:t>
            </w:r>
          </w:p>
        </w:tc>
        <w:tc>
          <w:tcPr>
            <w:tcW w:w="2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Fully Meets Expectations</w:t>
            </w:r>
          </w:p>
        </w:tc>
        <w:tc>
          <w:tcPr>
            <w:tcW w:w="4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95-105%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Sometimes Meets Expectations</w:t>
            </w:r>
          </w:p>
        </w:tc>
        <w:tc>
          <w:tcPr>
            <w:tcW w:w="4740" w:type="dxa"/>
            <w:vAlign w:val="bottom"/>
            <w:gridSpan w:val="4"/>
          </w:tcPr>
          <w:p>
            <w:pPr>
              <w:jc w:val="right"/>
              <w:ind w:right="160"/>
              <w:spacing w:after="0"/>
              <w:rPr>
                <w:sz w:val="20"/>
                <w:szCs w:val="20"/>
                <w:color w:val="auto"/>
              </w:rPr>
            </w:pPr>
            <w:r>
              <w:rPr>
                <w:rFonts w:ascii="Arial" w:cs="Arial" w:eastAsia="Arial" w:hAnsi="Arial"/>
                <w:sz w:val="18"/>
                <w:szCs w:val="18"/>
                <w:color w:val="auto"/>
              </w:rPr>
              <w:t>70-95%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Does Not Meet Expectations</w:t>
            </w:r>
          </w:p>
        </w:tc>
        <w:tc>
          <w:tcPr>
            <w:tcW w:w="4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Performance Rating for Each NEO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careful consideration, the Compensation Committee - and the full Board, in the case of the CEO - determined that each of the NEOs’ performance warranted an Exceeds Expectations performance rating in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Synopsis of Performance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Multiplier</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800" w:type="dxa"/>
            <w:vAlign w:val="bottom"/>
            <w:tcBorders>
              <w:top w:val="single" w:sz="8" w:color="auto"/>
            </w:tcBorders>
            <w:gridSpan w:val="3"/>
          </w:tcPr>
          <w:p>
            <w:pPr>
              <w:ind w:left="60"/>
              <w:spacing w:after="0" w:line="201" w:lineRule="exact"/>
              <w:rPr>
                <w:sz w:val="20"/>
                <w:szCs w:val="20"/>
                <w:color w:val="auto"/>
              </w:rPr>
            </w:pPr>
            <w:r>
              <w:rPr>
                <w:rFonts w:ascii="Arial" w:cs="Arial" w:eastAsia="Arial" w:hAnsi="Arial"/>
                <w:sz w:val="18"/>
                <w:szCs w:val="18"/>
                <w:color w:val="auto"/>
                <w:w w:val="94"/>
              </w:rPr>
              <w:t>Quickly  assessed  leadership,  retaining  key  individuals  and  recruited  strong  external</w:t>
            </w:r>
          </w:p>
        </w:tc>
        <w:tc>
          <w:tcPr>
            <w:tcW w:w="10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125%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3"/>
              </w:rPr>
              <w:t>complement necessary to execute against the complex turn-around and integration required</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in 2019.</w:t>
            </w: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Formulated and achieved an ambitious strategic and annual Business Plan which clearly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identified the nature and magnitude of both the opportunities and challenges facing the</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9"/>
              </w:rPr>
              <w:t>business and established concrete and measurable actions to address them including</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establishing a new originations business.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 Put in place a</w:t>
            </w:r>
          </w:p>
        </w:tc>
        <w:tc>
          <w:tcPr>
            <w:tcW w:w="4560" w:type="dxa"/>
            <w:vAlign w:val="bottom"/>
          </w:tcPr>
          <w:p>
            <w:pPr>
              <w:ind w:left="60"/>
              <w:spacing w:after="0"/>
              <w:rPr>
                <w:sz w:val="20"/>
                <w:szCs w:val="20"/>
                <w:color w:val="auto"/>
              </w:rPr>
            </w:pPr>
            <w:r>
              <w:rPr>
                <w:rFonts w:ascii="Arial" w:cs="Arial" w:eastAsia="Arial" w:hAnsi="Arial"/>
                <w:sz w:val="18"/>
                <w:szCs w:val="18"/>
                <w:color w:val="auto"/>
                <w:w w:val="95"/>
              </w:rPr>
              <w:t>disciplined operating system (people, process, technology)</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to effectively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manage achievement of business plan objectives and mitigate risk.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Put in place performance and incentive programs that reinforced driving results that right</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way including transformation needed around collaboration, transparency, self-identification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w w:val="90"/>
              </w:rPr>
              <w:t>of risks and issues, timely remediation with appropriate and scalable solutions.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8"/>
              </w:rPr>
              <w:t>● Re-established</w:t>
            </w:r>
          </w:p>
        </w:tc>
        <w:tc>
          <w:tcPr>
            <w:tcW w:w="4560" w:type="dxa"/>
            <w:vAlign w:val="bottom"/>
          </w:tcPr>
          <w:p>
            <w:pPr>
              <w:ind w:left="60"/>
              <w:spacing w:after="0"/>
              <w:rPr>
                <w:sz w:val="20"/>
                <w:szCs w:val="20"/>
                <w:color w:val="auto"/>
              </w:rPr>
            </w:pPr>
            <w:r>
              <w:rPr>
                <w:rFonts w:ascii="Arial" w:cs="Arial" w:eastAsia="Arial" w:hAnsi="Arial"/>
                <w:sz w:val="18"/>
                <w:szCs w:val="18"/>
                <w:color w:val="auto"/>
                <w:w w:val="98"/>
              </w:rPr>
              <w:t>proactive  and  effective  relationships  with  key  external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constituents:</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shareholders, lenders, rating agencies, regulators, and consumer advocacy groups to provide</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w w:val="98"/>
              </w:rPr>
              <w:t>updates on key initiatives and promote a positive image of the company.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Improved leadership diversity at VP and above levels in the US, increasing representation of</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women from 27% to 32% and minorities from 17% to 20%. Outside the US where diversity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is measured by gender, the representation of women in Senior Manager roles increased from</w:t>
            </w: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13% to 17%.</w:t>
            </w:r>
          </w:p>
        </w:tc>
        <w:tc>
          <w:tcPr>
            <w:tcW w:w="4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23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Took on a highly challenging leadership role and reorganized the function to upgrade talent</w:t>
            </w: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115%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and capability, process and systems and exit underperformers.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Under her direction, actions were sequenced to provide pay-down capacity while maintaining</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rPr>
              <w:t>investment capability and all working capital facilities were renewed on or prior to</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termination dates, achieving significant savings on multiple renewals.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Eliminated duplicate systems and migrated to a single platform with no restatements or SOX</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control deficiencies, built a client and investor level financial analysis and new cost per loan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model for Servicing and defined requirements and re-defined channel-specific financial</w:t>
            </w: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views for Lending.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23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Stabilized the Lending organization and oversaw the significant integration objective by</w:t>
            </w: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2"/>
              </w:rPr>
              <w:t>developing a strategy and business plan for Lending, quickly communicating his clear vision,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recruiting a strong leadership team, turning around the culture, exiting subpar performers and</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removing $40 million of cost from the business.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 Started up the</w:t>
            </w:r>
          </w:p>
        </w:tc>
        <w:tc>
          <w:tcPr>
            <w:tcW w:w="4560" w:type="dxa"/>
            <w:vAlign w:val="bottom"/>
          </w:tcPr>
          <w:p>
            <w:pPr>
              <w:ind w:left="40"/>
              <w:spacing w:after="0"/>
              <w:rPr>
                <w:sz w:val="20"/>
                <w:szCs w:val="20"/>
                <w:color w:val="auto"/>
              </w:rPr>
            </w:pPr>
            <w:r>
              <w:rPr>
                <w:rFonts w:ascii="Arial" w:cs="Arial" w:eastAsia="Arial" w:hAnsi="Arial"/>
                <w:sz w:val="18"/>
                <w:szCs w:val="18"/>
                <w:color w:val="auto"/>
                <w:w w:val="97"/>
              </w:rPr>
              <w:t>Correspondent channel and overall lending was profitable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by the fourth</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5"/>
              </w:rPr>
              <w:t>quarter, positioning the Company for a target of over $10 billion in lending volume in 2020</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compared to $1.4 billion in 2018.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 Met or exceeded all of Lending’s financial objectives, exceeding the Lending Pre-Tax</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Income and volume targets.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7"/>
              </w:rPr>
              <w:t>Integrated two fundamentally different lending platforms on different systems in different</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locations, while accommodating the closure of a key lending headquarters in the forward</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lending business.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7"/>
              </w:rPr>
              <w:t>● Completed numerous state and federal audits throughout 2019 with no material findings.</w:t>
            </w:r>
          </w:p>
        </w:tc>
        <w:tc>
          <w:tcPr>
            <w:tcW w:w="1800" w:type="dxa"/>
            <w:vAlign w:val="bottom"/>
          </w:tcPr>
          <w:p>
            <w:pPr>
              <w:spacing w:after="0"/>
              <w:rPr>
                <w:sz w:val="20"/>
                <w:szCs w:val="20"/>
                <w:color w:val="auto"/>
              </w:rPr>
            </w:pPr>
          </w:p>
        </w:tc>
      </w:tr>
      <w:tr>
        <w:trPr>
          <w:trHeight w:val="466"/>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42</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Scott W. Anderson</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Planned for and executed the integration of the PHH-Ocwen operating platforms and the</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7"/>
              </w:rPr>
              <w:t>Black Knight Financial Services, Inc. LoanSphere MSP® servicing system onboarding while</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overseeing 23 functional area integration plans.</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Surpassed Servicing’s 2019 annualized cost reduction goal by 20%.</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8"/>
              </w:rPr>
              <w:t>Developed a dynamic cost of servicing model which enabled us to differentiate/understand</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8"/>
              </w:rPr>
              <w:t>servicing costs across three vectors, ultimately transforming the model from an analytic tool</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to a decision-making tool.</w:t>
            </w:r>
          </w:p>
        </w:tc>
        <w:tc>
          <w:tcPr>
            <w:tcW w:w="82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Delivered on all Servicing regulatory commitments.</w:t>
            </w:r>
          </w:p>
        </w:tc>
        <w:tc>
          <w:tcPr>
            <w:tcW w:w="820" w:type="dxa"/>
            <w:vAlign w:val="bottom"/>
          </w:tcPr>
          <w:p>
            <w:pPr>
              <w:spacing w:after="0"/>
              <w:rPr>
                <w:sz w:val="20"/>
                <w:szCs w:val="20"/>
                <w:color w:val="auto"/>
              </w:rPr>
            </w:pPr>
          </w:p>
        </w:tc>
      </w:tr>
      <w:tr>
        <w:trPr>
          <w:trHeight w:val="418"/>
        </w:trPr>
        <w:tc>
          <w:tcPr>
            <w:tcW w:w="1880" w:type="dxa"/>
            <w:vAlign w:val="bottom"/>
          </w:tcPr>
          <w:p>
            <w:pPr>
              <w:spacing w:after="0"/>
              <w:rPr>
                <w:sz w:val="20"/>
                <w:szCs w:val="20"/>
                <w:color w:val="auto"/>
              </w:rPr>
            </w:pPr>
            <w:r>
              <w:rPr>
                <w:rFonts w:ascii="Arial" w:cs="Arial" w:eastAsia="Arial" w:hAnsi="Arial"/>
                <w:sz w:val="18"/>
                <w:szCs w:val="18"/>
                <w:color w:val="auto"/>
              </w:rPr>
              <w:t>Dennis Zeleny</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Quickly implemented a human capital agenda to support the merger and integration of</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people, processes and programs of Ocwen and PHH.</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Led efforts to achieve Ocwen’s cost and synergy restructuring goals in the areas of site</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8"/>
              </w:rPr>
              <w:t>operations and personnel, which included the closing of eight facilities and the reduction of</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over 26% of the workforce from point of PHH’s acquisition.</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Executed human capital plan including staffing efforts, extensive communication, and</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providing each outplaced employee with professional transition support.</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9"/>
              </w:rPr>
              <w:t>Developed and deployed training to over 4,000 employees on the new mortgage servicing</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platform which was a critical requirement of the integration.</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8"/>
              </w:rPr>
              <w:t>Demonstrated significant agility in responding to unplanned human capital business needs,</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including the design and launch of new corporate performance management process and</w:t>
            </w:r>
          </w:p>
        </w:tc>
        <w:tc>
          <w:tcPr>
            <w:tcW w:w="82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long-term incentive program.</w:t>
            </w:r>
          </w:p>
        </w:tc>
        <w:tc>
          <w:tcPr>
            <w:tcW w:w="8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Calculation of Total 2019 AIP Awards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Outlined below are the payout results (expressed as a percentage) for each component of the annual incentive opportunity: corporate component (based on the Corporate Scorecard), business unit component (based on the Business Unit Scorecard), individual component (individual performance multiplier based on performance appraisal) and total payout as a percentage of target annual incentive for each NEO.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w w:val="99"/>
              </w:rPr>
              <w:t>Payout for Annual Incentive Awards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Organization Performance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Individual Performance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Final Award</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Final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Reduction to</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7"/>
              </w:rPr>
              <w:t>Unit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Remain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Payout (as 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Component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Component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Baseline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Resulting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within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 of Target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(80%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Funding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Preliminary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77"/>
        </w:trPr>
        <w:tc>
          <w:tcPr>
            <w:tcW w:w="316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weight)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weight)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(100%)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Award</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Budget</w:t>
            </w:r>
            <w:r>
              <w:rPr>
                <w:rFonts w:ascii="Arial" w:cs="Arial" w:eastAsia="Arial" w:hAnsi="Arial"/>
                <w:sz w:val="29"/>
                <w:szCs w:val="29"/>
                <w:b w:val="1"/>
                <w:bCs w:val="1"/>
                <w:color w:val="auto"/>
                <w:w w:val="84"/>
                <w:vertAlign w:val="superscript"/>
              </w:rPr>
              <w:t>(1)</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Incentive)</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10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113.5%</w:t>
            </w:r>
            <w:r>
              <w:rPr>
                <w:rFonts w:ascii="Arial" w:cs="Arial" w:eastAsia="Arial" w:hAnsi="Arial"/>
                <w:sz w:val="29"/>
                <w:szCs w:val="29"/>
                <w:color w:val="auto"/>
                <w:w w:val="84"/>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136.0%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113.7%</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88"/>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130.8%</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125.4%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119.5%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118.0%</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114.4%</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88"/>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137.3%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131.6%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129.5%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194" w:lineRule="auto"/>
        <w:tabs>
          <w:tab w:leader="none" w:pos="66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A negative adjustment of 4.14% was applied to all AIP eligible employees, including our NEOs, in order to remain within the budgeted cost for the 2019 AIP program.</w:t>
      </w:r>
    </w:p>
    <w:p>
      <w:pPr>
        <w:ind w:left="660" w:hanging="328"/>
        <w:spacing w:after="0" w:line="180"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Mr. Messina’s Total Baseline Funding was weighted 100% on Corporate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2019 Long-Term Incentive Plan (LTIP)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Ocwen’s long-term incentive opportunity for eligible employees, including executive officers, through equity awards is provided under the 2017 Performance Incentive Plan (the “2017 Plan”). The 2017 Plan authorizes the grant of restricted stock, restricted stock units, options, stock appreciation rights or other equity-based awards, including cash-settled awards, to our employees (including executive officers), directors, advisors and consultants. To date, we have made grants under the 2017 Plan only to employees and directors. We implemented the 2017 Plan to motivate employees to make extraordinary efforts to achieve significant improvements to shareholder value, support retention of key employees and align the interests of our employees with the interests of our shareholders.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periodically reviews the granting of equity awards to employees based on such factors as Company performance, market competitive conditions and advice on executive compensation from the Compensation Committee’s independent compensation consultant.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Long-Term Incentive (LTI) Awards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annual LTI is designed to promote actions and decisions aligned with our strategic objectives and reward our executives and other program participants for long-term value creation for our shareholders in a manner that is consistent with our pay-for-performance philosophy. The implementation of the annual LTI program in 2019 is a continuation of our compensation strategy to ensure that our executives’ overall pay mix accounts for both short-term and long-term objectives and will result in reduced target short-term compensation delivered through our Annual Incentive Plan.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program includes both a time-vesting component for retention purposes and performance-based component to align with pay-for-performance objectives. Half of the target value is granted as restricted stock units (RSUs) vesting in equal thirds on the first, second and third anniversaries of the grant, and half is granted as performance-restricted stock units (PRSUs) vesting at the end of a measurement period from March 29, 2019 through March 29, 2021 based on cumulative Total Shareholder Return (TSR) during such period. The number of target PRSUs that may vest based on cumulative TSR performance during the measurement period are interpolated between threshold 50% of PRSUs at 27.3% TSR, target 100% of PRSUs at 59.1% TSR, and maximum 200% of PRSUs at 91.0% TSR. No PRSUs will vest if TSR is below threshold.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Messina, Anderson, Yanoti and Zeleny and Ms. Dondzila received awards under the 2019 annual LTI program. Ms. Dondzila’s award was later forfeited prior to any vesting upon her resignation. With the exception of Mr. Messina’s award, these awards will be cash-settled to avoid share dilution, but were granted as share-based units to align final award value with share performance.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Messrs. Messina and Anderson and Ms. Dondzila received additional “transitional” awards relating to the 35% reduction of their 2018 bonus payment. Ms. Dondzila’s award was later forfeited prior to any vesting upon her resignation. These cash-settled restricted stock unit awards vest in equal thirds on the first, second and third anniversaries of the grant dates based on the Company’s cumulative TSR during three performance periods, each beginning March 29, 2019. The number of target PRSUs that may vest range based on cumulative TSR performance during each measurement period are interpolated between 50% at threshold, 100% at target, and 200% at maximum. No PRSUs will vest if cumulative TSR is below threshold. For the one-, two- and three-year periods ending March 29, 2020, 2021 and 2022, cumulative TSR performance thresholds are 8.4%, 17.4% and 27.3%, targets are 16.7%, 36.3% and 59.1%, and maximums are 24.0%, 54.0% and 94.0%, respectively.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Ms. Campbell’s new hire offer, she was granted the following equity awards on March 4, 2019: (1) a stock option with a grant date fair value of $72,000 and an exercise price equal to the closing price of our stock on the date of grant, which vest in equal thirds on the first, second and third anniversaries of the grant date, (2) RSUs with a grant date fair value of $53,000, which vest in equal thirds on the first, second and third anniversaries of the grant date, and (3) PRSUs with a grant date fair value of $125,000, which vest in equal fourths on the first, second, third and fourth anniversaries of the grant date, provided that on or before the fourth anniversary of the grant date, the average of the closing stock price over a period of 20 consecutive trading days equal or exceeds $4.34. Ms. Campbell did not receive any awards under the 2019 annual LTI program but expects to participate in the 2020 annual LTI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table below shows the annual target value of equity awards granted to our current NEOs in 2019 as well the percentage of the target value of such equity awards that are subject to performance vesting.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Target Value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 Value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Granted as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Target</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Target</w:t>
            </w:r>
          </w:p>
        </w:tc>
        <w:tc>
          <w:tcPr>
            <w:tcW w:w="11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Granted as</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Performance</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1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Target Value</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that is</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Units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Granted</w:t>
            </w: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Performance</w:t>
            </w: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Based</w:t>
            </w:r>
          </w:p>
        </w:tc>
        <w:tc>
          <w:tcPr>
            <w:tcW w:w="160" w:type="dxa"/>
            <w:vAlign w:val="bottom"/>
            <w:tcBorders>
              <w:bottom w:val="single" w:sz="8" w:color="CCEEFF"/>
            </w:tcBorders>
          </w:tcPr>
          <w:p>
            <w:pPr>
              <w:spacing w:after="0"/>
              <w:rPr>
                <w:sz w:val="20"/>
                <w:szCs w:val="20"/>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Glen A. Messina</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1,125,000</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115,212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2,365,212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June C. Campbell</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Timothy J. Yanoti</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Scott W. Anderson</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150,000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175,000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Dennis Zeleny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Catherine M. Dondzila</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54,138</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54,138</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96,915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205,190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Realizable Value of Outstanding Equity at Year-End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illustrating Ocwen’s commitment to shareholder alignment, if the year-end share price stays flat in future performance and vesting periods, it would result in a 75% average loss of target LTI value for our executives for awards granted over the past three years. (As reference, no equity awards were granted to NEOs between March 30, 2016 and October 3, 2018.) As shown below, based on $1.37 closing share price on December 31, 2019, all performance-based units would be forfeited and stock options would be underwater, in addition to the 52% total reduction in RSU value compared to their grant date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Award Value at $1.37 Share Price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Realizable</w:t>
            </w: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Target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Realizable</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Realizable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Change in</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Performance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Outstanding</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Award</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Award</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Units at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from</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Value from</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Units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 Units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Grant</w:t>
            </w:r>
          </w:p>
        </w:tc>
      </w:tr>
      <w:tr>
        <w:trPr>
          <w:trHeight w:val="241"/>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Glen A. Messina</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6,165,214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1,672,314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-4,492,900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June C. Campbell</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33,461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-216,540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Timothy J. Yanoti</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958,332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241,287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Scott W. Anderson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112,911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-362,088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Dennis Zeleny</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135,197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an Insider Trading Prevention Policy that governs the timing of transactions in securities of the Company by directors and executives. In addition, the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an incentive compensation clawback policy that allows our Board of Directors or the Compensation Committee to recoup incentive compensation if the Company restates its financial statements. The policy applies to cash or equity incentive payments or awards to Covered Individuals (as defined below) when (1) the amount of any such payment or award was determined based on the achievement of financial results that were subsequently the subject of an accounting restatement due to noncompliance with any financial reporting requirement under federal securities laws, (2) a lesser (or no) payment or award would have been made based upon the restated financial results, and (3) the payment or award was received (or the applicable vesting event of the award occurred) during the three-year period preceding the date on which the Company is required to prepare such accounting restatement. For purposes of the policy, a “Covered Individual” means any current or former employee who, at the time of receipt of any such payment or award, was an executive officer of the Company or an Executive Vice President or more senior officer of the Company or any of its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Other than these restrictive covenants, we generally do not have non-competition or non-solicitation agreements with our executive officers. From time to time, we enter into separation agreements with executive officers that contain these provisions. In addition, certain of our equity award agreements contain provisions that provide that post-retirement vesting or exercise of the award, as applicable, is dependent on compliance with certain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new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new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CEO Pay-Ratio Disclosure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2019 was $7,562,330 and the median of the total 2019 compensation of all of our employees (excluding our CEO) was $33,651 (after applying a cost-of-living adjustment and converting foreign currency to U.S. dollars, as described below). Accordingly, we estimate the cost-of-living-adjusted ratio of our CEO’s total compensation for 2019 to the median of the total 2019 compensation of all of our employees (excluding our CEO) to be 225 to 1.</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median employee by taking into account the total compensation paid for 2019 to all individuals, excluding our CEO, who were employed by us or one of our subsidiaries on December 31, 2019. We included all employees, whether employed on a full-time, part-time, or seasonal basis. We did not annualize the compensation for any employees who were not employed by us for all of 2019. We applied a cost of living adjustment to employees employed outside of the United States as described below. Once the median employee was identified as described above, that employee’s total compensation for 2019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only considered our U.S.-based employees (excluding our CEO) in identifying the median employee using the methodology otherwise described above, we determined that our median U.S.-based employee’s total compensation was $57,598. Accordingly, we estimate the resulting ratio of our CEO’s total compensation to the median of the total compensation of all our U.S.-based employees (excluding our CEO) to be 131 to 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calculating the compensation of our employees in the Philippines, we applied a currency conversion factor based on the U.S. dollar to Philippines Peso exchange rate as of December 31, 2019. In calculating the compensation of our employees in India, we applied a currency conversion factor based on the</w:t>
      </w:r>
    </w:p>
    <w:p>
      <w:pPr>
        <w:jc w:val="both"/>
        <w:spacing w:after="0" w:line="234" w:lineRule="auto"/>
        <w:rPr>
          <w:sz w:val="20"/>
          <w:szCs w:val="20"/>
          <w:color w:val="auto"/>
        </w:rPr>
      </w:pPr>
      <w:r>
        <w:rPr>
          <w:rFonts w:ascii="Arial" w:cs="Arial" w:eastAsia="Arial" w:hAnsi="Arial"/>
          <w:sz w:val="16"/>
          <w:szCs w:val="16"/>
          <w:color w:val="auto"/>
        </w:rPr>
        <w:t>U.S. dollar to Indian Rupee exchange rate as of December 31, 2019.</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permitted under SEC rules, in identifying the median employee and in presenting the median employee’s total 2019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based on a purchasing power parity conversion factor published by The World Bank for 2018.</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$10,916 and we estimate the resulting ratio of our CEO’s total compensation to the median of the total compensation of all of our employees (excluding our CEO) would have been 693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5" w:lineRule="exact"/>
        <w:rPr>
          <w:sz w:val="20"/>
          <w:szCs w:val="20"/>
          <w:color w:val="auto"/>
        </w:rPr>
      </w:pPr>
    </w:p>
    <w:p>
      <w:pPr>
        <w:ind w:right="20" w:firstLine="8"/>
        <w:spacing w:after="0" w:line="207" w:lineRule="auto"/>
        <w:tabs>
          <w:tab w:leader="none" w:pos="112"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As reported by the U.S. Bureau of the Fiscal Service Treasury Reporting Rates of Exchange as of December 31, 2019, the Indian Rupee to U.S. Dollar to conversion rate was 71:1 and the Philippines Peso to U.S. Dollar to conversion rate was 50.64:1.</w:t>
      </w:r>
    </w:p>
    <w:p>
      <w:pPr>
        <w:spacing w:after="0" w:line="242" w:lineRule="exact"/>
        <w:rPr>
          <w:sz w:val="20"/>
          <w:szCs w:val="20"/>
          <w:color w:val="auto"/>
        </w:rPr>
      </w:pPr>
    </w:p>
    <w:p>
      <w:pPr>
        <w:jc w:val="both"/>
        <w:ind w:firstLine="8"/>
        <w:spacing w:after="0" w:line="237" w:lineRule="auto"/>
        <w:tabs>
          <w:tab w:leader="none" w:pos="112"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The “price level ratio of PPP conversion factor (GDP) to market exchange rate” published by the World Bank indicates how many U.S. dollars are needed to buy one U.S. dollar’s worth of goods in a particular country. For 2018, the most recent data accessible, the ratio reported for both India and the Philippines was 0.3, meaning the local currency equivalent of $1 purchased $3.33 worth of goods in those countries. Accordingly, we multiplied the 2019 compensation of each employee based in India or the Philippines by 3.33 prior to identifying the employee with the median of the total 2019 compensation and in presenting such employee’s total compensation in order to reflect a cost-of-living adjustment.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27, 2020</w:t>
      </w:r>
      <w:r>
        <w:rPr>
          <w:sz w:val="20"/>
          <w:szCs w:val="20"/>
          <w:color w:val="auto"/>
        </w:rPr>
        <w:tab/>
      </w:r>
      <w:r>
        <w:rPr>
          <w:rFonts w:ascii="Arial" w:cs="Arial" w:eastAsia="Arial" w:hAnsi="Arial"/>
          <w:sz w:val="16"/>
          <w:szCs w:val="16"/>
          <w:b w:val="1"/>
          <w:bCs w:val="1"/>
          <w:color w:val="auto"/>
        </w:rPr>
        <w:t>Compensation Committee: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DeForest B. Soaries, Jr., Chair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Jenne K. Britell, Director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Jacques J. Busquet,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Summary Compensation Table - 2017, 2018 and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compensation of our named executive officers for the 2019, 2018 and 2017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5"/>
                <w:szCs w:val="15"/>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Bonus</w:t>
            </w:r>
          </w:p>
        </w:tc>
        <w:tc>
          <w:tcPr>
            <w:tcW w:w="1000" w:type="dxa"/>
            <w:vAlign w:val="bottom"/>
            <w:gridSpan w:val="2"/>
          </w:tcPr>
          <w:p>
            <w:pPr>
              <w:jc w:val="center"/>
              <w:ind w:right="320"/>
              <w:spacing w:after="0" w:line="179" w:lineRule="exact"/>
              <w:rPr>
                <w:sz w:val="20"/>
                <w:szCs w:val="20"/>
                <w:color w:val="auto"/>
              </w:rPr>
            </w:pPr>
            <w:r>
              <w:rPr>
                <w:rFonts w:ascii="Arial" w:cs="Arial" w:eastAsia="Arial" w:hAnsi="Arial"/>
                <w:sz w:val="13"/>
                <w:szCs w:val="13"/>
                <w:b w:val="1"/>
                <w:bCs w:val="1"/>
                <w:color w:val="auto"/>
                <w:w w:val="94"/>
              </w:rPr>
              <w:t>Awards</w:t>
            </w:r>
            <w:r>
              <w:rPr>
                <w:rFonts w:ascii="Arial" w:cs="Arial" w:eastAsia="Arial" w:hAnsi="Arial"/>
                <w:sz w:val="20"/>
                <w:szCs w:val="20"/>
                <w:b w:val="1"/>
                <w:bCs w:val="1"/>
                <w:color w:val="auto"/>
                <w:w w:val="94"/>
                <w:vertAlign w:val="superscript"/>
              </w:rPr>
              <w:t>(1)</w:t>
            </w:r>
          </w:p>
        </w:tc>
        <w:tc>
          <w:tcPr>
            <w:tcW w:w="820" w:type="dxa"/>
            <w:vAlign w:val="bottom"/>
            <w:gridSpan w:val="2"/>
          </w:tcPr>
          <w:p>
            <w:pPr>
              <w:jc w:val="center"/>
              <w:ind w:right="160"/>
              <w:spacing w:after="0" w:line="179"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(1)</w:t>
            </w:r>
          </w:p>
        </w:tc>
        <w:tc>
          <w:tcPr>
            <w:tcW w:w="1480" w:type="dxa"/>
            <w:vAlign w:val="bottom"/>
            <w:gridSpan w:val="3"/>
          </w:tcPr>
          <w:p>
            <w:pPr>
              <w:jc w:val="center"/>
              <w:ind w:right="140"/>
              <w:spacing w:after="0" w:line="179"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(2)</w:t>
            </w:r>
          </w:p>
        </w:tc>
        <w:tc>
          <w:tcPr>
            <w:tcW w:w="1340" w:type="dxa"/>
            <w:vAlign w:val="bottom"/>
            <w:gridSpan w:val="2"/>
          </w:tcPr>
          <w:p>
            <w:pPr>
              <w:jc w:val="center"/>
              <w:ind w:right="300"/>
              <w:spacing w:after="0" w:line="179" w:lineRule="exact"/>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20"/>
                <w:szCs w:val="20"/>
                <w:b w:val="1"/>
                <w:bCs w:val="1"/>
                <w:color w:val="auto"/>
                <w:w w:val="97"/>
                <w:vertAlign w:val="superscript"/>
              </w:rPr>
              <w:t>(3)</w:t>
            </w: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8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Glen A. Messina</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900,000</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2,518,950</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1,529,974</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2,613,406</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7,562,330</w:t>
            </w: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214,615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4,050,001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791,035</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213,966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1,690,804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6,960,421</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June C. Campbell</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Executive Vice President and Chief Financial</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(4)</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370,673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253,757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153,986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51,432</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468,583</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120,113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1,418,545</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8"/>
              </w:rPr>
              <w:t xml:space="preserve">Timothy J. Yanoti </w:t>
            </w:r>
            <w:r>
              <w:rPr>
                <w:rFonts w:ascii="Arial" w:cs="Arial" w:eastAsia="Arial" w:hAnsi="Arial"/>
                <w:sz w:val="14"/>
                <w:szCs w:val="14"/>
                <w:color w:val="auto"/>
                <w:w w:val="98"/>
              </w:rPr>
              <w:t>Executive Vice President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and Chief Growth Officer</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450,001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559,066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597,359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80,804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1,687,230</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Scott W. Anderson</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538,002</w:t>
            </w: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592,207</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1,630,208</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Chief Servicing</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314,236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814,236</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2017</w:t>
            </w: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542,984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1,043,734</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Dennis Zeleny</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Executive Vice President and Chief</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Administrative Officer</w:t>
            </w:r>
            <w:r>
              <w:rPr>
                <w:rFonts w:ascii="Arial" w:cs="Arial" w:eastAsia="Arial" w:hAnsi="Arial"/>
                <w:sz w:val="23"/>
                <w:szCs w:val="23"/>
                <w:color w:val="auto"/>
                <w:vertAlign w:val="superscript"/>
              </w:rPr>
              <w:t>(5)</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176,539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350,000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409,539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163,879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426,000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1,525,956</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Catherine M. Dondzila</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183,235</w:t>
            </w:r>
          </w:p>
        </w:tc>
        <w:tc>
          <w:tcPr>
            <w:tcW w:w="9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233,244</w:t>
            </w: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868,645</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1,285,124</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Former Senior Vice President and Chief</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Accounting Officer</w:t>
            </w:r>
            <w:r>
              <w:rPr>
                <w:rFonts w:ascii="Arial" w:cs="Arial" w:eastAsia="Arial" w:hAnsi="Arial"/>
                <w:sz w:val="23"/>
                <w:szCs w:val="23"/>
                <w:color w:val="auto"/>
                <w:vertAlign w:val="superscript"/>
              </w:rPr>
              <w:t>(6)</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433,100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159,197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598,497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1" w:lineRule="auto"/>
        <w:tabs>
          <w:tab w:leader="none" w:pos="3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average of the high and low prices of our common stock as reported on the New York Stock Exchange on the date of grant of the awards. The fair value of the time-based option awards was determined using the Black-Scholes options pricing model.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2019, which are included in our Annual Report on Form 10-K filed with the Securities and Exchange Commission on February 26, 2020.</w:t>
      </w:r>
    </w:p>
    <w:p>
      <w:pPr>
        <w:spacing w:after="0" w:line="4"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Represents annual incentive compensation earned in the corresponding year and paid in the first quarter of the following year.</w:t>
      </w:r>
    </w:p>
    <w:p>
      <w:pPr>
        <w:spacing w:after="0" w:line="2" w:lineRule="exact"/>
        <w:rPr>
          <w:rFonts w:ascii="Arial" w:cs="Arial" w:eastAsia="Arial" w:hAnsi="Arial"/>
          <w:sz w:val="25"/>
          <w:szCs w:val="25"/>
          <w:color w:val="auto"/>
          <w:vertAlign w:val="superscript"/>
        </w:rPr>
      </w:pPr>
    </w:p>
    <w:p>
      <w:pPr>
        <w:ind w:left="340" w:hanging="332"/>
        <w:spacing w:after="0" w:line="194" w:lineRule="auto"/>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Amounts shown in this column are set forth in the supplemental “All Other Compensation” table below.</w:t>
      </w:r>
    </w:p>
    <w:p>
      <w:pPr>
        <w:spacing w:after="0" w:line="2"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Ms. Campbell assumed the role of Executive Vice President and Chief Financial Officer on March 4, 2019. In connection with her employment and to induce her to join the company, she received a signing bonus which is reported in the “Bonus” column.</w:t>
      </w:r>
    </w:p>
    <w:p>
      <w:pPr>
        <w:ind w:left="340" w:hanging="332"/>
        <w:spacing w:after="0" w:line="187" w:lineRule="auto"/>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Mr. Zeleny assumed the role of Executive Vice President and Chief Administrative Officer on July 31, 2019. In connection with his employment and to induce him to join the company, he received a signing bonus which is reported in the “Bonus” column.</w:t>
      </w:r>
    </w:p>
    <w:p>
      <w:pPr>
        <w:spacing w:after="0" w:line="1"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Ms. Dondzila resigned as Senior Vice President and Chief Accounting Officer on May 31, 2019.</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All Other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additional information about the amounts that appear in the “All Other Compensation” column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401(k) Matching</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2"/>
          </w:tcPr>
          <w:p>
            <w:pPr>
              <w:jc w:val="center"/>
              <w:ind w:right="340"/>
              <w:spacing w:after="0" w:line="252" w:lineRule="exact"/>
              <w:rPr>
                <w:sz w:val="20"/>
                <w:szCs w:val="20"/>
                <w:color w:val="auto"/>
              </w:rPr>
            </w:pPr>
            <w:r>
              <w:rPr>
                <w:rFonts w:ascii="Arial" w:cs="Arial" w:eastAsia="Arial" w:hAnsi="Arial"/>
                <w:sz w:val="18"/>
                <w:szCs w:val="18"/>
                <w:b w:val="1"/>
                <w:bCs w:val="1"/>
                <w:color w:val="auto"/>
                <w:w w:val="88"/>
              </w:rPr>
              <w:t>Contributions</w:t>
            </w:r>
            <w:r>
              <w:rPr>
                <w:rFonts w:ascii="Arial" w:cs="Arial" w:eastAsia="Arial" w:hAnsi="Arial"/>
                <w:sz w:val="29"/>
                <w:szCs w:val="29"/>
                <w:b w:val="1"/>
                <w:bCs w:val="1"/>
                <w:color w:val="auto"/>
                <w:w w:val="88"/>
                <w:vertAlign w:val="superscript"/>
              </w:rPr>
              <w:t>(1)</w:t>
            </w:r>
          </w:p>
        </w:tc>
        <w:tc>
          <w:tcPr>
            <w:tcW w:w="2240" w:type="dxa"/>
            <w:vAlign w:val="bottom"/>
            <w:gridSpan w:val="2"/>
          </w:tcPr>
          <w:p>
            <w:pPr>
              <w:jc w:val="center"/>
              <w:ind w:right="340"/>
              <w:spacing w:after="0" w:line="252" w:lineRule="exact"/>
              <w:rPr>
                <w:sz w:val="20"/>
                <w:szCs w:val="20"/>
                <w:color w:val="auto"/>
              </w:rPr>
            </w:pPr>
            <w:r>
              <w:rPr>
                <w:rFonts w:ascii="Arial" w:cs="Arial" w:eastAsia="Arial" w:hAnsi="Arial"/>
                <w:sz w:val="18"/>
                <w:szCs w:val="18"/>
                <w:b w:val="1"/>
                <w:bCs w:val="1"/>
                <w:color w:val="auto"/>
                <w:w w:val="86"/>
              </w:rPr>
              <w:t>Relocation Benefits</w:t>
            </w:r>
            <w:r>
              <w:rPr>
                <w:rFonts w:ascii="Arial" w:cs="Arial" w:eastAsia="Arial" w:hAnsi="Arial"/>
                <w:sz w:val="29"/>
                <w:szCs w:val="29"/>
                <w:b w:val="1"/>
                <w:bCs w:val="1"/>
                <w:color w:val="auto"/>
                <w:w w:val="86"/>
                <w:vertAlign w:val="superscript"/>
              </w:rPr>
              <w:t>(2)</w:t>
            </w:r>
          </w:p>
        </w:tc>
        <w:tc>
          <w:tcPr>
            <w:tcW w:w="15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41"/>
        </w:trPr>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Executive Officer</w:t>
            </w:r>
          </w:p>
        </w:tc>
        <w:tc>
          <w:tcPr>
            <w:tcW w:w="2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84"/>
        </w:trPr>
        <w:tc>
          <w:tcPr>
            <w:tcW w:w="362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577,971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2,028,165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2,613,406</w:t>
            </w: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120,113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120,113</w:t>
            </w:r>
          </w:p>
        </w:tc>
      </w:tr>
      <w:tr>
        <w:trPr>
          <w:trHeight w:val="24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1,558</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79,247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80,804</w:t>
            </w: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83"/>
        </w:trPr>
        <w:tc>
          <w:tcPr>
            <w:tcW w:w="384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Dennis Zeleny</w:t>
            </w:r>
            <w:r>
              <w:rPr>
                <w:rFonts w:ascii="Arial" w:cs="Arial" w:eastAsia="Arial" w:hAnsi="Arial"/>
                <w:sz w:val="29"/>
                <w:szCs w:val="29"/>
                <w:color w:val="auto"/>
                <w:vertAlign w:val="superscript"/>
              </w:rPr>
              <w:t>(4)</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426,000</w:t>
            </w:r>
          </w:p>
        </w:tc>
      </w:tr>
      <w:tr>
        <w:trPr>
          <w:trHeight w:val="390"/>
        </w:trPr>
        <w:tc>
          <w:tcPr>
            <w:tcW w:w="384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(5)</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8,400</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860,245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868,645</w:t>
            </w:r>
          </w:p>
        </w:tc>
      </w:tr>
    </w:tbl>
    <w:p>
      <w:pPr>
        <w:ind w:left="340" w:hanging="332"/>
        <w:spacing w:after="0" w:line="226"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Reflects employer matching contributions made under the Ocwen Financial Corporation 401(k) Savings Plan.</w:t>
      </w:r>
    </w:p>
    <w:p>
      <w:pPr>
        <w:spacing w:after="0" w:line="2"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Reflects the value of temporary commuting and relocation benefits paid under the Ocwen Relocation Plan, including amounts to gross-up for taxable expenses.</w:t>
      </w:r>
    </w:p>
    <w:p>
      <w:pPr>
        <w:ind w:left="340" w:right="20" w:hanging="332"/>
        <w:spacing w:after="0" w:line="187"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“Other” reflects the value of Mr. Messina’s severance benefits to which Mr. Messina was entitled as former President and Chief Executive Officer of PHH Corporation.</w:t>
      </w:r>
    </w:p>
    <w:p>
      <w:pPr>
        <w:spacing w:after="0" w:line="1"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“Other” represents the value of fees paid to Mr. Zeleny as an independent consultant prior to regular full-time employment.</w:t>
      </w:r>
    </w:p>
    <w:p>
      <w:pPr>
        <w:spacing w:after="0" w:line="2" w:lineRule="exact"/>
        <w:rPr>
          <w:rFonts w:ascii="Arial" w:cs="Arial" w:eastAsia="Arial" w:hAnsi="Arial"/>
          <w:sz w:val="25"/>
          <w:szCs w:val="25"/>
          <w:color w:val="auto"/>
          <w:vertAlign w:val="superscript"/>
        </w:rPr>
      </w:pPr>
    </w:p>
    <w:p>
      <w:pPr>
        <w:jc w:val="both"/>
        <w:ind w:left="340" w:hanging="332"/>
        <w:spacing w:after="0" w:line="214" w:lineRule="auto"/>
        <w:tabs>
          <w:tab w:leader="none" w:pos="340" w:val="left"/>
        </w:tabs>
        <w:numPr>
          <w:ilvl w:val="0"/>
          <w:numId w:val="45"/>
        </w:numPr>
        <w:rPr>
          <w:rFonts w:ascii="Arial" w:cs="Arial" w:eastAsia="Arial" w:hAnsi="Arial"/>
          <w:sz w:val="29"/>
          <w:szCs w:val="29"/>
          <w:color w:val="auto"/>
          <w:vertAlign w:val="superscript"/>
        </w:rPr>
      </w:pPr>
      <w:r>
        <w:rPr>
          <w:rFonts w:ascii="Arial" w:cs="Arial" w:eastAsia="Arial" w:hAnsi="Arial"/>
          <w:sz w:val="17"/>
          <w:szCs w:val="17"/>
          <w:color w:val="auto"/>
        </w:rPr>
        <w:t>“Other” represents the values of Ms. Dondzila’s lump sum payment in exchange for a general release of claims upon her resignation as Senior Vice President and Chief Accounting Officer on May 31, 2019 ($568,870), independent consulting agreement ($216,550), payout of accrued paid time off balances ($62,825), subsidy for COBRA benefits continuation ($11,620) and stipends paid to cover telecommuting expenses ($381).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Grants of Plan-Based Awards for 2019</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related to awards granted in 2019 under our 2017 Performance Incentive Plan and our 1998 Annual Incentive Plan, as amended.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1"/>
              </w:rPr>
              <w:t>Estimated Possible Payouts Under Non-</w:t>
            </w:r>
          </w:p>
        </w:tc>
        <w:tc>
          <w:tcPr>
            <w:tcW w:w="2660" w:type="dxa"/>
            <w:vAlign w:val="bottom"/>
            <w:gridSpan w:val="7"/>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Estimated Future Payouts</w:t>
            </w: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or Base</w:t>
            </w: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6"/>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 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auto"/>
            </w:tcBorders>
            <w:gridSpan w:val="5"/>
          </w:tcPr>
          <w:p>
            <w:pPr>
              <w:jc w:val="center"/>
              <w:spacing w:after="0" w:line="176"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2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3"/>
        </w:trPr>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9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Grant</w:t>
            </w: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Threshold</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Maximum</w:t>
            </w:r>
          </w:p>
        </w:tc>
        <w:tc>
          <w:tcPr>
            <w:tcW w:w="74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3"/>
                <w:szCs w:val="13"/>
                <w:color w:val="auto"/>
              </w:rPr>
            </w:pP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(2)</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jc w:val="right"/>
              <w:ind w:right="208"/>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Glen A. Messina</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w w:val="89"/>
              </w:rPr>
              <w:t>3/29/2019</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1,125,000</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1,687,500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2"/>
                <w:szCs w:val="12"/>
                <w:color w:val="auto"/>
              </w:rPr>
              <w:t>4/11/2019</w:t>
            </w:r>
            <w:r>
              <w:rPr>
                <w:rFonts w:ascii="Arial" w:cs="Arial" w:eastAsia="Arial" w:hAnsi="Arial"/>
                <w:sz w:val="18"/>
                <w:szCs w:val="18"/>
                <w:color w:val="auto"/>
                <w:vertAlign w:val="superscript"/>
              </w:rPr>
              <w:t>(4)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282,663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565,327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1,130,654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1,271,986</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89"/>
              </w:rPr>
              <w:t>4/11/2019</w:t>
            </w:r>
          </w:p>
        </w:tc>
        <w:tc>
          <w:tcPr>
            <w:tcW w:w="22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1"/>
              </w:rPr>
              <w:t>(5)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565,326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1,124,999</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89"/>
              </w:rPr>
              <w:t>4/11/2019</w:t>
            </w:r>
          </w:p>
        </w:tc>
        <w:tc>
          <w:tcPr>
            <w:tcW w:w="220" w:type="dxa"/>
            <w:vAlign w:val="bottom"/>
            <w:vMerge w:val="continue"/>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28,947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57,895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115,790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121,966</w:t>
            </w:r>
          </w:p>
        </w:tc>
        <w:tc>
          <w:tcPr>
            <w:tcW w:w="0" w:type="dxa"/>
            <w:vAlign w:val="bottom"/>
          </w:tcPr>
          <w:p>
            <w:pPr>
              <w:spacing w:after="0"/>
              <w:rPr>
                <w:sz w:val="1"/>
                <w:szCs w:val="1"/>
                <w:color w:val="auto"/>
              </w:rPr>
            </w:pPr>
          </w:p>
        </w:tc>
      </w:tr>
      <w:tr>
        <w:trPr>
          <w:trHeight w:val="153"/>
        </w:trPr>
        <w:tc>
          <w:tcPr>
            <w:tcW w:w="1360" w:type="dxa"/>
            <w:vAlign w:val="bottom"/>
          </w:tcPr>
          <w:p>
            <w:pPr>
              <w:spacing w:after="0" w:line="153" w:lineRule="exact"/>
              <w:rPr>
                <w:sz w:val="20"/>
                <w:szCs w:val="20"/>
                <w:color w:val="auto"/>
              </w:rPr>
            </w:pPr>
            <w:r>
              <w:rPr>
                <w:rFonts w:ascii="Arial" w:cs="Arial" w:eastAsia="Arial" w:hAnsi="Arial"/>
                <w:sz w:val="14"/>
                <w:szCs w:val="14"/>
                <w:color w:val="auto"/>
              </w:rPr>
              <w:t>June C. Campbell</w:t>
            </w:r>
          </w:p>
        </w:tc>
        <w:tc>
          <w:tcPr>
            <w:tcW w:w="120" w:type="dxa"/>
            <w:vAlign w:val="bottom"/>
          </w:tcPr>
          <w:p>
            <w:pPr>
              <w:spacing w:after="0"/>
              <w:rPr>
                <w:sz w:val="13"/>
                <w:szCs w:val="13"/>
                <w:color w:val="auto"/>
              </w:rPr>
            </w:pPr>
          </w:p>
        </w:tc>
        <w:tc>
          <w:tcPr>
            <w:tcW w:w="680" w:type="dxa"/>
            <w:vAlign w:val="bottom"/>
          </w:tcPr>
          <w:p>
            <w:pPr>
              <w:ind w:left="100"/>
              <w:spacing w:after="0" w:line="153" w:lineRule="exact"/>
              <w:rPr>
                <w:sz w:val="20"/>
                <w:szCs w:val="20"/>
                <w:color w:val="auto"/>
              </w:rPr>
            </w:pPr>
            <w:r>
              <w:rPr>
                <w:rFonts w:ascii="Arial" w:cs="Arial" w:eastAsia="Arial" w:hAnsi="Arial"/>
                <w:sz w:val="14"/>
                <w:szCs w:val="14"/>
                <w:color w:val="auto"/>
                <w:w w:val="89"/>
              </w:rPr>
              <w:t>3/29/2019</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186,884</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373,767</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560,651</w:t>
            </w:r>
          </w:p>
        </w:tc>
        <w:tc>
          <w:tcPr>
            <w:tcW w:w="7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020" w:type="dxa"/>
            <w:vAlign w:val="bottom"/>
            <w:gridSpan w:val="3"/>
          </w:tcPr>
          <w:p>
            <w:pPr>
              <w:ind w:left="220"/>
              <w:spacing w:after="0" w:line="165" w:lineRule="exact"/>
              <w:rPr>
                <w:sz w:val="20"/>
                <w:szCs w:val="20"/>
                <w:color w:val="auto"/>
              </w:rPr>
            </w:pPr>
            <w:r>
              <w:rPr>
                <w:rFonts w:ascii="Arial" w:cs="Arial" w:eastAsia="Arial" w:hAnsi="Arial"/>
                <w:sz w:val="12"/>
                <w:szCs w:val="12"/>
                <w:color w:val="auto"/>
              </w:rPr>
              <w:t>3/04/2019</w:t>
            </w:r>
            <w:r>
              <w:rPr>
                <w:rFonts w:ascii="Arial" w:cs="Arial" w:eastAsia="Arial" w:hAnsi="Arial"/>
                <w:sz w:val="19"/>
                <w:szCs w:val="19"/>
                <w:color w:val="auto"/>
                <w:vertAlign w:val="superscript"/>
              </w:rPr>
              <w:t>(6)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57,604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100,986</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3/04/2019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24,424</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53,000</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3/04/2019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33,180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51,432</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Timothy J. Yanoti</w:t>
            </w:r>
          </w:p>
        </w:tc>
        <w:tc>
          <w:tcPr>
            <w:tcW w:w="10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3/29/2019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2"/>
                <w:szCs w:val="12"/>
                <w:color w:val="auto"/>
              </w:rPr>
              <w:t>3/29/2019</w:t>
            </w:r>
            <w:r>
              <w:rPr>
                <w:rFonts w:ascii="Arial" w:cs="Arial" w:eastAsia="Arial" w:hAnsi="Arial"/>
                <w:sz w:val="18"/>
                <w:szCs w:val="18"/>
                <w:color w:val="auto"/>
                <w:vertAlign w:val="superscript"/>
              </w:rPr>
              <w:t>(4)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68,681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137,363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274,726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309,067</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3/29/2019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137,362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249,999</w:t>
            </w:r>
          </w:p>
        </w:tc>
        <w:tc>
          <w:tcPr>
            <w:tcW w:w="0" w:type="dxa"/>
            <w:vAlign w:val="bottom"/>
          </w:tcPr>
          <w:p>
            <w:pPr>
              <w:spacing w:after="0"/>
              <w:rPr>
                <w:sz w:val="1"/>
                <w:szCs w:val="1"/>
                <w:color w:val="auto"/>
              </w:rPr>
            </w:pPr>
          </w:p>
        </w:tc>
      </w:tr>
      <w:tr>
        <w:trPr>
          <w:trHeight w:val="153"/>
        </w:trPr>
        <w:tc>
          <w:tcPr>
            <w:tcW w:w="1360" w:type="dxa"/>
            <w:vAlign w:val="bottom"/>
          </w:tcPr>
          <w:p>
            <w:pPr>
              <w:spacing w:after="0" w:line="153" w:lineRule="exact"/>
              <w:rPr>
                <w:sz w:val="20"/>
                <w:szCs w:val="20"/>
                <w:color w:val="auto"/>
              </w:rPr>
            </w:pPr>
            <w:r>
              <w:rPr>
                <w:rFonts w:ascii="Arial" w:cs="Arial" w:eastAsia="Arial" w:hAnsi="Arial"/>
                <w:sz w:val="14"/>
                <w:szCs w:val="14"/>
                <w:color w:val="auto"/>
              </w:rPr>
              <w:t>Scott W. Anderson</w:t>
            </w:r>
          </w:p>
        </w:tc>
        <w:tc>
          <w:tcPr>
            <w:tcW w:w="120" w:type="dxa"/>
            <w:vAlign w:val="bottom"/>
          </w:tcPr>
          <w:p>
            <w:pPr>
              <w:spacing w:after="0"/>
              <w:rPr>
                <w:sz w:val="13"/>
                <w:szCs w:val="13"/>
                <w:color w:val="auto"/>
              </w:rPr>
            </w:pP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3/29/2019</w:t>
            </w:r>
          </w:p>
        </w:tc>
        <w:tc>
          <w:tcPr>
            <w:tcW w:w="94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225,000</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450,000</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675,000</w:t>
            </w:r>
          </w:p>
        </w:tc>
        <w:tc>
          <w:tcPr>
            <w:tcW w:w="7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020" w:type="dxa"/>
            <w:vAlign w:val="bottom"/>
            <w:gridSpan w:val="3"/>
          </w:tcPr>
          <w:p>
            <w:pPr>
              <w:ind w:left="220"/>
              <w:spacing w:after="0" w:line="165" w:lineRule="exact"/>
              <w:rPr>
                <w:sz w:val="20"/>
                <w:szCs w:val="20"/>
                <w:color w:val="auto"/>
              </w:rPr>
            </w:pPr>
            <w:r>
              <w:rPr>
                <w:rFonts w:ascii="Arial" w:cs="Arial" w:eastAsia="Arial" w:hAnsi="Arial"/>
                <w:sz w:val="12"/>
                <w:szCs w:val="12"/>
                <w:color w:val="auto"/>
              </w:rPr>
              <w:t>3/29/2019</w:t>
            </w:r>
            <w:r>
              <w:rPr>
                <w:rFonts w:ascii="Arial" w:cs="Arial" w:eastAsia="Arial" w:hAnsi="Arial"/>
                <w:sz w:val="19"/>
                <w:szCs w:val="19"/>
                <w:color w:val="auto"/>
                <w:vertAlign w:val="superscript"/>
              </w:rPr>
              <w:t>(4)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41,209</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82,418</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164,836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185,441</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102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3/29/2019</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82,417</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149,999</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020" w:type="dxa"/>
            <w:vAlign w:val="bottom"/>
            <w:gridSpan w:val="3"/>
          </w:tcPr>
          <w:p>
            <w:pPr>
              <w:ind w:left="220"/>
              <w:spacing w:after="0" w:line="171" w:lineRule="exact"/>
              <w:rPr>
                <w:sz w:val="20"/>
                <w:szCs w:val="20"/>
                <w:color w:val="auto"/>
              </w:rPr>
            </w:pPr>
            <w:r>
              <w:rPr>
                <w:rFonts w:ascii="Arial" w:cs="Arial" w:eastAsia="Arial" w:hAnsi="Arial"/>
                <w:sz w:val="12"/>
                <w:szCs w:val="12"/>
                <w:color w:val="auto"/>
              </w:rPr>
              <w:t>3/29/2019</w:t>
            </w:r>
            <w:r>
              <w:rPr>
                <w:rFonts w:ascii="Arial" w:cs="Arial" w:eastAsia="Arial" w:hAnsi="Arial"/>
                <w:sz w:val="19"/>
                <w:szCs w:val="19"/>
                <w:color w:val="auto"/>
                <w:vertAlign w:val="superscript"/>
              </w:rPr>
              <w:t>(5)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48,076</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96,153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192,306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202,562</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Dennis Zeleny</w:t>
            </w:r>
          </w:p>
        </w:tc>
        <w:tc>
          <w:tcPr>
            <w:tcW w:w="10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7/31/2019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63,288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126,575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189,863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2"/>
                <w:szCs w:val="12"/>
                <w:color w:val="auto"/>
              </w:rPr>
              <w:t>7/31/2019</w:t>
            </w:r>
            <w:r>
              <w:rPr>
                <w:rFonts w:ascii="Arial" w:cs="Arial" w:eastAsia="Arial" w:hAnsi="Arial"/>
                <w:sz w:val="18"/>
                <w:szCs w:val="18"/>
                <w:color w:val="auto"/>
                <w:vertAlign w:val="superscript"/>
              </w:rPr>
              <w:t>(4)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49,342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98,684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197,368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222,039</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7/31/2019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98,684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153"/>
        </w:trPr>
        <w:tc>
          <w:tcPr>
            <w:tcW w:w="1360" w:type="dxa"/>
            <w:vAlign w:val="bottom"/>
          </w:tcPr>
          <w:p>
            <w:pPr>
              <w:spacing w:after="0" w:line="153" w:lineRule="exact"/>
              <w:rPr>
                <w:sz w:val="20"/>
                <w:szCs w:val="20"/>
                <w:color w:val="auto"/>
              </w:rPr>
            </w:pPr>
            <w:r>
              <w:rPr>
                <w:rFonts w:ascii="Arial" w:cs="Arial" w:eastAsia="Arial" w:hAnsi="Arial"/>
                <w:sz w:val="14"/>
                <w:szCs w:val="14"/>
                <w:color w:val="auto"/>
                <w:w w:val="96"/>
              </w:rPr>
              <w:t>Catherine M. Dondzila</w:t>
            </w:r>
          </w:p>
        </w:tc>
        <w:tc>
          <w:tcPr>
            <w:tcW w:w="120" w:type="dxa"/>
            <w:vAlign w:val="bottom"/>
          </w:tcPr>
          <w:p>
            <w:pPr>
              <w:spacing w:after="0"/>
              <w:rPr>
                <w:sz w:val="13"/>
                <w:szCs w:val="13"/>
                <w:color w:val="auto"/>
              </w:rPr>
            </w:pP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3/29/2019</w:t>
            </w:r>
          </w:p>
        </w:tc>
        <w:tc>
          <w:tcPr>
            <w:tcW w:w="94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138,450</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276,900</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415,350</w:t>
            </w:r>
          </w:p>
        </w:tc>
        <w:tc>
          <w:tcPr>
            <w:tcW w:w="7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020" w:type="dxa"/>
            <w:vAlign w:val="bottom"/>
            <w:gridSpan w:val="3"/>
          </w:tcPr>
          <w:p>
            <w:pPr>
              <w:ind w:left="220"/>
              <w:spacing w:after="0" w:line="165" w:lineRule="exact"/>
              <w:rPr>
                <w:sz w:val="20"/>
                <w:szCs w:val="20"/>
                <w:color w:val="auto"/>
              </w:rPr>
            </w:pPr>
            <w:r>
              <w:rPr>
                <w:rFonts w:ascii="Arial" w:cs="Arial" w:eastAsia="Arial" w:hAnsi="Arial"/>
                <w:sz w:val="12"/>
                <w:szCs w:val="12"/>
                <w:color w:val="auto"/>
              </w:rPr>
              <w:t>3/29/2019</w:t>
            </w:r>
            <w:r>
              <w:rPr>
                <w:rFonts w:ascii="Arial" w:cs="Arial" w:eastAsia="Arial" w:hAnsi="Arial"/>
                <w:sz w:val="19"/>
                <w:szCs w:val="19"/>
                <w:color w:val="auto"/>
                <w:vertAlign w:val="superscript"/>
              </w:rPr>
              <w:t>(4)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14,873</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29,746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59,492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66,929</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102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3/29/2019</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29,745</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54,136</w:t>
            </w:r>
          </w:p>
        </w:tc>
        <w:tc>
          <w:tcPr>
            <w:tcW w:w="0" w:type="dxa"/>
            <w:vAlign w:val="bottom"/>
          </w:tcPr>
          <w:p>
            <w:pPr>
              <w:spacing w:after="0"/>
              <w:rPr>
                <w:sz w:val="1"/>
                <w:szCs w:val="1"/>
                <w:color w:val="auto"/>
              </w:rPr>
            </w:pPr>
          </w:p>
        </w:tc>
      </w:tr>
      <w:tr>
        <w:trPr>
          <w:trHeight w:val="313"/>
        </w:trPr>
        <w:tc>
          <w:tcPr>
            <w:tcW w:w="1360" w:type="dxa"/>
            <w:vAlign w:val="bottom"/>
          </w:tcPr>
          <w:p>
            <w:pPr>
              <w:spacing w:after="0"/>
              <w:rPr>
                <w:sz w:val="24"/>
                <w:szCs w:val="2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w w:val="96"/>
              </w:rPr>
              <w:t>3/29/2019</w:t>
            </w:r>
            <w:r>
              <w:rPr>
                <w:rFonts w:ascii="Arial" w:cs="Arial" w:eastAsia="Arial" w:hAnsi="Arial"/>
                <w:sz w:val="23"/>
                <w:szCs w:val="23"/>
                <w:color w:val="auto"/>
                <w:w w:val="96"/>
                <w:vertAlign w:val="superscript"/>
              </w:rPr>
              <w:t>(5)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26,624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53,250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106,500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112,180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40" w:hanging="332"/>
        <w:spacing w:after="0" w:line="227" w:lineRule="auto"/>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2019 service under the different achievement levels under their 2019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2019 service is set forth in the “Non-Equity Incentive Plan Compensation” column of the “Summary Compensation Table” above.</w:t>
      </w:r>
    </w:p>
    <w:p>
      <w:pPr>
        <w:spacing w:after="0" w:line="206" w:lineRule="exact"/>
        <w:rPr>
          <w:rFonts w:ascii="Arial" w:cs="Arial" w:eastAsia="Arial" w:hAnsi="Arial"/>
          <w:sz w:val="30"/>
          <w:szCs w:val="30"/>
          <w:color w:val="auto"/>
          <w:vertAlign w:val="superscript"/>
        </w:rPr>
      </w:pPr>
    </w:p>
    <w:p>
      <w:pPr>
        <w:jc w:val="both"/>
        <w:ind w:left="340" w:hanging="332"/>
        <w:spacing w:after="0" w:line="219" w:lineRule="auto"/>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RSU awards vest in three equal installments on the first, second and third anniversary dates of the grant, subject to continued employment. Awards for Mr. Messina and Ms. Campbell settle in equity, but they do not have any rights of a shareholder with respect to any of the shares subject to the award until such units are vested and settled. Awards for Messrs. Anderson, Yanoti and Zeleny and Ms. Dondzila settle in cash.</w:t>
      </w:r>
    </w:p>
    <w:p>
      <w:pPr>
        <w:spacing w:after="0" w:line="99"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See footnote (1) under “Summary Compensation Table” above for detail regarding the methodology used to calculate Grant Date Fair Value.</w:t>
      </w:r>
    </w:p>
    <w:p>
      <w:pPr>
        <w:spacing w:after="0" w:line="201" w:lineRule="exact"/>
        <w:rPr>
          <w:rFonts w:ascii="Arial" w:cs="Arial" w:eastAsia="Arial" w:hAnsi="Arial"/>
          <w:sz w:val="29"/>
          <w:szCs w:val="29"/>
          <w:color w:val="auto"/>
          <w:vertAlign w:val="superscript"/>
        </w:rPr>
      </w:pPr>
    </w:p>
    <w:p>
      <w:pPr>
        <w:jc w:val="both"/>
        <w:ind w:left="340" w:hanging="332"/>
        <w:spacing w:after="0" w:line="209" w:lineRule="auto"/>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PRSU awards are earned based on the Company’s TSR during the performance period of March 29, 2019 through March 29, 2022, and vest at the third anniversary of the respective grant dates. Awards for all but Mr. Messina will settle in cash, if earned. Refer to “Compensation Discussion and Analysis - 2019 Long-Term Incentive Awards” for additional details.</w:t>
      </w:r>
    </w:p>
    <w:p>
      <w:pPr>
        <w:spacing w:after="0" w:line="203" w:lineRule="exact"/>
        <w:rPr>
          <w:rFonts w:ascii="Arial" w:cs="Arial" w:eastAsia="Arial" w:hAnsi="Arial"/>
          <w:sz w:val="30"/>
          <w:szCs w:val="30"/>
          <w:color w:val="auto"/>
          <w:vertAlign w:val="superscript"/>
        </w:rPr>
      </w:pPr>
    </w:p>
    <w:p>
      <w:pPr>
        <w:jc w:val="both"/>
        <w:ind w:left="340" w:hanging="332"/>
        <w:spacing w:after="0" w:line="229" w:lineRule="auto"/>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PRSU awards vest in equal thirds on the first, second and third anniversaries of the respective grant dates based on the Company’s cumulative Total Shareholder Return during three performance periods (the first from March 29, 2019 through March 29, 2020, the second from March 29, 2019 through March 29, 2021, and the third from March 29, 2019 through March 29, 2022). These awards will settle in cash, if earned. Refer to “Compensation Discussion and Analysis - 2019 Long-Term Incentive Awards” for additional details on these “transitional” awards.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left="340" w:hanging="332"/>
        <w:spacing w:after="0" w:line="239" w:lineRule="auto"/>
        <w:tabs>
          <w:tab w:leader="none" w:pos="340" w:val="left"/>
        </w:tabs>
        <w:numPr>
          <w:ilvl w:val="0"/>
          <w:numId w:val="47"/>
        </w:numPr>
        <w:rPr>
          <w:rFonts w:ascii="Arial" w:cs="Arial" w:eastAsia="Arial" w:hAnsi="Arial"/>
          <w:sz w:val="29"/>
          <w:szCs w:val="29"/>
          <w:color w:val="auto"/>
          <w:vertAlign w:val="superscript"/>
        </w:rPr>
      </w:pPr>
      <w:r>
        <w:rPr>
          <w:rFonts w:ascii="Arial" w:cs="Arial" w:eastAsia="Arial" w:hAnsi="Arial"/>
          <w:sz w:val="17"/>
          <w:szCs w:val="17"/>
          <w:color w:val="auto"/>
        </w:rPr>
        <w:t>PRSU award granted March 4, 2019 to Ms. Campbell time-vests in equal fourths on the first, second, third and fourth anniversaries of the grant, and performance vesting upon the Average Stock Price equaling or exceeding $4.34 at any time during such four-year vesting period.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 This PRSU award does not have threshold or maximum levels for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outstanding equity awards at December 31, 2019 for Ocwen’s named executive officers other than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Dondzila, who had no outstanding equity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Incentive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Unearned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6"/>
                <w:szCs w:val="16"/>
                <w:color w:val="auto"/>
              </w:rPr>
            </w:pPr>
          </w:p>
        </w:tc>
        <w:tc>
          <w:tcPr>
            <w:tcW w:w="1140" w:type="dxa"/>
            <w:vAlign w:val="bottom"/>
            <w:gridSpan w:val="2"/>
          </w:tcPr>
          <w:p>
            <w:pPr>
              <w:jc w:val="center"/>
              <w:ind w:right="214"/>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of Shares</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Shares or</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Units or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40" w:type="dxa"/>
            <w:vAlign w:val="bottom"/>
            <w:gridSpan w:val="2"/>
          </w:tcPr>
          <w:p>
            <w:pPr>
              <w:jc w:val="center"/>
              <w:ind w:right="234"/>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or Units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1140" w:type="dxa"/>
            <w:vAlign w:val="bottom"/>
            <w:gridSpan w:val="2"/>
          </w:tcPr>
          <w:p>
            <w:pPr>
              <w:jc w:val="center"/>
              <w:ind w:right="214"/>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Stock</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 w:type="dxa"/>
            <w:vAlign w:val="bottom"/>
          </w:tcPr>
          <w:p>
            <w:pPr>
              <w:spacing w:after="0"/>
              <w:rPr>
                <w:sz w:val="12"/>
                <w:szCs w:val="12"/>
                <w:color w:val="auto"/>
              </w:rPr>
            </w:pPr>
          </w:p>
        </w:tc>
        <w:tc>
          <w:tcPr>
            <w:tcW w:w="1140" w:type="dxa"/>
            <w:vAlign w:val="bottom"/>
            <w:gridSpan w:val="2"/>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40" w:type="dxa"/>
            <w:vAlign w:val="bottom"/>
            <w:gridSpan w:val="2"/>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Options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Unearned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Have Not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3"/>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Vested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8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940" w:type="dxa"/>
            <w:vAlign w:val="bottom"/>
            <w:gridSpan w:val="2"/>
          </w:tcPr>
          <w:p>
            <w:pPr>
              <w:jc w:val="center"/>
              <w:ind w:left="50"/>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30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(2)</w:t>
            </w:r>
          </w:p>
        </w:tc>
        <w:tc>
          <w:tcPr>
            <w:tcW w:w="3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3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(3)</w:t>
            </w:r>
          </w:p>
        </w:tc>
        <w:tc>
          <w:tcPr>
            <w:tcW w:w="2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(4)</w:t>
            </w:r>
          </w:p>
        </w:tc>
        <w:tc>
          <w:tcPr>
            <w:tcW w:w="3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Glen A. Messina</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88,997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177,993</w:t>
            </w:r>
          </w:p>
        </w:tc>
        <w:tc>
          <w:tcPr>
            <w:tcW w:w="300" w:type="dxa"/>
            <w:vAlign w:val="bottom"/>
            <w:tcBorders>
              <w:top w:val="single" w:sz="8" w:color="CCEEFF"/>
            </w:tcBorders>
            <w:shd w:val="clear" w:color="auto" w:fill="CCEEFF"/>
          </w:tcPr>
          <w:p>
            <w:pPr>
              <w:jc w:val="right"/>
              <w:ind w:right="94"/>
              <w:spacing w:after="0"/>
              <w:rPr>
                <w:sz w:val="20"/>
                <w:szCs w:val="20"/>
                <w:color w:val="auto"/>
              </w:rPr>
            </w:pPr>
            <w:r>
              <w:rPr>
                <w:rFonts w:ascii="Arial" w:cs="Arial" w:eastAsia="Arial" w:hAnsi="Arial"/>
                <w:sz w:val="12"/>
                <w:szCs w:val="12"/>
                <w:color w:val="auto"/>
                <w:w w:val="81"/>
              </w:rPr>
              <w:t>(5)</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10/4/2028</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655,341</w:t>
            </w:r>
            <w:r>
              <w:rPr>
                <w:rFonts w:ascii="Arial" w:cs="Arial" w:eastAsia="Arial" w:hAnsi="Arial"/>
                <w:sz w:val="18"/>
                <w:szCs w:val="18"/>
                <w:color w:val="auto"/>
                <w:vertAlign w:val="superscript"/>
              </w:rPr>
              <w:t>(6)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897,817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565,326</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774,497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282,663</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387,248</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28,947</w:t>
            </w:r>
            <w:r>
              <w:rPr>
                <w:rFonts w:ascii="Arial" w:cs="Arial" w:eastAsia="Arial" w:hAnsi="Arial"/>
                <w:sz w:val="18"/>
                <w:szCs w:val="18"/>
                <w:color w:val="auto"/>
                <w:vertAlign w:val="superscript"/>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39,657</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June C. Campbell</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34"/>
              <w:spacing w:after="0" w:line="162" w:lineRule="exact"/>
              <w:rPr>
                <w:sz w:val="20"/>
                <w:szCs w:val="20"/>
                <w:color w:val="auto"/>
              </w:rPr>
            </w:pPr>
            <w:r>
              <w:rPr>
                <w:rFonts w:ascii="Arial" w:cs="Arial" w:eastAsia="Arial" w:hAnsi="Arial"/>
                <w:sz w:val="12"/>
                <w:szCs w:val="12"/>
                <w:color w:val="auto"/>
              </w:rPr>
              <w:t>33,180</w:t>
            </w:r>
            <w:r>
              <w:rPr>
                <w:rFonts w:ascii="Arial" w:cs="Arial" w:eastAsia="Arial" w:hAnsi="Arial"/>
                <w:sz w:val="18"/>
                <w:szCs w:val="18"/>
                <w:color w:val="auto"/>
                <w:vertAlign w:val="superscript"/>
              </w:rPr>
              <w:t>(10)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3/4/2029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24,424</w:t>
            </w:r>
            <w:r>
              <w:rPr>
                <w:rFonts w:ascii="Arial" w:cs="Arial" w:eastAsia="Arial" w:hAnsi="Arial"/>
                <w:sz w:val="18"/>
                <w:szCs w:val="18"/>
                <w:color w:val="auto"/>
                <w:vertAlign w:val="superscript"/>
              </w:rPr>
              <w:t>(11)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33,461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57,604</w:t>
            </w:r>
            <w:r>
              <w:rPr>
                <w:rFonts w:ascii="Arial" w:cs="Arial" w:eastAsia="Arial" w:hAnsi="Arial"/>
                <w:sz w:val="18"/>
                <w:szCs w:val="18"/>
                <w:color w:val="auto"/>
                <w:vertAlign w:val="superscript"/>
              </w:rPr>
              <w:t>(12)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78,917</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Timothy J. Yanoti</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27,132</w:t>
            </w:r>
          </w:p>
        </w:tc>
        <w:tc>
          <w:tcPr>
            <w:tcW w:w="1240" w:type="dxa"/>
            <w:vAlign w:val="bottom"/>
            <w:gridSpan w:val="3"/>
            <w:shd w:val="clear" w:color="auto" w:fill="CCEEFF"/>
          </w:tcPr>
          <w:p>
            <w:pPr>
              <w:jc w:val="right"/>
              <w:ind w:right="34"/>
              <w:spacing w:after="0" w:line="162" w:lineRule="exact"/>
              <w:rPr>
                <w:sz w:val="20"/>
                <w:szCs w:val="20"/>
                <w:color w:val="auto"/>
              </w:rPr>
            </w:pPr>
            <w:r>
              <w:rPr>
                <w:rFonts w:ascii="Arial" w:cs="Arial" w:eastAsia="Arial" w:hAnsi="Arial"/>
                <w:sz w:val="12"/>
                <w:szCs w:val="12"/>
                <w:color w:val="auto"/>
              </w:rPr>
              <w:t>54,263</w:t>
            </w:r>
            <w:r>
              <w:rPr>
                <w:rFonts w:ascii="Arial" w:cs="Arial" w:eastAsia="Arial" w:hAnsi="Arial"/>
                <w:sz w:val="18"/>
                <w:szCs w:val="18"/>
                <w:color w:val="auto"/>
                <w:vertAlign w:val="superscript"/>
              </w:rPr>
              <w:t>(10)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11/26/2028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38,760</w:t>
            </w:r>
            <w:r>
              <w:rPr>
                <w:rFonts w:ascii="Arial" w:cs="Arial" w:eastAsia="Arial" w:hAnsi="Arial"/>
                <w:sz w:val="18"/>
                <w:szCs w:val="18"/>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53,101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93,023</w:t>
            </w:r>
            <w:r>
              <w:rPr>
                <w:rFonts w:ascii="Arial" w:cs="Arial" w:eastAsia="Arial" w:hAnsi="Arial"/>
                <w:sz w:val="18"/>
                <w:szCs w:val="18"/>
                <w:color w:val="auto"/>
                <w:vertAlign w:val="superscript"/>
              </w:rPr>
              <w:t>(12)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127,442</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137,362</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188,186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68,681</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94,093</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Scott W. Anderson</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22,500</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2"/>
                <w:szCs w:val="12"/>
                <w:color w:val="auto"/>
              </w:rPr>
              <w:t>45,000</w:t>
            </w:r>
            <w:r>
              <w:rPr>
                <w:rFonts w:ascii="Arial" w:cs="Arial" w:eastAsia="Arial" w:hAnsi="Arial"/>
                <w:sz w:val="18"/>
                <w:szCs w:val="18"/>
                <w:color w:val="auto"/>
                <w:vertAlign w:val="superscript"/>
              </w:rPr>
              <w:t>(14)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2"/>
                <w:szCs w:val="12"/>
                <w:color w:val="auto"/>
              </w:rPr>
              <w:t>22,500</w:t>
            </w:r>
            <w:r>
              <w:rPr>
                <w:rFonts w:ascii="Arial" w:cs="Arial" w:eastAsia="Arial" w:hAnsi="Arial"/>
                <w:sz w:val="18"/>
                <w:szCs w:val="18"/>
                <w:color w:val="auto"/>
                <w:vertAlign w:val="superscript"/>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2/24/2025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20,000</w:t>
            </w:r>
            <w:r>
              <w:rPr>
                <w:rFonts w:ascii="Arial" w:cs="Arial" w:eastAsia="Arial" w:hAnsi="Arial"/>
                <w:sz w:val="18"/>
                <w:szCs w:val="18"/>
                <w:color w:val="auto"/>
                <w:vertAlign w:val="superscript"/>
              </w:rPr>
              <w:t>(16)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82,417</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112,911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41,209</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56,456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48,076</w:t>
            </w:r>
            <w:r>
              <w:rPr>
                <w:rFonts w:ascii="Arial" w:cs="Arial" w:eastAsia="Arial" w:hAnsi="Arial"/>
                <w:sz w:val="18"/>
                <w:szCs w:val="18"/>
                <w:color w:val="auto"/>
                <w:vertAlign w:val="superscript"/>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65,864</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9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Dennis Zeleny</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98,684</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135,197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49,342</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2019, any applicable performance hurdles have been met but awards remain subject to time-based vesting criteria.</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Consists of option awards with respect to which, as of December 31, 2019, the applicable performance hurdles have not been met.</w:t>
      </w:r>
    </w:p>
    <w:p>
      <w:pPr>
        <w:spacing w:after="0" w:line="2" w:lineRule="exact"/>
        <w:rPr>
          <w:rFonts w:ascii="Arial" w:cs="Arial" w:eastAsia="Arial" w:hAnsi="Arial"/>
          <w:sz w:val="25"/>
          <w:szCs w:val="25"/>
          <w:color w:val="auto"/>
          <w:vertAlign w:val="superscript"/>
        </w:rPr>
      </w:pPr>
    </w:p>
    <w:p>
      <w:pPr>
        <w:ind w:left="340" w:right="20" w:hanging="332"/>
        <w:spacing w:after="0" w:line="195" w:lineRule="auto"/>
        <w:tabs>
          <w:tab w:leader="none" w:pos="340" w:val="left"/>
        </w:tabs>
        <w:numPr>
          <w:ilvl w:val="0"/>
          <w:numId w:val="48"/>
        </w:numPr>
        <w:rPr>
          <w:rFonts w:ascii="Arial" w:cs="Arial" w:eastAsia="Arial" w:hAnsi="Arial"/>
          <w:sz w:val="29"/>
          <w:szCs w:val="29"/>
          <w:color w:val="auto"/>
          <w:vertAlign w:val="superscript"/>
        </w:rPr>
      </w:pPr>
      <w:r>
        <w:rPr>
          <w:rFonts w:ascii="Arial" w:cs="Arial" w:eastAsia="Arial" w:hAnsi="Arial"/>
          <w:sz w:val="17"/>
          <w:szCs w:val="17"/>
          <w:color w:val="auto"/>
        </w:rPr>
        <w:t>The dollar amounts shown in these columns are determined by multiplying the number of unvested shares or units subject to the award by $1.37, the closing price of a share of our common stock on the New York Stock Exchange on December 31, 2019 (the last trading day of 2019).</w:t>
      </w:r>
    </w:p>
    <w:p>
      <w:pPr>
        <w:ind w:left="340" w:right="20" w:hanging="332"/>
        <w:spacing w:after="0" w:line="187"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2019, the applicable time-based and/or performance vesting criteria have not been met.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ind w:left="332" w:hanging="332"/>
        <w:spacing w:after="0" w:line="194"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non-qualified stock options (NQSOs) granted to Mr. Messina October 4, 2018. One-third of granted options vested October 4, 2019, with the remaining options vesting in equal tranches on the second and third anniversaries of the grant.</w:t>
      </w:r>
    </w:p>
    <w:p>
      <w:pPr>
        <w:ind w:left="332" w:right="20" w:hanging="332"/>
        <w:spacing w:after="0" w:line="187"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RSUs granted to Mr. Messina October 4, 2018. One-third of granted units vested October 4, 2019, with the remaining units vesting in equal tranches on the second and third anniversaries of the grant.</w:t>
      </w:r>
    </w:p>
    <w:p>
      <w:pPr>
        <w:spacing w:after="0" w:line="1" w:lineRule="exact"/>
        <w:rPr>
          <w:rFonts w:ascii="Arial" w:cs="Arial" w:eastAsia="Arial" w:hAnsi="Arial"/>
          <w:sz w:val="30"/>
          <w:szCs w:val="30"/>
          <w:color w:val="auto"/>
          <w:vertAlign w:val="superscript"/>
        </w:rPr>
      </w:pPr>
    </w:p>
    <w:p>
      <w:pPr>
        <w:ind w:left="332" w:hanging="332"/>
        <w:spacing w:after="0" w:line="209" w:lineRule="auto"/>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RSUs granted to Mr. Messina April 11, 2019, to Messrs. Anderson and Yanoti March 29, 2019, and to Mr. Zeleny July 21, 2019, vesting in equal tranches on the first, second and third anniversaries of the respective grant dates. Awards for all but Mr. Messina will settle in cash.</w:t>
      </w:r>
    </w:p>
    <w:p>
      <w:pPr>
        <w:spacing w:after="0" w:line="1" w:lineRule="exact"/>
        <w:rPr>
          <w:rFonts w:ascii="Arial" w:cs="Arial" w:eastAsia="Arial" w:hAnsi="Arial"/>
          <w:sz w:val="27"/>
          <w:szCs w:val="27"/>
          <w:color w:val="auto"/>
          <w:vertAlign w:val="superscript"/>
        </w:rPr>
      </w:pPr>
    </w:p>
    <w:p>
      <w:pPr>
        <w:jc w:val="both"/>
        <w:ind w:left="332" w:hanging="332"/>
        <w:spacing w:after="0" w:line="214"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PRSUs granted to Mr. Messina April 11, 2019, to Messrs. Anderson and Yanoti March 29, 2019, and to Mr. Zeleny July 21, 2019. These PRSUs are earned based on the Company’s TSR during the performance period of March 29, 2019 through March 29, 2022, and vest on the third anniversary of the respective grant dates. Awards for all but Mr. Messina will settle in cash, if earned. Amounts reported assume threshold levels of achievement.</w:t>
      </w:r>
    </w:p>
    <w:p>
      <w:pPr>
        <w:spacing w:after="0" w:line="2" w:lineRule="exact"/>
        <w:rPr>
          <w:rFonts w:ascii="Arial" w:cs="Arial" w:eastAsia="Arial" w:hAnsi="Arial"/>
          <w:sz w:val="30"/>
          <w:szCs w:val="30"/>
          <w:color w:val="auto"/>
          <w:vertAlign w:val="superscript"/>
        </w:rPr>
      </w:pPr>
    </w:p>
    <w:p>
      <w:pPr>
        <w:jc w:val="both"/>
        <w:ind w:left="332" w:hanging="332"/>
        <w:spacing w:after="0"/>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PRSUs granted to Mr. Messina April 11, 2019, and to Mr. Anderson March 29, 2019. These PRSUs vest in equal thirds on the first, second and third anniversaries of the respective grant dates based on the Company’s cumulative Total Shareholder Return during three performance periods (the first from March 29, 2019 through March 29, 2020, the second from March 29, 2019 through March 29, 2021, and the third from March 29, 2019 through March 29, 2022). These awards will settle in cash, if earned. Amounts reported assume threshold levels of achievement.</w:t>
      </w:r>
    </w:p>
    <w:p>
      <w:pPr>
        <w:spacing w:after="0" w:line="1" w:lineRule="exact"/>
        <w:rPr>
          <w:rFonts w:ascii="Arial" w:cs="Arial" w:eastAsia="Arial" w:hAnsi="Arial"/>
          <w:sz w:val="27"/>
          <w:szCs w:val="27"/>
          <w:color w:val="auto"/>
          <w:vertAlign w:val="superscript"/>
        </w:rPr>
      </w:pP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November 26, 2018 to Mr. Yanoti and March 4, 2019 to Ms. Campbell, vesting in equal thirds on the first, second and third anniversaries of the grant.</w:t>
      </w:r>
    </w:p>
    <w:p>
      <w:pPr>
        <w:ind w:left="332" w:hanging="332"/>
        <w:spacing w:after="0" w:line="180" w:lineRule="auto"/>
        <w:tabs>
          <w:tab w:leader="none" w:pos="332"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RSUs granted March 4, 2019 to Ms. Campbell, vesting in equal thirds on the first, second and third anniversaries of the grant.</w:t>
      </w:r>
    </w:p>
    <w:p>
      <w:pPr>
        <w:spacing w:after="0" w:line="2" w:lineRule="exact"/>
        <w:rPr>
          <w:rFonts w:ascii="Arial" w:cs="Arial" w:eastAsia="Arial" w:hAnsi="Arial"/>
          <w:sz w:val="25"/>
          <w:szCs w:val="25"/>
          <w:color w:val="auto"/>
          <w:vertAlign w:val="superscript"/>
        </w:rPr>
      </w:pPr>
    </w:p>
    <w:p>
      <w:pPr>
        <w:jc w:val="both"/>
        <w:ind w:left="332" w:hanging="332"/>
        <w:spacing w:after="0" w:line="252" w:lineRule="auto"/>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PRSUs granted November 26, 2018 to Mr. Yanoti and March 4, 2019 to Ms. Campbell, time-vesting in equal fourths on the first, second, third and fourth anniversaries of the grant, and performance vesting upon the Average Stock Price equaling or exceeding $5.80 and $4.34 for Mr. Yanoti and Ms. Campbell, respectively, at any time during such four-year period.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w:t>
      </w:r>
    </w:p>
    <w:p>
      <w:pPr>
        <w:spacing w:after="0" w:line="2" w:lineRule="exact"/>
        <w:rPr>
          <w:rFonts w:ascii="Arial" w:cs="Arial" w:eastAsia="Arial" w:hAnsi="Arial"/>
          <w:sz w:val="27"/>
          <w:szCs w:val="27"/>
          <w:color w:val="auto"/>
          <w:vertAlign w:val="superscript"/>
        </w:rPr>
      </w:pP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RSUs granted to Mr. Yanoti November 26, 2018. One-third of granted units vested November 26, 2019, with the remaining units vesting in equal tranches on the second and third anniversaries of the grant.</w:t>
      </w:r>
    </w:p>
    <w:p>
      <w:pPr>
        <w:ind w:left="332" w:right="20"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5/14/2014, one-fourth of which vest upon achieving a stock price of $66.90 and compounded annual gain of 20% over the exercise price, with the balance vesting one-fourth each subsequent anniversary.</w:t>
      </w: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5/14/2014, one-fourth of which vest upon achieving a stock price of $100.35 and compounded annual gain of 25% over the exercise price, with the balance vesting one-fourth each subsequent anniversary.</w:t>
      </w:r>
    </w:p>
    <w:p>
      <w:pPr>
        <w:ind w:left="332" w:hanging="332"/>
        <w:spacing w:after="0" w:line="180" w:lineRule="auto"/>
        <w:tabs>
          <w:tab w:leader="none" w:pos="332"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remaining one-fourth of PRSUs granted to Mr. Anderson March 29, 2016, which vested March 29, 2020.</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Option Exercises and Stock Vested During 2019</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2019 for the individuals named in the 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5"/>
          </w:tcPr>
          <w:p>
            <w:pPr>
              <w:ind w:left="1060"/>
              <w:spacing w:after="0"/>
              <w:rPr>
                <w:sz w:val="20"/>
                <w:szCs w:val="20"/>
                <w:color w:val="auto"/>
              </w:rPr>
            </w:pPr>
            <w:r>
              <w:rPr>
                <w:rFonts w:ascii="Arial" w:cs="Arial" w:eastAsia="Arial" w:hAnsi="Arial"/>
                <w:sz w:val="18"/>
                <w:szCs w:val="18"/>
                <w:b w:val="1"/>
                <w:bCs w:val="1"/>
                <w:color w:val="auto"/>
              </w:rPr>
              <w:t>Option Awards</w:t>
            </w:r>
          </w:p>
        </w:tc>
        <w:tc>
          <w:tcPr>
            <w:tcW w:w="3320" w:type="dxa"/>
            <w:vAlign w:val="bottom"/>
            <w:gridSpan w:val="4"/>
          </w:tcPr>
          <w:p>
            <w:pPr>
              <w:ind w:left="10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ind w:left="150"/>
              <w:spacing w:after="0" w:line="198" w:lineRule="exact"/>
              <w:rPr>
                <w:sz w:val="20"/>
                <w:szCs w:val="20"/>
                <w:color w:val="auto"/>
              </w:rPr>
            </w:pPr>
            <w:r>
              <w:rPr>
                <w:rFonts w:ascii="Arial" w:cs="Arial" w:eastAsia="Arial" w:hAnsi="Arial"/>
                <w:sz w:val="18"/>
                <w:szCs w:val="18"/>
                <w:b w:val="1"/>
                <w:bCs w:val="1"/>
                <w:color w:val="auto"/>
                <w:w w:val="93"/>
              </w:rPr>
              <w:t>Number of</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Value Realized</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left="150"/>
              <w:spacing w:after="0" w:line="181" w:lineRule="exact"/>
              <w:rPr>
                <w:sz w:val="20"/>
                <w:szCs w:val="20"/>
                <w:color w:val="auto"/>
              </w:rPr>
            </w:pPr>
            <w:r>
              <w:rPr>
                <w:rFonts w:ascii="Arial" w:cs="Arial" w:eastAsia="Arial" w:hAnsi="Arial"/>
                <w:sz w:val="18"/>
                <w:szCs w:val="18"/>
                <w:b w:val="1"/>
                <w:bCs w:val="1"/>
                <w:color w:val="auto"/>
                <w:w w:val="92"/>
              </w:rPr>
              <w:t>Acquired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6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2"/>
              </w:rPr>
              <w:t>Acquired</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on Exercise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6"/>
              </w:rPr>
              <w:t>on Exercise</w:t>
            </w:r>
            <w:r>
              <w:rPr>
                <w:rFonts w:ascii="Arial" w:cs="Arial" w:eastAsia="Arial" w:hAnsi="Arial"/>
                <w:sz w:val="25"/>
                <w:szCs w:val="25"/>
                <w:b w:val="1"/>
                <w:bCs w:val="1"/>
                <w:color w:val="auto"/>
                <w:w w:val="96"/>
                <w:vertAlign w:val="superscript"/>
              </w:rPr>
              <w:t>(1)</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on Vesting</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on Vesting</w:t>
            </w:r>
          </w:p>
        </w:tc>
        <w:tc>
          <w:tcPr>
            <w:tcW w:w="0" w:type="dxa"/>
            <w:vAlign w:val="bottom"/>
          </w:tcPr>
          <w:p>
            <w:pPr>
              <w:spacing w:after="0"/>
              <w:rPr>
                <w:sz w:val="1"/>
                <w:szCs w:val="1"/>
                <w:color w:val="auto"/>
              </w:rPr>
            </w:pPr>
          </w:p>
        </w:tc>
      </w:tr>
      <w:tr>
        <w:trPr>
          <w:trHeight w:val="277"/>
        </w:trPr>
        <w:tc>
          <w:tcPr>
            <w:tcW w:w="4280" w:type="dxa"/>
            <w:vAlign w:val="bottom"/>
            <w:gridSpan w:val="2"/>
          </w:tcPr>
          <w:p>
            <w:pPr>
              <w:ind w:left="180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4"/>
                <w:szCs w:val="24"/>
                <w:color w:val="auto"/>
              </w:rPr>
            </w:pPr>
          </w:p>
        </w:tc>
        <w:tc>
          <w:tcPr>
            <w:tcW w:w="146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327,669</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2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28,682</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2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45,112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83,024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Catherine M. Dondzila</w:t>
            </w:r>
          </w:p>
        </w:tc>
        <w:tc>
          <w:tcPr>
            <w:tcW w:w="12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26,431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48,565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No options were exercised during 2019.</w:t>
      </w:r>
    </w:p>
    <w:p>
      <w:pPr>
        <w:spacing w:after="0" w:line="1" w:lineRule="exact"/>
        <w:rPr>
          <w:rFonts w:ascii="Arial" w:cs="Arial" w:eastAsia="Arial" w:hAnsi="Arial"/>
          <w:sz w:val="30"/>
          <w:szCs w:val="30"/>
          <w:color w:val="auto"/>
          <w:vertAlign w:val="superscript"/>
        </w:rPr>
      </w:pPr>
    </w:p>
    <w:p>
      <w:pPr>
        <w:ind w:left="340" w:right="140" w:hanging="332"/>
        <w:spacing w:after="0" w:line="187"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The dollar amounts shown in this column for stock awards are calculated based on the closing price of a share of our common stock on the New York Stock Exchange on the date of vesting.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and non-disclosure agreement discussed above under “Restrictive Covenants,” and our clawback policy, as applicable. In addition, a named executive officer would typically retain any vested portion of prior equity awards granted through the 1998 Annual Incentive Plan, the 2007 Plan and the 2017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Options and Equity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stock option agreements generally provide that, in the event of death, disability, retirement or termination by the 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w:t>
      </w:r>
    </w:p>
    <w:p>
      <w:pPr>
        <w:spacing w:after="0" w:line="1" w:lineRule="exact"/>
        <w:rPr>
          <w:sz w:val="20"/>
          <w:szCs w:val="20"/>
          <w:color w:val="auto"/>
        </w:rPr>
      </w:pPr>
    </w:p>
    <w:p>
      <w:pPr>
        <w:jc w:val="both"/>
        <w:ind w:firstLine="8"/>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vested options generally terminate within a specified timeframe. Upon termination for cause, all vested and unvested options are immediately terminated. Additionally, pursuant to these stock option agreements, if there is a “change of control” as defined in the applicable stock option agreement, all options would immediately vest.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time-based and performance-based stock unit agreements for awards granted prior to March 29, 2019 provide for continued vesting upon retirement, disability or death. Upon retirement on or after the first anniversary of the award, or in the event of disability, vesting of the award continues as provided in the award agreement if certain conditions relating to cooperation and non-competition as set forth in the agreement are met. Upon death, vesting also continues as provided in the award agreement. If terminated (other than by retirement, disability or death), any unvested portion of the award shall be terminated on the last day of employment. If there is a “change of control” as defined in the applicable stock unit agreement, then all outstanding and unvested awards immediately vest.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Long-Term Incentive (LTI) awards granted March 29, 2019 and after, in the case of death or disability, the awards will immediately vest on a pro-rata basis in proportion to the percentage of the vesting period the participant served prior to termination, and the performance-based vesting condition shall be deemed to have been achieved at target level, as applicable. In the event of voluntary resignation (other than for good reason, as defined in the applicable award agreements), any unvested portion of an award will be forfeited.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Upon a termination without cause, the restricted stock units vest in the same pro-rata manner described above, and the pro-rata portion (determined in the same manner described above) of the three-year cliff-vesting performance-restricted stock units remain eligible to become vested, subject to achievement of applicable performance objectives, and the transitional three-year ratable-vesting performance-restricted stock units remain eligible to become vested in full, subject to achievement of performance objectives.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change of control, awards continue vesting in accordance with their terms, but the performance-based vesting condition shall be deemed to have been achieved at target levels at each subsequent vesting date, as applicable. If, within 12 months of such change of control, the corporation terminates the participant’s employment for any reason other than for cause or the participant resigns for good reason, the awards will vest at target level as of the date of termination.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provisions in our equity award agreements relating to change in control support our compelling business need to incentivize the retention of key employees during the uncertain times preceding a change of control. As described above, beginning with our March 29, 2019 awards, our award agreements provide for accelerated vesting following change of control only if such change of control is followed by actual or constructive termination (i.e., a “double trigger”), in order to further incentivize post-change of control retention and engagement.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for Mr. Messina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of Mr. Messina’s termination without cause or resignation for good reason, under the terms of his offer letter he will be entitled to receive (i) a lump sum termination payment in an amount equal to the sum of his base salary plus his annual target incentive, (ii) the estimated cost of 18 months’ COBRA benefits, and (iii) a pro rata portion of his annual bonus payment based on actual achievement of Ocwen performance objectives and payment of any unpaid prior year bonus. In addition, in the event of Mr. Messina’s termination without cause, resignation for good reason or termination due to death or disability, he will be entitled to accelerated vesting of his sign-on option award and sign-on restricted stock unit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Anderson, Yanoti and Zeleny and Ms. Campbell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Severance Plan, if an executive officer’s employment with the Company is terminated by the Company due to an eligible termination as defined in the Plan, the executive will be entitled to receive the following benefits: (i) a lump sum payment equal to 18 times the monthly base salary rate; and (ii) a monthly subsidy equal to the executive’s expected cost of COBRA premiums for continued medical coverage for 18 months.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CIC Plan, if a Change in Control (as defined in the Plan) occurs and either the participant’s employment is involuntarily terminated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a monthly subsidy equal to the participant’s expected cost of COBRA premiums for continued medical coverage for 24 months.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table below sets forth the potential benefits that each named executive officer serving as of December 31, 2019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2019. For Ms. Dondzila, as required under SEC rules, payments to her in connection with her termination of employment on May 31, 2019 are described below.</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value of any outstanding equity awards that would accelerate is determined by multiplying (i) the number of unvested restricted stock units held by the named executive officer that would accelerate by (ii) $1.37, the closing price of a share of our common stock on the New York Stock Exchange on December 31, 2019 (the last trading day of the year). Additionally, at that share price, no stock options for which vesting would accelerate had value.</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1"/>
              </w:rPr>
              <w:t>Voluntary</w:t>
            </w: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Termination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without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Good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Change in</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Reason or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Voluntary</w:t>
            </w: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Control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Involuntary</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Resignation</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Control</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with</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Termination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with Good</w:t>
            </w: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Not for</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Qualifying</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Disability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Cause</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Reason</w:t>
            </w: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Cause</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Termination</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Termination</w:t>
            </w:r>
          </w:p>
        </w:tc>
        <w:tc>
          <w:tcPr>
            <w:tcW w:w="8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Death</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Retirement</w:t>
            </w:r>
          </w:p>
        </w:tc>
      </w:tr>
      <w:tr>
        <w:trPr>
          <w:trHeight w:val="216"/>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3,573,440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3,573,440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897,817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4,538,151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653,017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712,500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712,500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112,378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1,062,378</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722,690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180,543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1,456,916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95,379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47,690</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778,612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27,400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1,384,954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188,956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28,612</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637,500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656,479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1,120,394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37,957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Catherine M. Dondzila Separation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May 31, 2019, Ms. Dondzila resigned as our Senior Vice President and Chief Accounting Officer. The Company entered into a separation and release agreement with Ms. Dondzila on June 19, 2019 in connection with her departure. Under this agreement, in addition to any other accrued obligations and vested benefits under the Company’s benefit plans, the Company agreed to pay Ms. Dondzila a lump sum payment of $568,870 in exchange for a general release of claims. This agreement also included certain restrictive covenants.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2020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2019;</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ectPr>
          <w:pgSz w:w="11900" w:h="16838" w:orient="portrait"/>
          <w:cols w:equalWidth="0" w:num="1">
            <w:col w:w="11240"/>
          </w:cols>
          <w:pgMar w:left="320" w:top="68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April 27, 2020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J. Bowers,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Robert J. Lipstein,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Kevin Stein, Director</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Deloitte &amp; Touche LLP Fees</w:t>
      </w:r>
    </w:p>
    <w:p>
      <w:pPr>
        <w:sectPr>
          <w:pgSz w:w="11900" w:h="16838" w:orient="portrait"/>
          <w:cols w:equalWidth="0" w:num="1">
            <w:col w:w="11240"/>
          </w:cols>
          <w:pgMar w:left="320" w:top="688"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6,584,205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5,601,457</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313,000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1,846,820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2,150,010</w:t>
            </w:r>
          </w:p>
        </w:tc>
      </w:tr>
      <w:tr>
        <w:trPr>
          <w:trHeight w:val="236"/>
        </w:trPr>
        <w:tc>
          <w:tcPr>
            <w:tcW w:w="788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38,877</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4,286</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8,782,902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fiscal years 2019 and 2018, for the reviews of the financial statements included in Ocwen’s quarterly reports on Form 10-Q during fiscal years 2019 and 2018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This category includes the aggregate fees billed for reporting on internal controls relating to servicing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1" w:name="page62"/>
    <w:bookmarkEnd w:id="61"/>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that are not reported above under “Audit Fees,” “Audit-Related Fees” or “Tax Fees.”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Deloitte &amp; Touche LLP in 2018 and 2019 and the proposed services for 2020 and determined that such services and fees are compatible with the independence of Deloitte &amp; Touche LLP.</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more detail under the heading “Executive Compensation,” we believe our executive compensation programs are effectively designed, are in alignment with the interests of our shareholders and are instrumental to achieving our business strategy. Prior to 2019, shareholder feedback in the form of shareholder advisory votes on Ocwen’s executive compensation has been very positive. At each of our Annual Meetings of Shareholders from 2014 through 2018, we received at least 85% of votes cast on our Say-on-Pay proposal in favor of our executive compensation. In 2019, we received 66% support on the votes casted on our Say-on-Pay proposal. Based on outreach efforts to both institutional and active investors, we believe that a significant driver of this was the “AGAINST” recommendation provided by ISS’s proxy advisory group. ISS comments included, among others, that our “annual incentive awards being tied to a large number of metrics, several which appear to be subjective” and that our new Chief Executive Officer, Mr. Messina, received equity grants that were “large and entirely time-vesting.”</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Compensation Committee considered ISS’s input, as well as the input we gathered from reaching out or meeting directly with active investors. Through these outreach efforts we reached a group who held approximately 58% of our outstanding shares. During the shareholder engagement process, we shared with investors the changes we had made in our programs including the reduction of compensation levels and the introduction of a long-term incentive plan. As a result of the engagement process, we concluded that Ocwen’s current focus on rewarding the management team for cost reduction, maximizing the synergies of the PHH acquisition, settling legacy issues with regulators and focusing on the quickest return to profitability, as well as linking management’s compensation to absolute total shareholder return, aligns with the priorities of our shareholders.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2020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2020 annual meeting of shareholders.</w:t>
      </w:r>
    </w:p>
    <w:p>
      <w:pPr>
        <w:spacing w:after="0" w:line="183" w:lineRule="exact"/>
        <w:rPr>
          <w:sz w:val="20"/>
          <w:szCs w:val="20"/>
          <w:color w:val="auto"/>
        </w:rPr>
      </w:pPr>
    </w:p>
    <w:p>
      <w:pPr>
        <w:jc w:val="center"/>
        <w:ind w:left="340" w:right="15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ADVISORY APPROVAL OF AN AMENDMENT TO THE ARTICLES OF INCORPORATION</w:t>
      </w:r>
    </w:p>
    <w:p>
      <w:pPr>
        <w:spacing w:after="0" w:line="27" w:lineRule="exact"/>
        <w:rPr>
          <w:sz w:val="20"/>
          <w:szCs w:val="20"/>
          <w:color w:val="auto"/>
        </w:rPr>
      </w:pPr>
    </w:p>
    <w:p>
      <w:pPr>
        <w:jc w:val="center"/>
        <w:ind w:left="340" w:right="80"/>
        <w:spacing w:after="0" w:line="255" w:lineRule="auto"/>
        <w:rPr>
          <w:sz w:val="20"/>
          <w:szCs w:val="20"/>
          <w:color w:val="auto"/>
        </w:rPr>
      </w:pPr>
      <w:r>
        <w:rPr>
          <w:rFonts w:ascii="Arial" w:cs="Arial" w:eastAsia="Arial" w:hAnsi="Arial"/>
          <w:sz w:val="18"/>
          <w:szCs w:val="18"/>
          <w:b w:val="1"/>
          <w:bCs w:val="1"/>
          <w:color w:val="auto"/>
        </w:rPr>
        <w:t xml:space="preserve">TO EFFECT A REVERSE STOCK SPLIT OF OUR ISSUED AND OUTSTANDING COMMON STOCK AND REDUCE THE NUMBER OF AUTHORIZED SHARES OF OUR COMMON STOCK BY THE SAME PROPORTION AS THE RATIO OF OUR REVERSE STOCK SPLIT </w:t>
      </w:r>
      <w:r>
        <w:rPr>
          <w:rFonts w:ascii="Arial" w:cs="Arial" w:eastAsia="Arial" w:hAnsi="Arial"/>
          <w:sz w:val="18"/>
          <w:szCs w:val="18"/>
          <w:color w:val="auto"/>
        </w:rPr>
        <w:t>(Proposal Four)</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has approved and is requesting shareholders to approve, on an advisory basis, an amendment to our Articles of Incorporation that would effect a reverse split of all outstanding shares of our common stock if the Board deems that it is in our and our shareholders’ best interests, at a ratio of any amount between, and including, one-for-five and one-for-25, and reduce the number of authorized shares of our common stock by the same proportion as the ratio of our reverse stock split (the “Reverse Stock Split”). Under the Florida Business Corporation Act, we may enact this amendment to our Articles of Incorporation without shareholder approval because we are reducing our authorized shares proportionately. However, our Board has determined that it is appropriate to request shareholder approval of this amendment and will give appropriate consideration to the outcome of the advisory vote in determining whether or not to effect the Reverse Stock Split, and if so, at which split ratio. Our Board will continue to have the authority to elect to implement the Reverse Stock Split at its sole discretion if the members of the Board believe, due to changing circumstances or otherwise, that it is in the best interests of the Company and its shareholders, and therefore required by the Board’s fulfillment of its fiduciary duties. Further, our Board may elect not to implement the Reverse Stock Split at its sole discretion, if it believes as a result of changed circumstances or otherwise that to abandon the Reverse Stock Split would be in the best interest of our shareholders.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our Board elects to implement the Reverse Stock Split, our Board would authorize our management to file Articles of Amendment to our Articles of Incorporation with the Florida Secretary of State to effect the Reverse Stock Split. If our Board elects to implement the Reverse Stock Split, the number of issued and outstanding shares of our common stock would be reduced in accordance with the ratio of the selected Reverse Stock Split. The par value of our common stock would remain unchanged, and the number of our authorized shares of common stock, which is presently 200,000,000, would be decreased proportionally. For example, if we implemented a one-for-five Reverse Stock Split, our authorized shares would be reduced to 40,000,000 and if we implemented a one-for-20 Reverse Stock Split, our authorized shares would be reduced to 10,000,000. Because the number of authorized shares of our common stock will be reduced by the same proportion as the ratio of our Reverse Stock Split, the Reverse Stock Split will not result in an increase to the proportion of our authorized but unissued shares of common stock. If our Board elects to implement the Reverse Stock Split, the ratio selected by our Board would be publicly disclosed by us to our shareholders on or before the date on which the Articles of Amendment to our Articles of Incorporation effecting the Reverse Stock Split is filed with the Florida Secretary of State.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You may elect to vote in favor of the Reverse Stock Split, against the Reverse Stock Split, or you may abstain from voting on the proposal. The proposed form of amendment to our Articles of Incorporation to implement the Reverse Stock Split is attached to this Proxy Statement as </w:t>
      </w:r>
      <w:r>
        <w:rPr>
          <w:rFonts w:ascii="Arial" w:cs="Arial" w:eastAsia="Arial" w:hAnsi="Arial"/>
          <w:sz w:val="17"/>
          <w:szCs w:val="17"/>
          <w:u w:val="single" w:color="auto"/>
          <w:color w:val="auto"/>
        </w:rPr>
        <w:t>Annex A</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Reverse Stock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a Reverse Stock Split is desirable for a number of reasons, including: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Help us Comply with New York Stock Exchange (NYSE) Continued Listing Requirements. </w:t>
      </w:r>
      <w:r>
        <w:rPr>
          <w:rFonts w:ascii="Arial" w:cs="Arial" w:eastAsia="Arial" w:hAnsi="Arial"/>
          <w:sz w:val="17"/>
          <w:szCs w:val="17"/>
          <w:color w:val="auto"/>
        </w:rPr>
        <w:t>Our common stock is quoted on the NYSE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symbol “OCN”. On the record date, the last sale price of our common stock was $0.57 per share. As previously disclosed, we were notified on April 8, 2020 by the NYSE that we were non-compliant with the NYSE’s continued listing standards because the average closing price of our common stock over the 30 trading-day period ending April 7, 2020 was less than $1.00. If we are not able to regain compliance with the NYSE’s share price standards, which generally require that on the last trading day of any calendar month during a six month cure period, our common stock has a closing share price of at least $1.00 and an average closing share price of at least $1.00 over the 30 trading-day period ending on the last trading day of that month, we will be de-listed from the NYSE. On April 21, 2020, the NYSE announced that, due to market-wide declines brought about by the extraordinary circumstances of the COVID-19 pandemic, it would toll until July 1, 2020 the running of cure periods for companies not in compliance with the minimum share price standard. As a result, the remainder of Ocwen’s cure period will be tolled until July 1, 2020 and the Company must regain compliance with the NYSE’s share price standard by December 17, 2020. The likelihood and nature of any further NYSE relief remain uncertain at this time. Therefore, we believe we should effectuate the Reverse Stock Split in order to potentially increase our stock price and therefore our ability comply with the continued listing requirements of the NYSE.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Increase in Eligible Institutional and Other Investors. </w:t>
      </w:r>
      <w:r>
        <w:rPr>
          <w:rFonts w:ascii="Arial" w:cs="Arial" w:eastAsia="Arial" w:hAnsi="Arial"/>
          <w:sz w:val="18"/>
          <w:szCs w:val="18"/>
          <w:color w:val="auto"/>
        </w:rPr>
        <w:t>We believe a Reverse Stock Split has the ability to increase the price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potentially decrease its volatility, and thus may facilitate investment in our stock by a broader range of institutional investors. For example, many funds and institutions have investment guidelines and policies that prohibit them from investing in stocks with a price below a certain threshold. We believe that increased institutional investor interest in the Company and our common stock may potentially lead to an increase in the market price of our common stock, as well as the trading volume and liquidity of our common stock.</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Increase Analyst and Broker Interest. </w:t>
      </w:r>
      <w:r>
        <w:rPr>
          <w:rFonts w:ascii="Arial" w:cs="Arial" w:eastAsia="Arial" w:hAnsi="Arial"/>
          <w:sz w:val="16"/>
          <w:szCs w:val="16"/>
          <w:color w:val="auto"/>
        </w:rPr>
        <w:t>We believe a Reverse Stock Split would help increase analyst and broker-dealer interest in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as many brokerage and investment advisory firms’ policies can discourage analysts, advisors, and broker/dealers from following or recommending companies with low stock prices. Because of the trading volatility and lack of liquidity often associated with lower-priced stocks, many brokerage houses have adopted investment guidelines and policies and practices that either prohibit or discourage them from investing or trading such stocks or recommending them to their clients and customers. Some of those guidelines, policies and practices may also function to make the processing of trades in lower-priced stocks economically unattractive to broker-dealers. Additionally, because brokers’ commissions and dealer mark-ups/mark-downs on transactions in lower-priced stocks generally represent a higher percentage of the stock price than commissions and mark-ups/mark-downs on higher-priced stocks, the current average price per share of our common stock can result in shareholders or potential shareholders paying transaction costs representing a higher percentage of the total share value than would otherwise be the case if the share price were substantially higher.</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evaluating the Reverse Stock Split, our Board of Directors also considered a number of negative factors commonly associated with reverse stock splits. These factors include the negative perception of reverse stock splits held by some investors and analysts, as well as the fact that the stock prices of some companies that effect reverse stock splits do not necessarily trade at levels commensurate with expectations based on the applicable reverse stock split ratios. See “- </w:t>
      </w:r>
      <w:r>
        <w:rPr>
          <w:rFonts w:ascii="Arial" w:cs="Arial" w:eastAsia="Arial" w:hAnsi="Arial"/>
          <w:sz w:val="16"/>
          <w:szCs w:val="16"/>
          <w:i w:val="1"/>
          <w:iCs w:val="1"/>
          <w:color w:val="auto"/>
        </w:rPr>
        <w:t>Risks of the Reverse Stock Split</w:t>
      </w:r>
      <w:r>
        <w:rPr>
          <w:rFonts w:ascii="Arial" w:cs="Arial" w:eastAsia="Arial" w:hAnsi="Arial"/>
          <w:sz w:val="16"/>
          <w:szCs w:val="16"/>
          <w:color w:val="auto"/>
        </w:rPr>
        <w:t>” below for more information on the risks associated with the Reverse Stock Split. Our Board, however, may determine that these potential negative factors would be significantly outweighed by the potential benefits, and may believe that the increase of the per share market price of our common stock that may result from the Reverse Stock Split may allow us to maintain the listing of our common stock on the NYSE, encourage greater interest in our common stock from market participants, and enhance the marketability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the Reverse Stock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Before voting on this proposal, you should consider the following risks associated with the implementation of the Reverse Stock Split.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The Reverse Stock Split may not increase our market capitalization, which would prevent us from realizing some of the anticipated benefits of the Reverse Stock Split. </w:t>
      </w:r>
      <w:r>
        <w:rPr>
          <w:rFonts w:ascii="Arial" w:cs="Arial" w:eastAsia="Arial" w:hAnsi="Arial"/>
          <w:sz w:val="17"/>
          <w:szCs w:val="17"/>
          <w:color w:val="auto"/>
        </w:rPr>
        <w:t>The market price of our common stock is based on a number of factors which may be unrelated to the number of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These factors may include our performance, general economic and market conditions and other factors, many of which are beyond our control. The market price per share may not rise in inverse proportion to the reduction in the number of shares outstanding before the Reverse Stock Split, and any increase in share price may not be maintained. For example, based on the closing price of our common stock on March 31, 2020, of $0.50 per share, if our Board were to implement the Reverse Stock Split and utilize a ratio of one-for-20, we cannot assure you that the post-split market price of our common stock would be $10.00 (that is $0.50 multiplied by 20) per share or greater. Accordingly, the total market capitalization of our common stock after the Reverse Stock Split may be lower than the total market capitalization before the Reverse Stock Split.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Even if the Reverse Stock Split is implemented, we may still become ineligible for continued listing on the NYSE. </w:t>
      </w:r>
      <w:r>
        <w:rPr>
          <w:rFonts w:ascii="Arial" w:cs="Arial" w:eastAsia="Arial" w:hAnsi="Arial"/>
          <w:sz w:val="18"/>
          <w:szCs w:val="18"/>
          <w:color w:val="auto"/>
        </w:rPr>
        <w:t>In the future, the market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common stock following the Reverse Stock Split may not equal or exceed the market price prior to the Reverse Stock Split. The long- and near-term effect of a Reverse Stock Split upon the market price of our common stock cannot be predicted with any certainty. Even if the Reverse Stock Split is implemented, we may still become ineligible for continued listing on the NYSE.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If the Reverse Stock Split is effected, the resulting per-share market price may not attract institutional investors or investment funds and may not satisfy the investing guidelines of such investors and, consequently, the trading liquidity of our common stock may not improve. </w:t>
      </w:r>
      <w:r>
        <w:rPr>
          <w:rFonts w:ascii="Arial" w:cs="Arial" w:eastAsia="Arial" w:hAnsi="Arial"/>
          <w:sz w:val="18"/>
          <w:szCs w:val="18"/>
          <w:color w:val="auto"/>
        </w:rPr>
        <w:t>There can be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The reduced number of issued shares of common stock resulting from the Reverse Stock Split could adversely affect the liquidity of our common stock. </w:t>
      </w:r>
      <w:r>
        <w:rPr>
          <w:rFonts w:ascii="Arial" w:cs="Arial" w:eastAsia="Arial" w:hAnsi="Arial"/>
          <w:sz w:val="18"/>
          <w:szCs w:val="18"/>
          <w:color w:val="auto"/>
        </w:rPr>
        <w:t>As noted above, the Reverse Stock Split may not increase interest in our common stock and to the contrary, the reduced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after the Reverse Stock Split could adversely affect the liquidity of our common stock by reducing the number of shares available for trading.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Reduction of the number of Shares Held by Individual Shareholders</w:t>
      </w:r>
      <w:r>
        <w:rPr>
          <w:rFonts w:ascii="Arial" w:cs="Arial" w:eastAsia="Arial" w:hAnsi="Arial"/>
          <w:sz w:val="17"/>
          <w:szCs w:val="17"/>
          <w:color w:val="auto"/>
        </w:rPr>
        <w:t>. After the effective date of the Reverse Stock Split, each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will own fewer shares of our common stock. However, the Reverse Stock Split will affect all of our common shareholders uniformly and will not affect any common shareholder’s percentage ownership interests in us, except to the extent that the Reverse Stock Split results in any of our shareholders owning a fractional share as described below. As discussed further below, we will round up any fractional shares. The number of shareholders of record will not be affected by the Reverse Stock Split. However, if the Reverse Stock Split is approved, it will increase the number of shareholders who own “odd lots” of less than 100 shares of our common stock. Brokerage commissions and other costs of transactions in odd lots may be higher than the costs of transactions of more than 100 shares of common stock.</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Reduction in Total Outstanding Shares. </w:t>
      </w:r>
      <w:r>
        <w:rPr>
          <w:rFonts w:ascii="Arial" w:cs="Arial" w:eastAsia="Arial" w:hAnsi="Arial"/>
          <w:sz w:val="18"/>
          <w:szCs w:val="18"/>
          <w:color w:val="auto"/>
        </w:rPr>
        <w:t>The proposed Reverse Stock Split will reduce the total number of outstanding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 factor based on the ratio of the split. The following table shows the number of shares of our common stock outstanding both before the Reverse Stock Split and after the Reverse Stock Split: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 Number</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Issued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Authorized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w:t>
            </w:r>
          </w:p>
        </w:tc>
      </w:tr>
      <w:tr>
        <w:trPr>
          <w:trHeight w:val="277"/>
        </w:trPr>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Reverse Split Ratio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Authorized</w:t>
            </w:r>
          </w:p>
        </w:tc>
        <w:tc>
          <w:tcPr>
            <w:tcW w:w="1960" w:type="dxa"/>
            <w:vAlign w:val="bottom"/>
            <w:gridSpan w:val="2"/>
          </w:tcPr>
          <w:p>
            <w:pPr>
              <w:jc w:val="center"/>
              <w:ind w:right="180"/>
              <w:spacing w:after="0" w:line="270" w:lineRule="exact"/>
              <w:rPr>
                <w:sz w:val="20"/>
                <w:szCs w:val="20"/>
                <w:color w:val="auto"/>
              </w:rPr>
            </w:pPr>
            <w:r>
              <w:rPr>
                <w:rFonts w:ascii="Arial" w:cs="Arial" w:eastAsia="Arial" w:hAnsi="Arial"/>
                <w:sz w:val="18"/>
                <w:szCs w:val="18"/>
                <w:b w:val="1"/>
                <w:bCs w:val="1"/>
                <w:color w:val="auto"/>
                <w:w w:val="87"/>
              </w:rPr>
              <w:t>Outstanding</w:t>
            </w:r>
            <w:r>
              <w:rPr>
                <w:rFonts w:ascii="Arial" w:cs="Arial" w:eastAsia="Arial" w:hAnsi="Arial"/>
                <w:sz w:val="29"/>
                <w:szCs w:val="29"/>
                <w:b w:val="1"/>
                <w:bCs w:val="1"/>
                <w:color w:val="auto"/>
                <w:w w:val="87"/>
                <w:vertAlign w:val="superscript"/>
              </w:rPr>
              <w:t>(1)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Current Shares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200,000,000</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134,956,288</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65,043,712</w:t>
            </w:r>
          </w:p>
        </w:tc>
      </w:tr>
      <w:tr>
        <w:trPr>
          <w:trHeight w:val="216"/>
        </w:trPr>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1-for-5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40,000,000</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26,991,258</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13,008,742</w:t>
            </w:r>
          </w:p>
        </w:tc>
      </w:tr>
      <w:tr>
        <w:trPr>
          <w:trHeight w:val="216"/>
        </w:trPr>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1-for-10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20,000,000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13,495,629</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6,504,371</w:t>
            </w:r>
          </w:p>
        </w:tc>
      </w:tr>
      <w:tr>
        <w:trPr>
          <w:trHeight w:val="216"/>
        </w:trPr>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1-for-15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13,333,333</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8,997,086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4,336,247</w:t>
            </w:r>
          </w:p>
        </w:tc>
      </w:tr>
      <w:tr>
        <w:trPr>
          <w:trHeight w:val="216"/>
        </w:trPr>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1-for-20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10,000,000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6,747,814</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3,252,186</w:t>
            </w:r>
          </w:p>
        </w:tc>
      </w:tr>
      <w:tr>
        <w:trPr>
          <w:trHeight w:val="230"/>
        </w:trPr>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1-for-25</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8,000,000</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5,398,252</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2,601,748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As of the Record Date, March 27,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Change in Number and Exercise Price of Employee and Equity Awards</w:t>
      </w:r>
      <w:r>
        <w:rPr>
          <w:rFonts w:ascii="Arial" w:cs="Arial" w:eastAsia="Arial" w:hAnsi="Arial"/>
          <w:sz w:val="16"/>
          <w:szCs w:val="16"/>
          <w:color w:val="auto"/>
        </w:rPr>
        <w:t>. The Reverse Stock Split will reduce the number of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available for issuance under the 2017 Performance Incentive Plan (the “2017 Plan”) and equity award agreements issued under the 2017 Plan in proportion to the split ratio. Under the terms of our outstanding equity awards, the Reverse Stock Split will cause a reduction in the number of shares of common stock issuable upon exercise or vesting of such awards in proportion to the split ratio of the Reverse Stock Split and will cause a proportionate increase in the exercise price of such awards to the extent they are stock options. The number of shares of common stock issuable upon exercise or vesting of stock option awards will be rounded to the nearest whole share and no cash payment will be made in respect of such rounding.</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Effect on cash-settled and equity-settled RSUs and relevant performance metrics. </w:t>
      </w:r>
      <w:r>
        <w:rPr>
          <w:rFonts w:ascii="Arial" w:cs="Arial" w:eastAsia="Arial" w:hAnsi="Arial"/>
          <w:sz w:val="18"/>
          <w:szCs w:val="18"/>
          <w:color w:val="auto"/>
        </w:rPr>
        <w:t>The number of outstanding Restricted Stock Units (RSUs)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proportionately reduced and rounded down to the nearest whole unit. The remaining fractional unit will be converted to a cash obligation not subject to the terms of the Plan but administered according to the same vesting, performance and other terms contained in the corresponding Award agreement. As applicable, performance requirements assigned to RSU vesting that are based on share price metrics (including total shareholder return) will be increased in proportion to the split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Regulatory Effects</w:t>
      </w:r>
      <w:r>
        <w:rPr>
          <w:rFonts w:ascii="Arial" w:cs="Arial" w:eastAsia="Arial" w:hAnsi="Arial"/>
          <w:sz w:val="18"/>
          <w:szCs w:val="18"/>
          <w:color w:val="auto"/>
        </w:rPr>
        <w:t>. Our common stock is currently registered under Section 12(b) of the Exchange Act and we are subject to the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and other requirements of the Exchange Act. The Reverse Stock Split will not affect the registration of the common stock under the Exchange Act or our obligation to publicly file financial and other information with the Securities and Exchange Commission. If the Reverse Stock Split is implemented, we will remain subject to NYSE continued listing standards, including compliance with the minimum price per share requirements described above, in order to continue to trade on the NYSE.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the Reverse Stock Split will have the following effects upon our common stock:</w:t>
      </w:r>
    </w:p>
    <w:p>
      <w:pPr>
        <w:spacing w:after="0" w:line="225" w:lineRule="exact"/>
        <w:rPr>
          <w:sz w:val="20"/>
          <w:szCs w:val="20"/>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 share loss and net book value of our common stock will be increased because there will be a lesser number of shares of our common stock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authorized common stock and the par value of the common stock will remain $0.01 per share;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capital on our balance sheet attributable to the common stock will be decreased and the additional paid-in capital account will be credited with the amount by which the stated capital is decreased.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outstanding after the Reverse Stock Split will be fully paid and non-assessable. The amendment will not change any of the other terms of our common stock. The shares of common stock outstanding after the Reverse Stock Split will have the same voting rights and rights to dividends and distributions and will be identical in all other respects to the shares of common stock outstanding prior to the Reverse Stock Split.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number of authorized shares of our common stock will be reduced by the same proportion as the ratio of our Reverse Stock Split, the Reverse Stock Split will not result in an increase to the proportion of our authorized but unissued shares of common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Once we implement a Reverse Stock Split, all share certificates issued prior to the Reverse Stock Split will continue to be valid. In the future, new share certificates will be issued reflecting the Reverse Stock Split, but this in no way will affect the validity of your current share certificates. When implemented, the Reverse Stock Split will adjust the number of shares held by each shareholder without any further action on the part of our shareholders. After the effective date of the Reverse Stock Split, each book-entry share certificate issued prior to the Reverse Stock Split will be re-issued by our transfer agent, American Stock Transfer &amp; Trust Company, LLC (AST), to account for the Reverse Stock Split.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effective date of the Reverse Stock Split, each physical share certificate issued prior to the Reverse Stock Split will be deemed to represent the number of shares shown on the certificate, divided by the split ratio. Physical share certificates will be re-issued in book-entry form in due course as such certificates are tendered for exchange or transfer to our transfer agent in accordance with instructions in a transmittal letter that will be provided to shareholders of record.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7"/>
          <w:szCs w:val="17"/>
          <w:color w:val="auto"/>
        </w:rPr>
        <w:t>As applicable, if a share certificate issued prior to the Reverse Stock Split bears a restrictive legend, the replacement share certificate that will be issued following the Reverse Stock Split will contain the same restrictive legend. Also, if applicable, for purposes of determining the term of the restrictive period applicable to shares after the Reverse Stock Split for purposes of Rule 144 of the Securities Act of 1933, as amended, the time period during which a shareholder has held their existing pre-Reverse Stock Split shares will be included in the total holding period.</w:t>
      </w:r>
    </w:p>
    <w:p>
      <w:pPr>
        <w:spacing w:after="0" w:line="16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request that shareholders do not send in any of their stock certificates at this time and follow the instructions on the transmittal letter that will be sent to record holders of physical certificates by our stock transfer agent, American Stock Transfer &amp; Trust Company, LLC (AST).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Implementing the Reverse Stock Split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Reverse Stock Split would become effective upon the filing of Articles of Amendment to our Articles of Incorporation with the Secretary of State of Florida. The exact date of the filing of the Articles of Amendment that will effectuate the Reverse Stock Split will be determined by our Board based on its evaluation as to when such action will be the most advantageous to us and our shareholders. In addition, our Board reserves the right, notwithstanding shareholder approval and without further action by the shareholders, to elect not to proceed with the Reverse Stock Split if, at any time prior to filing the amendment to our Articles, our Board, in its sole discretion, determines that it is no longer in our best interest and the best interests of our shareholders to proceed with the Reverse Stock Split.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filing of the Articles of Amendment, our common stock will have a new CUSIP number, which is a number used to identify our equity securities, and stock certificates with the prior CUSIP number will need to be exchanged for stock certificates with the new CUSIP number by following the procedures described below.</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soon as practicable after the Reverse Stock Split is implemented, our transfer agent will act as exchange agent for purposes of implementing the exchange of physical stock certificates for record holders (i.e., shareholders who hold their shares directly in their own name and not through a broker). Record holders of pre-Reverse Stock Split physical share certificates will be asked to surrender to the transfer agent certificates representing pre-Reverse Stock Split shares in exchange for a book-entry certificate representing post-Reverse Stock Split shares in accordance with the procedures to be set forth in a letter of transmittal for from our transfer agent. No new certificates will be issued to a shareholder until such shareholder has surrendered such shareholder’s outstanding physical share certificate(s) together with the properly completed and executed letter of transmittal to the exchange agent.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street name holders of pre-Reverse Stock Split shares (i.e., shareholders who hold their shares through a broker), your broker will make the appropriate adjustment to the number of shares held in your account following the effective date of the Reverse Stock Split.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SHAREHOLDERS SHOULD NOT DESTROY ANY STOCK CERTIFICATE(S) AND SHOULD NOT SUBMIT ANY CERTIFICATE(S) UNTIL THEY RECEIVE A TRANSMITTAL FORM FROM OUR TRANSFER AGENT.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service charges, brokerage commissions or transfer taxes will be payable by any shareholder, except that if any new stock certificates are to be issued in a name other than that in which the surrendered certificate(s) are registered it will be a condition of such issuance that (1) the person requesting such issuance pays all applicable transfer taxes resulting from the transfer (or prior to transfer of such certificate, if any) or establishes to our satisfaction that such taxes have been paid or are not payable, (2) the transfer complies with all applicable federal and state securities laws, and (3) the surrendered certificate is properly endorsed and otherwise in proper form for transfer.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fractional shares of common stock will be issued as a result of the Reverse Stock Split. Instead, shareholders who otherwise would be entitled to a fraction of a share of common stock will, in lieu of such fractional share, receive one whole share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par value per share of our common stock will remain unchanged at $0.01 per share after the Reverse Stock Split. As a result, on the effective date of the Reverse Stock Split, the stated capital on our consolidated balance sheet attributable to common stock will be reduced and the additional paid-in-capital account will be increased by the amount by which the stated capital is reduced. Per share net income or loss will be increased because there will be fewer shares of our common stock outstanding. We do not anticipate that any other accounting consequences, including changes to the amount of stock-based compensation expense to be recognized in any period, will arise as a result of the Reverse Stock Split.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shareholder is advised to consult their own tax advisor as the following discussion may be limited, modified or not apply based on your own particular situation.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summary of certain United States federal income tax consequences of the Reverse Stock Split is based on current law, including the Internal Revenue Code of 1986, as amended (the “Code”) and is for general information only. This summary addresses only shareholders who are United States Persons, as defined in Section 7701(a)(30) of the Code and who hold the pre-Reverse Stock Split shares and post-Reverse Stock Split shares as capital assets. This summary does not purport to be complete and does not address shareholders subject to special rules, such as financial institutions, tax-exempt organizations, insurance companies, dealers in securities, mutual funds, non-U.S. shareholders, shareholders who hold the pre-Reverse Stock Split shares as part of a straddle, hedge, or conversion transaction, shareholders who hold the pre-Reverse Stock Split shares as qualified small business stock within the meaning of Section 1202 of the Code, shareholders who hold the pre-Reverse Stock split shares as Section 1244 stock within the meaning of Section 1244 of the Code, shareholders who are subject to the alternative minimum tax provisions of the Code, and shareholders who acquired their pre-Reverse Stock Split shares pursuant to the exercise of employee stock options or otherwise as compensation. This summary does not address tax considerations under state, local and/or non-U.S. income tax and other laws. If a partnership holds pre-Reverse Stock Split shares, the tax treatment of a partner in such partnership will generally depend upon the status of the partner and the activities of such partnership. Furthermore, we have not obtained a ruling from the Internal Revenue Service or an opinion of legal or tax counsel with respect to the consequences of the Reverse Stock Split and do not intend to do so. This summary is not binding upon the Internal Revenue Service or the courts, and there can be no assurance that the Internal Revenue Service or the courts will accept the positions expressed herein.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Reverse Stock Split is intended to constitute a reorganization within the meaning of Section 368 of the Code. Assuming the Reverse Stock Split qualifies as a reorganization for federal income tax purposes, we will not recognize taxable income, gain or loss as a result of the transaction.</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Assuming the Reverse Stock Split qualifies as a reorganization for federal income tax purposes, a shareholder generally will not recognize income, gain or loss on the Reverse Stock Split, except possibly to the extent of the value of the shares received solely as a result of the stock “round up” (see below). The aggregate tax basis of the post-Reverse Stock Split shares received by a shareholder will be equal to the aggregate tax basis of its pre-Reverse Stock Split shares plus the value of the shares received solely as a result of the stock “round up”. The holding period of the post-Reverse Stock Split shares received by a shareholder will include the holding period of the pre-Reverse Stock Split shares exchanged by such shareholder as part of this transaction for all shares received other than any received as a result of the “round-up.” The shares received as a result of the “round-up” may have a new holding period starting on the date of the Reverse Stock Split.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income tax consequences of the stock “round up” are unclear, and a holder of the pre-Reverse Stock Split shares may recognize income or gain to the extent of the value of the shares received solely as a result of the stock “round up.”</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PLEASE CONSULT YOUR OWN TAX ADVISOR REGARDING THE U.S. FEDERAL, STATE, LOCAL, AND FOREIGN INCOME AND OTHER TAX CONSEQUENCES OF THE REVERSE STOCK SPLIT AND THE RECEIPT OF ANY “ROUND UP” SHARES IN YOUR PARTICULAR CIRCUMSTANCES UNDER THE INTERNAL REVENUE CODE AND THE LAWS OF ANY OTHER TAXING JURISDICTION.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have no rights under the Florida Business Corporation Act or under our charter documents to exercise dissenters’ rights of appraisal with respect to the Reverse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Expected Anti-Takeover Effects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Reverse Stock Split will not result in Ocwen having additional authorized and unissued shares, we do not expect the Reverse Stock Split to have any impact on the ability of the Company to engage in a merger, business combination or other transformative transaction, nor do we expect it to impact the ability of any party to assume control of us through a hostile-takeover, tender offer or proxy contest. Additionally, the Reverse Stock Split is not intended to effect a going private transaction.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Neither our Articles of Incorporation nor our Bylaws presently contain any provisions having anti-takeover effects, with the exception of our Board’s ability to issue preferred stock, at any time and from time to time, with such voting powers, designations, preferences and relative, participating, optional or other special rights, qualification, limitations or restrictions as adopted by our Board. The Reverse Stock Split Proposal is not a plan by our Board to adopt a series of amendments to our Articles or Bylaws to institute an anti-takeover provision. We do not have any plans or proposals to adopt other provisions or enter into other arrangements that may have material anti-takeover consequences.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Rather, as discussed above, the reason for the Reverse Stock Split is to increase the ability of institutions to purchase our common stock and the interest in our common stock by analysts and brokers as well as help us comply with NYSE continued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this Proposal Four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officers and directors have an interest in Proposal Four as a result of their ownership of shares of our common stock. However, the Reverse Stock Split will affect all of our common shareholders uniformly and will not affect any common shareholder’s percentage ownership interests in us, except to the extent that the Reverse Stock Split results in any of our shareholders owning a fractional share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Reverse Stock Split is Not Approved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that the Reverse Stock Split is not approved by shareholders, we intend to actively monitor the trading price of our common stock on the NYSE and will consider available options in order to comply with the NYSE listing rules. We believe that our ability to remain listed on the NYSE may be significantly and negatively affected if a Reverse Stock Split is not implemented. If we are unable to achieve an increase in our stock price and our common stock is subsequently delisted, we would experience significant negative impacts, including but not limited to, impairment of our ability to obtain debt or equity financing to support our operations, and our shareholders could experience significant negative impacts, including but not limited to, decreased trading volume and liquidity of our common stock. Therefore, if the members of the Board believe, due to changing circumstances or otherwise, that it is in the best interests of the Company and its shareholders, and therefore required by the Board’s fulfillment of its fiduciary duties, to act to prevent delisting of the Company, the Board reserves discretion to implement the Reverse Stock Split.</w:t>
      </w:r>
    </w:p>
    <w:p>
      <w:pPr>
        <w:spacing w:after="0" w:line="17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APPROVAL OF AN AMENDMENT TO OUR ARTICLES OF INCORPORATION TO IMPLEMENT A REVERSE STOCK SPLIT AS DISCLOSED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APPROVAL OF THE ADJOURNMENT OF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Five)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at the Annual Meeting, the number of shares of common stock present in person or represented by proxy and voting in favor of Proposal Four to approve the Reverse Stock Split is insufficient to approve such proposal, the Company believes it is advisable that the Company should be authorized to move to adjourn the Annual Meeting in order to enable the Board of Directors to solicit additional proxies for the approval of Proposal Four. If we determine that this is necessary, we will ask our shareholders to vote only on Proposals One, Two, Three and Five and not on Proposal Four. We do not intend to call a vote on this Proposal Five if Proposal Four is approved by the requisite number of shares of our common stock at the Annual Meeting.</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shareholders approve this Proposal Five to adjourn the Annual Meeting, we could adjourn the Annual Meeting and use the additional time to solicit additional proxies, including the solicitation of proxies from shareholders that have previously voted. Among other things, approval of this Proposal Five could mean that, even if we had received proxies representing a sufficient number of votes “AGAINST” Proposal Four to defeat such proposal, we could adjourn the Annual Meeting without a vote on the Reverse Stock Split and seek to convince the holders of those shares to change their votes to votes in favor of Proposal Four.</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AUTHORITY OF THE COMPANY TO ADJOURN THE ANNUAL MEETING, IF NECESSARY OR APPROPRIATE, TO SOLICIT ADDITIONAL PROXIES IN THE EVENT THAT THERE ARE NOT SUFFICIENT VOTES AT THE TIME OF THE ANNUAL MEETING TO APPROVE PROPOSAL FOUR.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Arial" w:cs="Arial" w:eastAsia="Arial" w:hAnsi="Arial"/>
          <w:sz w:val="17"/>
          <w:szCs w:val="17"/>
          <w:u w:val="single" w:color="auto"/>
          <w:color w:val="auto"/>
        </w:rPr>
        <w:t>www.ocwen.com</w:t>
      </w:r>
      <w:r>
        <w:rPr>
          <w:rFonts w:ascii="Arial" w:cs="Arial" w:eastAsia="Arial" w:hAnsi="Arial"/>
          <w:sz w:val="17"/>
          <w:szCs w:val="17"/>
          <w:color w:val="auto"/>
        </w:rPr>
        <w:t>, also includes policies and procedures that broadly cover situations in which conflicts of interest may arise.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and Compliance Committee (the “Committee”) of the Board of Directors provides independent review, approval and oversight of Related Party Transactions as required under the Policy.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information contained in filings under the Exchange Act, we understand that Deer Park Road Management Company, LP, an Ocwen shareholder reporting beneficial ownership of over 5% of our common stock, also reports beneficial ownership of 19.8% of the common stock of Altisource Portfolio Solutions, S.A. (“Altisource”) as of December 31, 2019.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relationship with Altisource is governed by a series of agreements that set forth the terms on which we do business with Altisource. The key agreements are summarized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6"/>
          <w:szCs w:val="16"/>
          <w:color w:val="auto"/>
        </w:rPr>
        <w:t>Ocwen Financial Corporation is a party to a number of long-term agreements with Altisource S.à r.l., and certain other subsidiaries of Altisource, including a Services Agreement, under which Altisource provides various services, such as property valuation services, property preservation and inspection services and title services, among other things. This agreement expires August 31, 2025 and includes renewal provisions. Ocwen and Altisource have also entered into a Master Services Agreement pursuant to which Altisource currently provides title services to Ocwen’s subsidiary PHH Mortgage Corporation doing business as Liberty Reverse Mortgage. Ocwen also has a General Referral Fee Agreement with Altisource pursuant to which Ocwen receives referral fees which are paid out of the commission that would otherwise be paid to Altisource as the selling broker in connection with certain real estate sales services provided by Altisource. In February 2019, Ocwen and Altisource S.à r.l (a subsidiary of Altisource) signed a Binding Term Sheet, which among other things, confirmed Altisource’s cooperation with the deboarding of loans from Altisource’s REALServicing servicing system to Black Knight MSP. The Binding Term Sheet also amends certain provisions in the Services Agreement. After certain conditions have been met and where Ocwen has the right to select the services provider, Ocwen agreed to use Altisource to provide the types of services that Altisource currently provides under the Services Agreement for at least 90% of services for all portfolios for which Ocwen is the servicer or subservicer, except that Altisource will be the provider for all such services for the portfolios: (i) acquired by Ocwen pursuant to loan servicing under agreements from Homeward Residential, Inc. (acquired in 2012) or assigned and assumed by Ocwen from Residential Capital, LLC, et al (assets acquired in 2013); and (ii) acquired from Ocwen, excluding certain portfolios in which PHH has an interest, by New Residential Investment Corp. or its affiliates prior to the date of the Binding Term Sheet.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Binding Term Sheet also sets forth a framework for negotiating additional service level changes under the Services Agreement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service referrals received by Altisource after the effective date of the Binding Term Sheet, the provisions include reciprocal indemnification obligations in the event of negligence by either party, and Altisource’s indemnification of Ocwen in the event of breach by Altisource of its obligations under the Services Agreement. The limitations of liability provisions include an exception for losses either party suffers as a result of third-party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paid expenses of $18.3 million to Altisource under our agreements with Altisource.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SUBMISSION OF SHAREHOLDER PROPOSALS FOR 2021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2021 Annual Meeting of Shareholders, must be received by the Secretary of Ocwen at our principal executive offices no later than December 28, 2020 and must comply with the procedures prescribed in Rule 14a-8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2020 Annual Meeting, we must receive written notice of the proposal or nomination no earlier than December 28, 2020 and no later than January 27, 2021,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2021 proxy materials and notices of intent to present a proposal or nomination directly at the 2021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 copy of our annual report on Form 10-K for the year ended December 31, 2019 was mailed on or about April 27, 2020 to shareholders of record as of March 27, 2020.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2019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this proxy statement and our annual report on Form 10-K for the year ended December 31, 2019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2020, (iii) “for” the approval, on an advisory basis, of the compensation of our named executive officers as disclosed in this proxy statement, (iv) “for” the approval, on an advisory basis, of an amendment to our Articles of Incorporation to implement a reverse stock split of our issued and outstanding common stock and reduce the number of authorized shares of our common stock by the same proportion as the ratio of our reverse stock split, and (v) “for” the approval to authorize an adjournment of the Annual Meeting to solicit additional proxies for Proposal Four.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2020 Annual Meeting. If you are interested in participating in the virtual Annual Meeting and voting at that time, please see “Annual Meeting Participation” above for further details on participation requirements.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and our 2019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Assumes a Reverse Stock Split ratio of 1-for-10 for illustrative purposes only. If approved and implemented, the actual Reverse Stock Split ratio will be between, and including, one-for-five and one-for-25.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OCWEN FINANCIAL CORPORATION</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Ocwen Financial Corporation, a Florida corporation (the “Corporation”), acting pursuant to the provisions of Sections 607.1006 and 607.10025 of the Florida Business Corporation Act, does hereby adopt the following Articles of Amendment to its Amended and Restated Articles of Incorporation: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The name of the Corporation is: Ocwen Financial Corporation.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 These Articles of Amendment have been adopted and approved in connection with a share division pursuant to Section 607.10025 of the Florida Business Corporation Act. The resolutions approving the division of shares were adopted and approved by the Board of Directors of the Corporation on [ ], without shareholder action. Shareholder action was not required pursuant to Section 607.10025(2) of the Florida Business Corporation Act.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The amendment to the Amended and Restated Articles of Incorporation set forth below does not adversely affect the rights or preferences of the holders of outstanding shares of the Corporation’s common stock, and the percentage of authorized shares of the Corporation’s common stock remaining unissued after the division will not exceed the percentage of authorized shares of the Corporation’s common stock that were unissued before the division.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 Paragraph one (1) of Article III of the Amended and Restated Articles of Incorporation shall be deleted in its entirety and replaced with the following: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total number of shares of stock of all classes and series the Company shall have authority to issue is [40,000,000] shares consisting of (i) [20,000,000] shares of common stock, par value of $0.01 per share and (ii) 20,000,000 shares of preferred stock, par value $0.001 with such rights, preferences and limitations as may be set from time to time by resolution of the board of directors and the filing of Articles of Amendment as required by the Florida Business Corporation Act. Upon the filing and effectiveness (the “Effective Time”) pursuant to the Florida Business Corporation Act of these Articles of Amendment to the Articles of Incorporation of the Corporation, each [ten (10)] shares of Common Stock either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Shareholders who otherwise would be entitled to receive fractional shares of Common Stock shall be entitled to receive shares rounded up to the nearest whole share. Each certificate that immediately prior to the Effective Time represented shares of Common Stock (“Old Certificates”), shall from and after the Effective Time, automatically and without the necessity of presenting the same for exchange, represent that number of shares of Common Stock into which the shares of Common Stock represented by the Old Certificate shall have been combined, subject to the elimination of fractional share interests as described above.”</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FIFTH: That these Articles of Amendment shall become effective at [time] eastern time on [date], in accordance with the applicable provisions of the Florida Statutes.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IN WITNESS WHEREOF, the undersigned duly authorized officer of the Corporation has executed these Articles of Amendment as of this _____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 20__.</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15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lvl>
    <w:lvl w:ilvl="1">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1)"/>
      <w:numFmt w:val="decimal"/>
      <w:start w:val="1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6"/>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5"/>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Roman"/>
      <w:start w:val="3"/>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2020-04-27T15:49:48Z</dcterms:created>
  <dcterms:modified xsi:type="dcterms:W3CDTF">2020-04-27T15:49:48Z</dcterms:modified>
</cp:coreProperties>
</file>