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Securities Exchange Act of 1934</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340" w:hanging="4"/>
        <w:spacing w:after="0" w:line="250" w:lineRule="auto"/>
        <w:tabs>
          <w:tab w:leader="none" w:pos="1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11"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sz w:val="24"/>
          <w:szCs w:val="24"/>
          <w:color w:val="auto"/>
        </w:rPr>
      </w:pPr>
    </w:p>
    <w:p>
      <w:pPr>
        <w:ind w:left="820" w:hanging="353"/>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820" w:right="20" w:hanging="353"/>
        <w:spacing w:after="0" w:line="290" w:lineRule="auto"/>
        <w:tabs>
          <w:tab w:leader="none" w:pos="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68" w:right="2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3390900</wp:posOffset>
            </wp:positionH>
            <wp:positionV relativeFrom="page">
              <wp:posOffset>337820</wp:posOffset>
            </wp:positionV>
            <wp:extent cx="780415" cy="831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80415" cy="8318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offices of the Company located at 2002 Summit Boulevard,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Atlanta, Georgia 30319, on Wednesday, May 8, 2013, at 9:00 a.m., Eastern Daylight Time. The matters to be considered by shareholders at the Annual Meeting are described in detail in the accompanying materials.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91820"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18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OCWEN FINANCIAL CORPORATION</w:t>
      </w:r>
    </w:p>
    <w:p>
      <w:pPr>
        <w:ind w:left="4400"/>
        <w:spacing w:after="0" w:line="198" w:lineRule="auto"/>
        <w:rPr>
          <w:sz w:val="20"/>
          <w:szCs w:val="20"/>
          <w:color w:val="auto"/>
        </w:rPr>
      </w:pPr>
      <w:r>
        <w:rPr>
          <w:rFonts w:ascii="Arial" w:cs="Arial" w:eastAsia="Arial" w:hAnsi="Arial"/>
          <w:sz w:val="18"/>
          <w:szCs w:val="18"/>
          <w:b w:val="1"/>
          <w:bCs w:val="1"/>
          <w:color w:val="auto"/>
        </w:rPr>
        <w:t>2002 Summit Boulevard, 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Atlanta, Georgia 30319</w:t>
      </w:r>
    </w:p>
    <w:p>
      <w:pPr>
        <w:spacing w:after="0" w:line="205" w:lineRule="exact"/>
        <w:rPr>
          <w:sz w:val="20"/>
          <w:szCs w:val="20"/>
          <w:color w:val="auto"/>
        </w:rPr>
      </w:pPr>
    </w:p>
    <w:p>
      <w:pPr>
        <w:jc w:val="center"/>
        <w:ind w:left="280" w:right="224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8,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2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8, 2013</w:t>
      </w:r>
    </w:p>
    <w:p>
      <w:pPr>
        <w:spacing w:after="0" w:line="26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27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Ocwen Financial Corporation</w:t>
      </w:r>
    </w:p>
    <w:p>
      <w:pPr>
        <w:ind w:left="1300"/>
        <w:spacing w:after="0" w:line="198" w:lineRule="auto"/>
        <w:rPr>
          <w:sz w:val="20"/>
          <w:szCs w:val="20"/>
          <w:color w:val="auto"/>
        </w:rPr>
      </w:pPr>
      <w:r>
        <w:rPr>
          <w:rFonts w:ascii="Arial" w:cs="Arial" w:eastAsia="Arial" w:hAnsi="Arial"/>
          <w:sz w:val="18"/>
          <w:szCs w:val="18"/>
          <w:color w:val="auto"/>
        </w:rPr>
        <w:t>2002 Summit Boulevard,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Atlanta, Georgia 30319</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(7) Directors for one (1) year terms or until their successors are elected and qualified;</w:t>
      </w:r>
    </w:p>
    <w:p>
      <w:pPr>
        <w:spacing w:after="0" w:line="9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our Board of Directors of Deloitte &amp; Touche LLP as the independent registered public accounting firm of Ocwen Financial Corporation for the fiscal year ending December 31, 2013;</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w:t>
      </w:r>
      <w:r>
        <w:rPr>
          <w:rFonts w:ascii="Arial" w:cs="Arial" w:eastAsia="Arial" w:hAnsi="Arial"/>
          <w:sz w:val="18"/>
          <w:szCs w:val="18"/>
          <w:i w:val="1"/>
          <w:iCs w:val="1"/>
          <w:color w:val="auto"/>
        </w:rPr>
        <w:t>Say-on-Pay</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 Management is not aware of any such other business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4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21, 2013 as the record date for the determination of shareholders entitled to notice of and to vote at the Annual Meeting.</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 cy="8890"/>
                    </a:xfrm>
                    <a:prstGeom prst="rect">
                      <a:avLst/>
                    </a:prstGeom>
                    <a:noFill/>
                  </pic:spPr>
                </pic:pic>
              </a:graphicData>
            </a:graphic>
          </wp:anchor>
        </w:drawing>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proxy statement for our 2013 Annual Meeting of Shareholders and our annual report to shareholders on Form 10-K for the year ended December 31, 2012 will be available on or about April 3, 2013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The approximate date on which this proxy statement, the proxy card and other accompanying materials are first being sent or given to stockholders is on or about April 3, 2013. Additionally, and in accordance with Securities and Exchange Commission rules, you may access our annual report and proxy materials at </w:t>
      </w:r>
      <w:r>
        <w:rPr>
          <w:rFonts w:ascii="Arial" w:cs="Arial" w:eastAsia="Arial" w:hAnsi="Arial"/>
          <w:sz w:val="18"/>
          <w:szCs w:val="18"/>
          <w:u w:val="single" w:color="auto"/>
          <w:color w:val="auto"/>
        </w:rPr>
        <w:t>http://shareholders.ocwen.com/sec.cfm</w:t>
      </w:r>
      <w:r>
        <w:rPr>
          <w:rFonts w:ascii="Arial" w:cs="Arial" w:eastAsia="Arial" w:hAnsi="Arial"/>
          <w:sz w:val="18"/>
          <w:szCs w:val="18"/>
          <w:color w:val="auto"/>
        </w:rPr>
        <w:t>, a website that does not identify or track visitors of the 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37945"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Paul A. Koches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3,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holder of common stock of Ocwen Financial Corporation (“Ocwen”), you have been sent this proxy statement on or about April 3, 2013 because our Board of Directors is soliciting your proxy to be used at our Annual Meeting of Shareholders (the “Annual Meeting”) and at any adjournment of this meeting.</w:t>
      </w:r>
    </w:p>
    <w:p>
      <w:pPr>
        <w:ind w:right="80"/>
        <w:spacing w:after="0" w:line="217" w:lineRule="auto"/>
        <w:rPr>
          <w:sz w:val="20"/>
          <w:szCs w:val="20"/>
          <w:color w:val="auto"/>
        </w:rPr>
      </w:pPr>
      <w:r>
        <w:rPr>
          <w:rFonts w:ascii="Arial" w:cs="Arial" w:eastAsia="Arial" w:hAnsi="Arial"/>
          <w:sz w:val="18"/>
          <w:szCs w:val="18"/>
          <w:color w:val="auto"/>
        </w:rPr>
        <w:t>The Annual Meeting will be held at our offices located at 2002 Summit Boulevard,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Atlanta, Georgia 30319, on Wednesday, May 8, 2013, at 9:00 a.m., Eastern Daylight Time for the purposes listed in the Notice of Annual Meeting of Shareholders. For directions to be able to attend the meeting and vote in person, please contact us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of Directors has appointed William C. Erbey, Executive Chairman of the Board, Ronald M. Faris, President and Chief Executive Officer, and Paul A. Koches, Executive Vice President, General Counsel and Secretary, as the management proxy holders for the Annual Meeting. If you properly complete, sign and return your proxy card to Ocwen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each of the nominees for Director;</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(Ratification of Appointment of Independent Registered Public Accounting Firm) – “FOR” ratification of the appointment of Deloitte &amp; Touche LLP as our independent registered public accounting firm for 2013;</w:t>
      </w:r>
    </w:p>
    <w:p>
      <w:pPr>
        <w:spacing w:after="0" w:line="35" w:lineRule="exact"/>
        <w:rPr>
          <w:rFonts w:ascii="Arial" w:cs="Arial" w:eastAsia="Arial" w:hAnsi="Arial"/>
          <w:sz w:val="18"/>
          <w:szCs w:val="18"/>
          <w:color w:val="auto"/>
        </w:rPr>
      </w:pPr>
    </w:p>
    <w:p>
      <w:pPr>
        <w:ind w:left="660" w:right="100" w:hanging="328"/>
        <w:spacing w:after="0" w:line="33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 (“</w:t>
      </w:r>
      <w:r>
        <w:rPr>
          <w:rFonts w:ascii="Arial" w:cs="Arial" w:eastAsia="Arial" w:hAnsi="Arial"/>
          <w:sz w:val="16"/>
          <w:szCs w:val="16"/>
          <w:i w:val="1"/>
          <w:iCs w:val="1"/>
          <w:color w:val="auto"/>
        </w:rPr>
        <w:t>Say-on-Pay</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regard to any other business that properly comes before the meeting in accordance with the best judgment of the management proxy 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Your proxy may be used only at the Annual Meeting and any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90" w:lineRule="exact"/>
        <w:rPr>
          <w:rFonts w:ascii="Arial" w:cs="Arial" w:eastAsia="Arial" w:hAnsi="Arial"/>
          <w:sz w:val="18"/>
          <w:szCs w:val="18"/>
          <w:color w:val="auto"/>
        </w:rPr>
      </w:pPr>
    </w:p>
    <w:p>
      <w:pPr>
        <w:ind w:left="660" w:right="8220"/>
        <w:spacing w:after="0" w:line="302" w:lineRule="auto"/>
        <w:rPr>
          <w:rFonts w:ascii="Arial" w:cs="Arial" w:eastAsia="Arial" w:hAnsi="Arial"/>
          <w:sz w:val="18"/>
          <w:szCs w:val="18"/>
          <w:color w:val="auto"/>
        </w:rPr>
      </w:pPr>
      <w:r>
        <w:rPr>
          <w:rFonts w:ascii="Arial" w:cs="Arial" w:eastAsia="Arial" w:hAnsi="Arial"/>
          <w:sz w:val="16"/>
          <w:szCs w:val="16"/>
          <w:color w:val="auto"/>
        </w:rPr>
        <w:t>Paul A. Koches, Secretary Ocwen Financial Corporation 1661 Worthington Road, Suite 100 West Palm Beach, Florida 33409</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You are entitled to vote at the Annual Meeting or any adjournment of this meeting if you are a holder of record of our common stock or our Series A Perpetual Convertible Preferred Stock (“preferred stock”) at the close of business on March 21, 2013. At the close of business on March 21, 2013, there were 135,644,158 shares of common stock issued and outstanding and 162,000 shares of preferred stock issued and outstanding. On all matters properly presented at the Annual Meeting, (i) each share of our common stock is entitled to one (1) vote and (ii) each share of our preferred stock is entitled to one (1) vote for each share of common stock issuable upon conversion of the preferred stock as of the record date. The holders of common stock and preferred stock will vote together as a single class on the matters to be considered at the Annual Meeting, and their votes will be counted together.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shareholders are cordially invited to attend the 2013 Annual Meeting. If you do not expect to be present at the Annual Meeting, you are requested to fill in, date and sign the enclosed proxy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In the event you decide to attend the Annual Meeting in person, you may, if you desire, revoke your proxy and vote your shares in person in accordance with the procedures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you are a beneficial owner of shares, your broker will ask you how you want your shares to be voted. If you give the broker instructions, the broker will vote your shares as you direct. If your broker does not receive instructions from you about how your shares are to be voted, one of two things can happen depending on the type of proposal. If the proposal involves a “routine” matter, then the rules of the New York Stock Exchange provide brokers discretionary power to vote your shares. If, however, the proposal involves a “non-routine” matter, then brokers are not permitted to vote your shares without instruction from you. “Non-routine” matters include, for example, proposals to elect directors or vote on executive compensation proposals. It is therefore important that you provide instructions to your broker if your shares are held by a broker so that your votes with respect to election of directors, executive compensation and any other “non-routine” matters are counted.</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the shares you own are held in “street name” by a bank or brokerage firm, you are considered the beneficial owner of the shares, and your bank or brokerage firm, as the record holder of your shares, is required to vote your shares according to your instructions. To vote your shares, you will need to follow the procedures your bank or brokerage firm provides you. Many banks and brokerage firms offer the option of voting over the internet or by telephone. Please contact your bank or brokerage firm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and preferred stock entitled to be cast, represented in person or by proxy, will constitute a quorum for the transaction of business at the Annual Meeting.</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Assuming a quorum, the seven (7) nominees for Director receiving a plurality of the votes cast for Director will be elected as Directors of Ocwen. You may vote in favor of or withhold authority to vote for one (1) or more nominees for Director. The proposal to ratify the appointment of Deloitte &amp; Touche LLP as our independent registered public accounting firm for 2013 and any other matter properly submitted for your consideration at the Annual Meeting will be approved if the votes cast in favor of the action exceed the votes cast opposing the action. Because Proposal Three to approve the Say-on-Pay is advisory in nature, there is no specific requirement for approval for this proposal. It will be up to the Compensation Committee and the Board of Directors to determine whether and how to implement the votes on executive compensation.</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Abstentions will not be counted in determining the votes cast in connection with the foregoing matters. If any broker “non-votes” occur at the meeting with respect to your shares, the broker “non-votes” will count for purposes of determining whether a quorum is present but will not have an effect on any proposals presented for your vote. A broker “non-vote” occurs when a shareholder has not provided voting instructions to the broker on a non-routine item. In such cases, the New York Stock Exchange precludes brokers from giving a proxy to vote on non-routine items.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Bylaws provide that our Board of Directors shall consist of no less than three (3) and no more than eight (8) members with the exact number to be fixed by our Board of Directors. On March 11, 2013, our Board of Directors fixed the number of Directors at seven (7) to be effective immediately. Directors are elected annually and hold office until the earlier of the election and qualification of their successors or their resignation and removal.</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propose the seven (7) nominees listed below for election as Directors at the Annual Meeting. All nominees currently serve as our Directors. There are no arrangements or understandings between any nominee and any other person for selection as a nominee.</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will nominate and vote for a replacement nominee recommended by our Board of Directors. At this time, our Board of Directors knows of no reason why any of the nominees would not be able or willing to serve as Director if elected.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780" w:type="dxa"/>
            <w:vAlign w:val="bottom"/>
            <w:tcBorders>
              <w:top w:val="single" w:sz="8" w:color="auto"/>
              <w:left w:val="single" w:sz="8" w:color="auto"/>
              <w:right w:val="single" w:sz="8" w:color="auto"/>
            </w:tcBorders>
            <w:shd w:val="clear" w:color="auto" w:fill="F3F3F3"/>
          </w:tcPr>
          <w:p>
            <w:pPr>
              <w:spacing w:after="0"/>
              <w:rPr>
                <w:sz w:val="13"/>
                <w:szCs w:val="13"/>
                <w:color w:val="auto"/>
              </w:rPr>
            </w:pPr>
          </w:p>
        </w:tc>
        <w:tc>
          <w:tcPr>
            <w:tcW w:w="700" w:type="dxa"/>
            <w:vAlign w:val="bottom"/>
            <w:tcBorders>
              <w:top w:val="single" w:sz="8" w:color="auto"/>
              <w:right w:val="single" w:sz="8" w:color="auto"/>
            </w:tcBorders>
            <w:shd w:val="clear" w:color="auto" w:fill="F3F3F3"/>
          </w:tcPr>
          <w:p>
            <w:pPr>
              <w:spacing w:after="0"/>
              <w:rPr>
                <w:sz w:val="13"/>
                <w:szCs w:val="13"/>
                <w:color w:val="auto"/>
              </w:rPr>
            </w:pPr>
          </w:p>
        </w:tc>
        <w:tc>
          <w:tcPr>
            <w:tcW w:w="112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38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36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4"/>
                <w:szCs w:val="14"/>
                <w:b w:val="1"/>
                <w:bCs w:val="1"/>
                <w:color w:val="auto"/>
              </w:rPr>
              <w:t>Audit</w:t>
            </w:r>
          </w:p>
        </w:tc>
        <w:tc>
          <w:tcPr>
            <w:tcW w:w="136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360" w:type="dxa"/>
            <w:vAlign w:val="bottom"/>
            <w:tcBorders>
              <w:top w:val="single" w:sz="8" w:color="auto"/>
              <w:right w:val="single" w:sz="8" w:color="auto"/>
            </w:tcBorders>
            <w:shd w:val="clear" w:color="auto" w:fill="F3F3F3"/>
          </w:tcPr>
          <w:p>
            <w:pPr>
              <w:jc w:val="center"/>
              <w:spacing w:after="0" w:line="153" w:lineRule="exact"/>
              <w:rPr>
                <w:sz w:val="20"/>
                <w:szCs w:val="20"/>
                <w:color w:val="auto"/>
              </w:rPr>
            </w:pPr>
            <w:r>
              <w:rPr>
                <w:rFonts w:ascii="Arial" w:cs="Arial" w:eastAsia="Arial" w:hAnsi="Arial"/>
                <w:sz w:val="14"/>
                <w:szCs w:val="14"/>
                <w:b w:val="1"/>
                <w:bCs w:val="1"/>
                <w:color w:val="auto"/>
                <w:w w:val="96"/>
              </w:rPr>
              <w:t>Nomination/</w:t>
            </w:r>
          </w:p>
        </w:tc>
        <w:tc>
          <w:tcPr>
            <w:tcW w:w="136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4"/>
                <w:szCs w:val="14"/>
                <w:b w:val="1"/>
                <w:bCs w:val="1"/>
                <w:color w:val="auto"/>
                <w:w w:val="93"/>
              </w:rPr>
              <w:t>Compliance</w:t>
            </w: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right w:val="single" w:sz="8" w:color="auto"/>
            </w:tcBorders>
            <w:vMerge w:val="restart"/>
            <w:shd w:val="clear" w:color="auto" w:fill="F3F3F3"/>
          </w:tcPr>
          <w:p>
            <w:pPr>
              <w:ind w:left="14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right w:val="single" w:sz="8" w:color="auto"/>
            </w:tcBorders>
            <w:vMerge w:val="restart"/>
            <w:shd w:val="clear" w:color="auto" w:fill="F3F3F3"/>
          </w:tcPr>
          <w:p>
            <w:pPr>
              <w:jc w:val="right"/>
              <w:ind w:right="32"/>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23"/>
                <w:szCs w:val="23"/>
                <w:b w:val="1"/>
                <w:bCs w:val="1"/>
                <w:color w:val="auto"/>
                <w:vertAlign w:val="superscript"/>
              </w:rPr>
              <w:t>(1)</w:t>
            </w:r>
          </w:p>
        </w:tc>
        <w:tc>
          <w:tcPr>
            <w:tcW w:w="1120" w:type="dxa"/>
            <w:vAlign w:val="bottom"/>
            <w:tcBorders>
              <w:right w:val="single" w:sz="8" w:color="auto"/>
            </w:tcBorders>
            <w:vMerge w:val="continue"/>
            <w:shd w:val="clear" w:color="auto" w:fill="F3F3F3"/>
          </w:tcPr>
          <w:p>
            <w:pPr>
              <w:spacing w:after="0"/>
              <w:rPr>
                <w:sz w:val="12"/>
                <w:szCs w:val="12"/>
                <w:color w:val="auto"/>
              </w:rPr>
            </w:pPr>
          </w:p>
        </w:tc>
        <w:tc>
          <w:tcPr>
            <w:tcW w:w="1380" w:type="dxa"/>
            <w:vAlign w:val="bottom"/>
            <w:tcBorders>
              <w:right w:val="single" w:sz="8" w:color="auto"/>
            </w:tcBorders>
            <w:vMerge w:val="continue"/>
            <w:shd w:val="clear" w:color="auto" w:fill="F3F3F3"/>
          </w:tcPr>
          <w:p>
            <w:pPr>
              <w:spacing w:after="0"/>
              <w:rPr>
                <w:sz w:val="12"/>
                <w:szCs w:val="12"/>
                <w:color w:val="auto"/>
              </w:rPr>
            </w:pPr>
          </w:p>
        </w:tc>
        <w:tc>
          <w:tcPr>
            <w:tcW w:w="1360" w:type="dxa"/>
            <w:vAlign w:val="bottom"/>
            <w:tcBorders>
              <w:right w:val="single" w:sz="8" w:color="auto"/>
            </w:tcBorders>
            <w:vMerge w:val="continue"/>
            <w:shd w:val="clear" w:color="auto" w:fill="F3F3F3"/>
          </w:tcPr>
          <w:p>
            <w:pPr>
              <w:spacing w:after="0"/>
              <w:rPr>
                <w:sz w:val="12"/>
                <w:szCs w:val="12"/>
                <w:color w:val="auto"/>
              </w:rPr>
            </w:pPr>
          </w:p>
        </w:tc>
        <w:tc>
          <w:tcPr>
            <w:tcW w:w="1360" w:type="dxa"/>
            <w:vAlign w:val="bottom"/>
            <w:tcBorders>
              <w:right w:val="single" w:sz="8" w:color="auto"/>
            </w:tcBorders>
            <w:vMerge w:val="continue"/>
            <w:shd w:val="clear" w:color="auto" w:fill="F3F3F3"/>
          </w:tcPr>
          <w:p>
            <w:pPr>
              <w:spacing w:after="0"/>
              <w:rPr>
                <w:sz w:val="12"/>
                <w:szCs w:val="12"/>
                <w:color w:val="auto"/>
              </w:rPr>
            </w:pPr>
          </w:p>
        </w:tc>
        <w:tc>
          <w:tcPr>
            <w:tcW w:w="1360" w:type="dxa"/>
            <w:vAlign w:val="bottom"/>
            <w:tcBorders>
              <w:right w:val="single" w:sz="8" w:color="auto"/>
            </w:tcBorders>
            <w:shd w:val="clear" w:color="auto" w:fill="F3F3F3"/>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360" w:type="dxa"/>
            <w:vAlign w:val="bottom"/>
            <w:tcBorders>
              <w:right w:val="single" w:sz="8" w:color="auto"/>
            </w:tcBorders>
            <w:vMerge w:val="continue"/>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80" w:type="dxa"/>
            <w:vAlign w:val="bottom"/>
            <w:tcBorders>
              <w:left w:val="single" w:sz="8" w:color="auto"/>
              <w:bottom w:val="single" w:sz="8" w:color="auto"/>
              <w:right w:val="single" w:sz="8" w:color="auto"/>
            </w:tcBorders>
            <w:vMerge w:val="continue"/>
            <w:shd w:val="clear" w:color="auto" w:fill="F3F3F3"/>
          </w:tcPr>
          <w:p>
            <w:pPr>
              <w:spacing w:after="0"/>
              <w:rPr>
                <w:sz w:val="15"/>
                <w:szCs w:val="15"/>
                <w:color w:val="auto"/>
              </w:rPr>
            </w:pPr>
          </w:p>
        </w:tc>
        <w:tc>
          <w:tcPr>
            <w:tcW w:w="700" w:type="dxa"/>
            <w:vAlign w:val="bottom"/>
            <w:tcBorders>
              <w:bottom w:val="single" w:sz="8" w:color="auto"/>
              <w:right w:val="single" w:sz="8" w:color="auto"/>
            </w:tcBorders>
            <w:vMerge w:val="continue"/>
            <w:shd w:val="clear" w:color="auto" w:fill="F3F3F3"/>
          </w:tcPr>
          <w:p>
            <w:pPr>
              <w:spacing w:after="0"/>
              <w:rPr>
                <w:sz w:val="15"/>
                <w:szCs w:val="15"/>
                <w:color w:val="auto"/>
              </w:rPr>
            </w:pPr>
          </w:p>
        </w:tc>
        <w:tc>
          <w:tcPr>
            <w:tcW w:w="112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85"/>
              </w:rPr>
              <w:t>Since</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57"/>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C. Erbey</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63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1988</w:t>
            </w:r>
          </w:p>
        </w:tc>
        <w:tc>
          <w:tcPr>
            <w:tcW w:w="1380" w:type="dxa"/>
            <w:vAlign w:val="bottom"/>
            <w:tcBorders>
              <w:bottom w:val="single" w:sz="8" w:color="auto"/>
              <w:right w:val="single" w:sz="8" w:color="auto"/>
            </w:tcBorders>
          </w:tcPr>
          <w:p>
            <w:pPr>
              <w:jc w:val="center"/>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13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M. Faris</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J. Korn</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72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3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H. Lacy</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68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w:t>
            </w:r>
          </w:p>
        </w:tc>
        <w:tc>
          <w:tcPr>
            <w:tcW w:w="13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Wilbur L. Ross, Jr.</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3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A. Salcetti</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58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3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57"/>
        </w:trPr>
        <w:tc>
          <w:tcPr>
            <w:tcW w:w="2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Barry N. Wish</w:t>
            </w:r>
          </w:p>
        </w:tc>
        <w:tc>
          <w:tcPr>
            <w:tcW w:w="7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71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line="23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As of April 3, 2013.</w:t>
      </w:r>
    </w:p>
    <w:p>
      <w:pPr>
        <w:spacing w:after="0" w:line="164" w:lineRule="exact"/>
        <w:rPr>
          <w:rFonts w:ascii="Arial" w:cs="Arial" w:eastAsia="Arial" w:hAnsi="Arial"/>
          <w:sz w:val="30"/>
          <w:szCs w:val="30"/>
          <w:color w:val="auto"/>
          <w:vertAlign w:val="superscript"/>
        </w:rPr>
      </w:pPr>
    </w:p>
    <w:p>
      <w:pPr>
        <w:ind w:left="340" w:hanging="332"/>
        <w:spacing w:after="0" w:line="215"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Committee Chairman.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additional biographical information and specific qualifications of each Director are set forth below.</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William C. Erbey. </w:t>
      </w:r>
      <w:r>
        <w:rPr>
          <w:rFonts w:ascii="Arial" w:cs="Arial" w:eastAsia="Arial" w:hAnsi="Arial"/>
          <w:sz w:val="17"/>
          <w:szCs w:val="17"/>
          <w:color w:val="auto"/>
        </w:rPr>
        <w:t>Mr. Erbey has served as the Executive Chairman of the Board of Directors of Ocwen since September 1996, as the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Ocwen from January 1988 to October 2010 and as the President of Ocwen from January 1988 to May 1998. From 1983 to 1995, Mr. Erbey served as a Managing General Partner of The Oxford Financial Group, a private investment partnership that was the predecessor of Ocwen. Mr. Erbey has also served as Chairman of the Board of Directors for Altisource Portfolio Solutions S.A. (“Altisource”) since July 2009. He is also the founder of Home Loan Servicing Solutions, Ltd. (“HLSS”) and has served as its Chairman since December 2010. He also has served as Chairman of the Board of Directors of Altisource Residential Corporation since July 2012 and as Chairman of the Board of Directors of Altisource Asset Management Corporation since March 2012.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 of Business Administration from Harvard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right="180"/>
        <w:spacing w:after="0" w:line="302" w:lineRule="auto"/>
        <w:rPr>
          <w:sz w:val="20"/>
          <w:szCs w:val="20"/>
          <w:color w:val="auto"/>
        </w:rPr>
      </w:pPr>
      <w:r>
        <w:rPr>
          <w:rFonts w:ascii="Arial" w:cs="Arial" w:eastAsia="Arial" w:hAnsi="Arial"/>
          <w:sz w:val="16"/>
          <w:szCs w:val="16"/>
          <w:color w:val="auto"/>
        </w:rPr>
        <w:t>With extensive experience in the financial services and mortgage industries, Mr. Erbey provides the Board of Directors with an informed perspective and thoughtful insights into strategic and operational opportunities, economic and industry trends of relevance to the Company and guidance on the competitive positioning of the Company. Throughout his tenure, Mr. Erbey has successfully demonstrated his business acumen and commitment to our Company. His wide-ranging expertise in the financial services business and extraordinary leadership capabilities are recognized as invaluable by the Board of Directors.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Ronald M. Faris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Faris has served as a Director of Ocwen since May 2003, as the President of Ocwen since March 2001 and as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With over twenty (20) years of experience and through various roles within Ocwen, particularly over the past twelve (12) years serving as President of the Company and more recently as our Chief Executive Officer, Mr. Faris has acquired an intimate knowledge of our business and plays an active role in the day-to-day management of our operations. Mr. Faris is uniquely well positioned to provide our Board of Directors critical insight into company-specific issues. In addition to his working knowledge of the operations, Mr. Faris also provides the Board of Directors with accounting expertise.</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Ronald J. Korn. </w:t>
      </w:r>
      <w:r>
        <w:rPr>
          <w:rFonts w:ascii="Arial" w:cs="Arial" w:eastAsia="Arial" w:hAnsi="Arial"/>
          <w:sz w:val="17"/>
          <w:szCs w:val="17"/>
          <w:color w:val="auto"/>
        </w:rPr>
        <w:t>Mr. Korn has served as a Director of Ocwen since May 2003. Mr. Korn is currently the President of Ronald Korn Consulting,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the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William H. Lacy. </w:t>
      </w:r>
      <w:r>
        <w:rPr>
          <w:rFonts w:ascii="Arial" w:cs="Arial" w:eastAsia="Arial" w:hAnsi="Arial"/>
          <w:sz w:val="18"/>
          <w:szCs w:val="18"/>
          <w:color w:val="auto"/>
        </w:rPr>
        <w:t>Mr. Lacy has served as a Director of Ocwen since May 2002. Mr. Lacy was formerly Chairman of Mortgage Guaranty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Chairman and Chief Executive Officer of MGIC Investment Corporation, Milwaukee, Wisconsin. Both corporations are providers of private mortgage guaranty insurance and other mortgage-related services. Mr. Lacy is also a Director of Johnson Controls, Inc. Additionally, Mr. Lacy is Chairman of Johnson Controls’ Finance Committee, serves on Johnson Controls’ Compensation Committee and serves as Johnson Controls’ lead director. Within the past six (6) years, Mr. Lacy also served on the board of ACA Capital Holdings, Inc. Mr. Lacy holds a Bachelor of Arts from the School of Business at the University of Wisconsin.</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b w:val="1"/>
          <w:bCs w:val="1"/>
          <w:i w:val="1"/>
          <w:iCs w:val="1"/>
          <w:color w:val="auto"/>
        </w:rPr>
        <w:t xml:space="preserve">Wilbur L. Ross, Jr. </w:t>
      </w:r>
      <w:r>
        <w:rPr>
          <w:rFonts w:ascii="Arial" w:cs="Arial" w:eastAsia="Arial" w:hAnsi="Arial"/>
          <w:sz w:val="17"/>
          <w:szCs w:val="17"/>
          <w:color w:val="auto"/>
        </w:rPr>
        <w:t>Mr. Ross has served as a Director of Ocwen since March 2013. Mr. Ross is the Chairman and Chief Executive Officer of WL Ross &amp; 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 private equity firm. Mr. Ross is currently a member of the board of directors of ArcelorMittal, a steel and mining company; Exco Resources Inc., a natural oil and gas company; International Textile Group, Inc., a global, diversified textile provider; Air Lease Corporation, an aircraft leasing company; Assured Guaranty Ltd., a holding company that provides credit protection products to the United States and international public finance, infrastructure and structured finance markets; The Governor and Company of the Bank of Ireland, a commercial bank operation in Ireland; BankUnited, Inc., a bank holding company; Navigator Holdings Ltd., a provider of international seaborne transportation services; Sun Bancorp, a bank holding company; Talmer Bancorp, a bank holding company; and Plascar Participacoes SA, a manufacturer of automotive interiors. Mr. Ross formerly served as a member of the board of directors of International Coal Group from April 2005 to June 2011; Montpelier Re Holdings Ltd., a reinsurance company, from 2006 to March 2010; The Greenbrier Companies, a supplier of transportation equipment and services to the railroad industry from June 2009 until January 2013; and Syms Corp., a retail store operator, from 2000 through 2007. Mr. Ross holds an Artium Baccalaureatus degree from Yale University and a Masters of Business Administration, with distinction, from Harvard University.</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Through the course of Mr. Ross’ career, he has served as a principal financial adviser to, investor in, and director of various companies across the globe operating in diverse industries. Mr. Ross has significant experience in finance and knowledge of the capital markets that provides the Board of Directors with invaluable transactional and financial assistance and insight.</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Robert A. Salcetti. </w:t>
      </w:r>
      <w:r>
        <w:rPr>
          <w:rFonts w:ascii="Arial" w:cs="Arial" w:eastAsia="Arial" w:hAnsi="Arial"/>
          <w:sz w:val="18"/>
          <w:szCs w:val="18"/>
          <w:color w:val="auto"/>
        </w:rPr>
        <w:t>Mr. Salcetti has served as a Director of Ocwen since January 2011. Mr. Salcetti previously served as a Managing Director at JPMorgan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Mr. Salcetti brings to Ocwen’s Board of Directors over thirty-five (35)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 As determined by our Board of Directors, Mr. Salcetti is financially literate and qualifies as an audit committee financial expert as that term is defined in the Securities and Exchange Commission rules implementing requirements of the Sarbanes-Oxley Act of 2002.</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Having founded The Oxford Financial Group, Ocwen’s predecessor, previously serving as Chairman of the Board of Directors for Ocwen and with his deep and long-standing institutional knowledge of the Company’s history and operations, Mr. Wish provides leadership direction and critical guidance on strategic goals to the Board of Directors. As determined by our Board of Directors, Mr. Wish is financially literate and qualifies as an audit committee financial expert as that term is defined in the Securities and Exchange Commission rules implementing requirements of the Sarbanes-Oxley Act of 2002.</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Board of Directors held seven (7) meetings and acted by unanimous written consent 4 times in 2012. Each incumbent Director attended at least 75% of these meetings as well as the meetings held by all committees of our Board of Directors on which they served during 2012. All of the incumbent members of our Board of Directors who were members at the time attended our 2012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qualify as independent Directors under the listing standards of the New York Stock Exchange and applicable law.</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relationships are inconsistent with a determination that the Director is independent. Only those Directors who are determined by our Board of Directors to have no material relationship with Ocwen are considered independent. This determination is based in part on responses provided by Directors to an annual questionnaire incorporating the independence standards and qualifications established by the New York Stock Exchange and applicable law. Our current Board of Directors has determined that Messrs. Korn, Lacy, Ross, Salcetti and Wish are independent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Executive Chairman of the Board, Mr. Erbey leads the Board of Directors and oversees Board meetings and the delivery of information necessary for the Board’s informed decision-making. In addition to leading the Board of Directors, Mr. Erbey is actively involved in our business and focuses on strategy, key personnel development and corporate finance.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Board of Directors has established the following standing committees: an Executive Committee, an Audit Committee, a Compensation Committee, a Compliance Committee and a Nomination/Governance Committee. A brief description of these committees is provided below.</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members of the Executive Committee for 2012 were Messrs. Erbey (chairman), Faris and Wish.</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public accounting firm,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advises our Board of Directors with respect to reports by our independent registered public accounting firm and monitors our compliance with laws and regulations applicable to our operations.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9" w:name="page10"/>
    <w:bookmarkEnd w:id="9"/>
    <w:p>
      <w:pPr>
        <w:ind w:right="180"/>
        <w:spacing w:after="0" w:line="273" w:lineRule="auto"/>
        <w:rPr>
          <w:sz w:val="20"/>
          <w:szCs w:val="20"/>
          <w:color w:val="auto"/>
        </w:rPr>
      </w:pPr>
      <w:r>
        <w:rPr>
          <w:rFonts w:ascii="Arial" w:cs="Arial" w:eastAsia="Arial" w:hAnsi="Arial"/>
          <w:sz w:val="17"/>
          <w:szCs w:val="17"/>
          <w:color w:val="auto"/>
        </w:rPr>
        <w:t>The members of the Audit Committee for 2012 were Messrs. Korn (chairman), Reiner, Salcetti and Wish. Mr. Reiner resigned from the Board of Directors and the Audit Committee in March 2012. Each member of our Audit Committee is independent as defined in regulations adopted by the Securities and Exchange Commission and the listing standards of the New York Stock Exchange as interpreted by our Board of Directors. Our Board of Directors has determined that all members of our Audit Committee are financially literate, possess accounting or related financial management expertise within the meaning of the listing standards of the New York Stock Exchange and qualify as an audit committee financial expert as that term is defined in the Securities and Exchange Commission rules implementing requirements of the Sarbanes-Oxley Act of 2002.</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Annually, the Audit Committee reviews and approves its charter. When necessary, the Audit Committee recommends amendments to its charter to the Board of Directors for approval. The charter was last reviewed and approved by the Audit Committee in February 2013. This Committee met six (6) times in 2012.</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also evaluates and makes recommendations to our Board of Directors for human resource and compensation matters relating to our executive officers. The Compensation Committee reviews with the Executive Chairman and subsequently approves all executive compensation plans, any executive severance or termination arrangements and any equity compensation plans that are not subject to shareholder approval. The Compensation Committee also reviews and approves corporate goals and objectives relevant to the compensation of the Executive Chairman and President and Chief Executive Officer, evaluates their performance in light of those goals and objectives and approves the Executive Chairman and President and Chief Executive Officer’s compensation level based on this evaluation. The Compensation Committee is also empowered to review our other compensation plans including the goals and objectives thereof and to recommend changes to these plans to our Board of Directors as well as to administer grants under the 2007 Equity Incentive Plan. The Compensation Committee has the authority to, at the Company’s expense, retain independent counsel or other advisers as it deems necessary in connection with its responsibilities. The Compensation Committee may request that any of our Directors, officers or employees, or other persons attend its meetings to provide advice, counsel or pertinent information as the Committee requests.</w:t>
      </w:r>
    </w:p>
    <w:p>
      <w:pPr>
        <w:spacing w:after="0" w:line="17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members of the Compensation Committee for 2012 were Messrs. Lacy (chairman), Korn and Wish. Each member of the Compensation Committee is independent as defined in the listing standards of the New York Stock Exchange as interpreted by our Board of Directors.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 The Compensation Committee generally meets in executive session as part of each scheduled meeting.</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and approved by the Compensation Committee in February 2013. This Committee met four (4) times in 2012.</w:t>
      </w:r>
    </w:p>
    <w:p>
      <w:pPr>
        <w:spacing w:after="0" w:line="184"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member of the Compensation Committee was, at any time during the 2012 fiscal year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2012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ind w:right="360"/>
        <w:spacing w:after="0" w:line="312"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of Directors with (i) establishment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oversight of our compliance function, including our compliance management system, and (ii) oversight of our compliance with applicable laws, rules and regulations governing its consumer-oriented businesses including Federal consumer financial laws and applicable state laws.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Compliance Committee was established in March 2013. The members of the Compliance Committee are Messrs. Salcetti (chairman), Faris and Ross. Our Compliance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When necessary, the Compliance Committee recommends amendments to its charter to the Board of Directors for approval.</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develops and presents our Board of Directors with a set of corporate governance principles and oversees the evaluation of our Board of Directors and our management.</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members of the Nomination/Governance Committee for 2012 were Messrs. Wish (chairman), Lacy, Reiner and Salcetti. Mr. Reiner resigned from the Nomination/Governance Committee in March 2012. Each member of our Nomination/Governance Committee is independent as defined in the listing standards of the New York Stock Exchange as interpreted by our Board of Directors.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It is the policy of our Nomination/Governance Committee to consider candidates for Director recommended by you, our shareholders, but the Nomination/Governance Committee has no obligation to recommend such candidates.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to devote adequate time and effort to Board responsibilities and the interplay of the candidate’s experience with the background of other members of our Board of Directors. We generally require that directors who have attained the age of 78 will not be nominated, although this requirement may be waived in particular cases in the discretion of the Board of Directors. We also consider the number of other boards on which a nominee sits, but we do not have a policy limiting the number of other public company boards upon which a Director may sit. A copy of our corporate governance guidelines is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 to time as appropriate. The Nomination/Governance Committee does not discriminate against candidates for the Board of Directors based on race, color, religion, sex, sexual orientation or national origin.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40"/>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When necessary, the Nomination/Governance Committee recommends amendments to its charter to the Board of Directors for approval. The charter was last reviewed and approved by the Nomination/Governance Committee in February 2013. This Committee met three (3) times during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ensure effective corporate governance. The Corporate Governance Guidelines cover topics such as: Director qualifications,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Nomination/Governance Committee reviews our Corporate Governance Guidelines at least once a year and, if necessary, recommends changes to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The Nomination/Governance Committee reviewed and approved amendments to the Corporate Governance Guidelines in February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ratified, adopted and approved the amendments to the Corporate Governance Guidelines in February 2013.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are available to any shareholder who requests them by writing to our Secretary at Ocwen Financial Corporation, 1661 Worthington Road, Suite 100, West Palm Beach, Florida 33409.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Non-management Directors met in executive session without management three (3) times in 2012. A non-management Director presides on a rotational basis as determined by our Board of Directors at each executive session.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the General Counsel and Secretary deem appropriate, depending on the facts and circumstances outlined in the communication received.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to you.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Board of Directors and each of its Committees are involved in overseeing risk associated with the Company. The Board of Directors and the Audit Committee monitor Ocwen’s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 The Board of Directors’ role in risk oversight is consistent with the Company’s leadership structure with the President and Chief Executive Officer and other members of senior management having responsibility for assessing and managing the Company’s risk exposure, and the Executive Chairman, the Board of Directors and its Committees providing oversight in connection with these efforts.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table discloses compensation received for fiscal year 2012 by each non-management member of our Board of Directors who served as a Director during fiscal year 2012. Our management Directors do not receive an annual retainer or any other compensation for their service on the Board of Directors.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980" w:type="dxa"/>
            <w:vAlign w:val="bottom"/>
            <w:tcBorders>
              <w:top w:val="single" w:sz="8" w:color="auto"/>
              <w:left w:val="single" w:sz="8" w:color="auto"/>
              <w:right w:val="single" w:sz="8" w:color="auto"/>
            </w:tcBorders>
            <w:shd w:val="clear" w:color="auto" w:fill="F3F3F3"/>
          </w:tcPr>
          <w:p>
            <w:pPr>
              <w:spacing w:after="0"/>
              <w:rPr>
                <w:sz w:val="20"/>
                <w:szCs w:val="20"/>
                <w:color w:val="auto"/>
              </w:rPr>
            </w:pPr>
          </w:p>
        </w:tc>
        <w:tc>
          <w:tcPr>
            <w:tcW w:w="2620" w:type="dxa"/>
            <w:vAlign w:val="bottom"/>
            <w:tcBorders>
              <w:top w:val="single" w:sz="8" w:color="auto"/>
              <w:right w:val="single" w:sz="8" w:color="auto"/>
            </w:tcBorders>
            <w:shd w:val="clear" w:color="auto" w:fill="F3F3F3"/>
          </w:tcPr>
          <w:p>
            <w:pPr>
              <w:ind w:left="800"/>
              <w:spacing w:after="0"/>
              <w:rPr>
                <w:sz w:val="20"/>
                <w:szCs w:val="20"/>
                <w:color w:val="auto"/>
              </w:rPr>
            </w:pPr>
            <w:r>
              <w:rPr>
                <w:rFonts w:ascii="Arial" w:cs="Arial" w:eastAsia="Arial" w:hAnsi="Arial"/>
                <w:sz w:val="18"/>
                <w:szCs w:val="18"/>
                <w:b w:val="1"/>
                <w:bCs w:val="1"/>
                <w:color w:val="auto"/>
              </w:rPr>
              <w:t>Fees Earned</w:t>
            </w:r>
          </w:p>
        </w:tc>
        <w:tc>
          <w:tcPr>
            <w:tcW w:w="228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80" w:type="dxa"/>
            <w:vAlign w:val="bottom"/>
            <w:tcBorders>
              <w:top w:val="single" w:sz="8" w:color="auto"/>
              <w:right w:val="single" w:sz="8" w:color="auto"/>
            </w:tcBorders>
            <w:shd w:val="clear" w:color="auto" w:fill="F3F3F3"/>
          </w:tcPr>
          <w:p>
            <w:pPr>
              <w:jc w:val="right"/>
              <w:ind w:right="711"/>
              <w:spacing w:after="0"/>
              <w:rPr>
                <w:sz w:val="20"/>
                <w:szCs w:val="20"/>
                <w:color w:val="auto"/>
              </w:rPr>
            </w:pPr>
            <w:r>
              <w:rPr>
                <w:rFonts w:ascii="Arial" w:cs="Arial" w:eastAsia="Arial" w:hAnsi="Arial"/>
                <w:sz w:val="18"/>
                <w:szCs w:val="18"/>
                <w:b w:val="1"/>
                <w:bCs w:val="1"/>
                <w:color w:val="auto"/>
              </w:rPr>
              <w:t>All Other</w:t>
            </w:r>
          </w:p>
        </w:tc>
        <w:tc>
          <w:tcPr>
            <w:tcW w:w="2260" w:type="dxa"/>
            <w:vAlign w:val="bottom"/>
            <w:tcBorders>
              <w:top w:val="single" w:sz="8" w:color="auto"/>
              <w:right w:val="single" w:sz="8" w:color="auto"/>
            </w:tcBorders>
            <w:shd w:val="clear" w:color="auto" w:fill="F3F3F3"/>
          </w:tcPr>
          <w:p>
            <w:pPr>
              <w:spacing w:after="0"/>
              <w:rPr>
                <w:sz w:val="20"/>
                <w:szCs w:val="20"/>
                <w:color w:val="auto"/>
              </w:rPr>
            </w:pPr>
          </w:p>
        </w:tc>
      </w:tr>
      <w:tr>
        <w:trPr>
          <w:trHeight w:val="249"/>
        </w:trPr>
        <w:tc>
          <w:tcPr>
            <w:tcW w:w="1980" w:type="dxa"/>
            <w:vAlign w:val="bottom"/>
            <w:tcBorders>
              <w:left w:val="single" w:sz="8" w:color="auto"/>
              <w:right w:val="single" w:sz="8" w:color="auto"/>
            </w:tcBorders>
            <w:shd w:val="clear" w:color="auto" w:fill="F3F3F3"/>
          </w:tcPr>
          <w:p>
            <w:pPr>
              <w:spacing w:after="0"/>
              <w:rPr>
                <w:sz w:val="21"/>
                <w:szCs w:val="21"/>
                <w:color w:val="auto"/>
              </w:rPr>
            </w:pPr>
          </w:p>
        </w:tc>
        <w:tc>
          <w:tcPr>
            <w:tcW w:w="26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2"/>
              </w:rPr>
              <w:t>Or Paid in Cash</w:t>
            </w:r>
          </w:p>
        </w:tc>
        <w:tc>
          <w:tcPr>
            <w:tcW w:w="2280" w:type="dxa"/>
            <w:vAlign w:val="bottom"/>
            <w:tcBorders>
              <w:right w:val="single" w:sz="8" w:color="auto"/>
            </w:tcBorders>
            <w:shd w:val="clear" w:color="auto" w:fill="F3F3F3"/>
          </w:tcPr>
          <w:p>
            <w:pPr>
              <w:jc w:val="center"/>
              <w:spacing w:after="0" w:line="249" w:lineRule="exact"/>
              <w:rPr>
                <w:sz w:val="20"/>
                <w:szCs w:val="20"/>
                <w:color w:val="auto"/>
              </w:rPr>
            </w:pPr>
            <w:r>
              <w:rPr>
                <w:rFonts w:ascii="Arial" w:cs="Arial" w:eastAsia="Arial" w:hAnsi="Arial"/>
                <w:sz w:val="17"/>
                <w:szCs w:val="17"/>
                <w:b w:val="1"/>
                <w:bCs w:val="1"/>
                <w:color w:val="auto"/>
                <w:w w:val="87"/>
              </w:rPr>
              <w:t>Awards</w:t>
            </w:r>
            <w:r>
              <w:rPr>
                <w:rFonts w:ascii="Arial" w:cs="Arial" w:eastAsia="Arial" w:hAnsi="Arial"/>
                <w:sz w:val="28"/>
                <w:szCs w:val="28"/>
                <w:color w:val="auto"/>
                <w:w w:val="87"/>
                <w:vertAlign w:val="superscript"/>
              </w:rPr>
              <w:t>(1)(2)</w:t>
            </w:r>
          </w:p>
        </w:tc>
        <w:tc>
          <w:tcPr>
            <w:tcW w:w="2280" w:type="dxa"/>
            <w:vAlign w:val="bottom"/>
            <w:tcBorders>
              <w:right w:val="single" w:sz="8" w:color="auto"/>
            </w:tcBorders>
            <w:shd w:val="clear" w:color="auto" w:fill="F3F3F3"/>
          </w:tcPr>
          <w:p>
            <w:pPr>
              <w:jc w:val="right"/>
              <w:ind w:right="511"/>
              <w:spacing w:after="0"/>
              <w:rPr>
                <w:sz w:val="20"/>
                <w:szCs w:val="20"/>
                <w:color w:val="auto"/>
              </w:rPr>
            </w:pPr>
            <w:r>
              <w:rPr>
                <w:rFonts w:ascii="Arial" w:cs="Arial" w:eastAsia="Arial" w:hAnsi="Arial"/>
                <w:sz w:val="18"/>
                <w:szCs w:val="18"/>
                <w:b w:val="1"/>
                <w:bCs w:val="1"/>
                <w:color w:val="auto"/>
              </w:rPr>
              <w:t>Compensation</w:t>
            </w:r>
          </w:p>
        </w:tc>
        <w:tc>
          <w:tcPr>
            <w:tcW w:w="2260" w:type="dxa"/>
            <w:vAlign w:val="bottom"/>
            <w:tcBorders>
              <w:right w:val="single" w:sz="8" w:color="auto"/>
            </w:tcBorders>
            <w:shd w:val="clear" w:color="auto" w:fill="F3F3F3"/>
          </w:tcPr>
          <w:p>
            <w:pPr>
              <w:jc w:val="center"/>
              <w:ind w:right="1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980" w:type="dxa"/>
            <w:vAlign w:val="bottom"/>
            <w:tcBorders>
              <w:left w:val="single" w:sz="8" w:color="auto"/>
              <w:bottom w:val="single" w:sz="8" w:color="auto"/>
              <w:right w:val="single" w:sz="8" w:color="auto"/>
            </w:tcBorders>
            <w:shd w:val="clear" w:color="auto" w:fill="F3F3F3"/>
          </w:tcPr>
          <w:p>
            <w:pPr>
              <w:ind w:left="80"/>
              <w:spacing w:after="0"/>
              <w:rPr>
                <w:sz w:val="20"/>
                <w:szCs w:val="20"/>
                <w:color w:val="auto"/>
              </w:rPr>
            </w:pPr>
            <w:r>
              <w:rPr>
                <w:rFonts w:ascii="Arial" w:cs="Arial" w:eastAsia="Arial" w:hAnsi="Arial"/>
                <w:sz w:val="18"/>
                <w:szCs w:val="18"/>
                <w:b w:val="1"/>
                <w:bCs w:val="1"/>
                <w:color w:val="auto"/>
              </w:rPr>
              <w:t>Name</w:t>
            </w:r>
          </w:p>
        </w:tc>
        <w:tc>
          <w:tcPr>
            <w:tcW w:w="262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t>
            </w:r>
          </w:p>
        </w:tc>
        <w:tc>
          <w:tcPr>
            <w:tcW w:w="22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Borders>
              <w:bottom w:val="single" w:sz="8" w:color="auto"/>
              <w:right w:val="single" w:sz="8" w:color="auto"/>
            </w:tcBorders>
            <w:shd w:val="clear" w:color="auto" w:fill="F3F3F3"/>
          </w:tcPr>
          <w:p>
            <w:pPr>
              <w:jc w:val="right"/>
              <w:ind w:right="951"/>
              <w:spacing w:after="0"/>
              <w:rPr>
                <w:sz w:val="20"/>
                <w:szCs w:val="20"/>
                <w:color w:val="auto"/>
              </w:rPr>
            </w:pPr>
            <w:r>
              <w:rPr>
                <w:rFonts w:ascii="Arial" w:cs="Arial" w:eastAsia="Arial" w:hAnsi="Arial"/>
                <w:sz w:val="18"/>
                <w:szCs w:val="18"/>
                <w:b w:val="1"/>
                <w:bCs w:val="1"/>
                <w:color w:val="auto"/>
              </w:rPr>
              <w:t>($)</w:t>
            </w:r>
          </w:p>
        </w:tc>
        <w:tc>
          <w:tcPr>
            <w:tcW w:w="2260" w:type="dxa"/>
            <w:vAlign w:val="bottom"/>
            <w:tcBorders>
              <w:bottom w:val="single" w:sz="8" w:color="auto"/>
              <w:right w:val="single" w:sz="8" w:color="auto"/>
            </w:tcBorders>
            <w:shd w:val="clear" w:color="auto" w:fill="F3F3F3"/>
          </w:tcPr>
          <w:p>
            <w:pPr>
              <w:jc w:val="right"/>
              <w:ind w:right="990"/>
              <w:spacing w:after="0"/>
              <w:rPr>
                <w:sz w:val="20"/>
                <w:szCs w:val="20"/>
                <w:color w:val="auto"/>
              </w:rPr>
            </w:pPr>
            <w:r>
              <w:rPr>
                <w:rFonts w:ascii="Arial" w:cs="Arial" w:eastAsia="Arial" w:hAnsi="Arial"/>
                <w:sz w:val="18"/>
                <w:szCs w:val="18"/>
                <w:b w:val="1"/>
                <w:bCs w:val="1"/>
                <w:color w:val="auto"/>
              </w:rPr>
              <w:t>($)</w:t>
            </w:r>
          </w:p>
        </w:tc>
      </w:tr>
      <w:tr>
        <w:trPr>
          <w:trHeight w:val="216"/>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Ronald J. Korn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$56,667</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$45,000</w:t>
            </w:r>
          </w:p>
        </w:tc>
        <w:tc>
          <w:tcPr>
            <w:tcW w:w="2280" w:type="dxa"/>
            <w:vAlign w:val="bottom"/>
            <w:tcBorders>
              <w:bottom w:val="single" w:sz="8" w:color="auto"/>
              <w:right w:val="single" w:sz="8" w:color="auto"/>
            </w:tcBorders>
          </w:tcPr>
          <w:p>
            <w:pPr>
              <w:jc w:val="right"/>
              <w:ind w:right="951"/>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$101,667</w:t>
            </w:r>
          </w:p>
        </w:tc>
      </w:tr>
      <w:tr>
        <w:trPr>
          <w:trHeight w:val="210"/>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William H. Lacy</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$45,000</w:t>
            </w:r>
          </w:p>
        </w:tc>
        <w:tc>
          <w:tcPr>
            <w:tcW w:w="2280" w:type="dxa"/>
            <w:vAlign w:val="bottom"/>
            <w:tcBorders>
              <w:bottom w:val="single" w:sz="8" w:color="auto"/>
              <w:right w:val="single" w:sz="8" w:color="auto"/>
            </w:tcBorders>
          </w:tcPr>
          <w:p>
            <w:pPr>
              <w:jc w:val="right"/>
              <w:ind w:right="951"/>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$95,000</w:t>
            </w:r>
          </w:p>
        </w:tc>
      </w:tr>
      <w:tr>
        <w:trPr>
          <w:trHeight w:val="250"/>
        </w:trPr>
        <w:tc>
          <w:tcPr>
            <w:tcW w:w="1980" w:type="dxa"/>
            <w:vAlign w:val="bottom"/>
            <w:tcBorders>
              <w:left w:val="single" w:sz="8" w:color="auto"/>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David B. Reiner</w:t>
            </w:r>
            <w:r>
              <w:rPr>
                <w:rFonts w:ascii="Arial" w:cs="Arial" w:eastAsia="Arial" w:hAnsi="Arial"/>
                <w:sz w:val="28"/>
                <w:szCs w:val="28"/>
                <w:color w:val="auto"/>
                <w:vertAlign w:val="superscript"/>
              </w:rPr>
              <w:t>(3)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2280" w:type="dxa"/>
            <w:vAlign w:val="bottom"/>
            <w:tcBorders>
              <w:bottom w:val="single" w:sz="8" w:color="auto"/>
              <w:right w:val="single" w:sz="8" w:color="auto"/>
            </w:tcBorders>
          </w:tcPr>
          <w:p>
            <w:pPr>
              <w:jc w:val="right"/>
              <w:ind w:right="671"/>
              <w:spacing w:after="0" w:line="250" w:lineRule="exact"/>
              <w:rPr>
                <w:sz w:val="20"/>
                <w:szCs w:val="20"/>
                <w:color w:val="auto"/>
              </w:rPr>
            </w:pPr>
            <w:r>
              <w:rPr>
                <w:rFonts w:ascii="Arial" w:cs="Arial" w:eastAsia="Arial" w:hAnsi="Arial"/>
                <w:sz w:val="17"/>
                <w:szCs w:val="17"/>
                <w:color w:val="auto"/>
              </w:rPr>
              <w:t>$75,000</w:t>
            </w:r>
            <w:r>
              <w:rPr>
                <w:rFonts w:ascii="Arial" w:cs="Arial" w:eastAsia="Arial" w:hAnsi="Arial"/>
                <w:sz w:val="28"/>
                <w:szCs w:val="28"/>
                <w:color w:val="auto"/>
                <w:vertAlign w:val="superscript"/>
              </w:rPr>
              <w:t>(4)</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$86,250</w:t>
            </w:r>
          </w:p>
        </w:tc>
      </w:tr>
      <w:tr>
        <w:trPr>
          <w:trHeight w:val="210"/>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Robert A. Salcetti</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$45,000</w:t>
            </w:r>
          </w:p>
        </w:tc>
        <w:tc>
          <w:tcPr>
            <w:tcW w:w="2280" w:type="dxa"/>
            <w:vAlign w:val="bottom"/>
            <w:tcBorders>
              <w:bottom w:val="single" w:sz="8" w:color="auto"/>
              <w:right w:val="single" w:sz="8" w:color="auto"/>
            </w:tcBorders>
          </w:tcPr>
          <w:p>
            <w:pPr>
              <w:jc w:val="right"/>
              <w:ind w:right="951"/>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$95,000</w:t>
            </w:r>
          </w:p>
        </w:tc>
      </w:tr>
      <w:tr>
        <w:trPr>
          <w:trHeight w:val="217"/>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Barry N. Wish</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$56,667</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$45,000</w:t>
            </w:r>
          </w:p>
        </w:tc>
        <w:tc>
          <w:tcPr>
            <w:tcW w:w="2280" w:type="dxa"/>
            <w:vAlign w:val="bottom"/>
            <w:tcBorders>
              <w:bottom w:val="single" w:sz="8" w:color="auto"/>
              <w:right w:val="single" w:sz="8" w:color="auto"/>
            </w:tcBorders>
          </w:tcPr>
          <w:p>
            <w:pPr>
              <w:jc w:val="right"/>
              <w:ind w:right="951"/>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$101,667</w:t>
            </w:r>
          </w:p>
        </w:tc>
      </w:tr>
    </w:tbl>
    <w:p>
      <w:pPr>
        <w:spacing w:after="0" w:line="188" w:lineRule="exact"/>
        <w:rPr>
          <w:sz w:val="20"/>
          <w:szCs w:val="20"/>
          <w:color w:val="auto"/>
        </w:rPr>
      </w:pPr>
    </w:p>
    <w:p>
      <w:pPr>
        <w:ind w:left="340" w:hanging="332"/>
        <w:spacing w:after="0" w:line="242" w:lineRule="auto"/>
        <w:tabs>
          <w:tab w:leader="none" w:pos="34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The number of shares issued pursuant to the 1996 Stock Plan for Directors is based on the “fair market value” of our common stock on the date of election (or re-election) of such Director to our Board of Directors, which is the date of grant. The term “fair market value” is defined in the 1996 Stock Plan for Directors to mean the average of the high and low prices of the common stock as reported on the New York Stock Exchange on the relevant date. Shares issued pursuant to the 1996 Stock Plan for Directors are subject to forfeiture during the twelve (12) full calendar months following election or appointment to the Board of Directors or a Committee thereof if the Director does not attend an aggregate of at least 75% of all meetings of the Board of Directors and Committees of which the Director is a member during such period.</w:t>
      </w:r>
    </w:p>
    <w:p>
      <w:pPr>
        <w:spacing w:after="0" w:line="107" w:lineRule="exact"/>
        <w:rPr>
          <w:rFonts w:ascii="Arial" w:cs="Arial" w:eastAsia="Arial" w:hAnsi="Arial"/>
          <w:sz w:val="28"/>
          <w:szCs w:val="28"/>
          <w:color w:val="auto"/>
          <w:vertAlign w:val="superscript"/>
        </w:rPr>
      </w:pPr>
    </w:p>
    <w:p>
      <w:pPr>
        <w:jc w:val="both"/>
        <w:ind w:left="340" w:hanging="332"/>
        <w:spacing w:after="0" w:line="22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 March 2005, the Board of Directors adopted a Deferred Compensation Plan for Directors pursuant to which Directors are permitted to defer receipt of their compensation granted under the 1996 Stock Plan for Directors. During 2012, Messrs. Korn, Wish and Salcetti did not elect to defer their $45,000 in equity compensation and, as a result, were each issued 2,959 shares of common stock based on the fair market value on May 9, 2012. Mr. Lacy elected to defer his $45,000 in equity compensation pursuant to the terms of the Deferred Compensation Plan. Our non-management Directors have no shares subject to option awards outstanding as of December 31, 2012.</w:t>
      </w:r>
    </w:p>
    <w:p>
      <w:pPr>
        <w:spacing w:after="0" w:line="107" w:lineRule="exact"/>
        <w:rPr>
          <w:rFonts w:ascii="Arial" w:cs="Arial" w:eastAsia="Arial" w:hAnsi="Arial"/>
          <w:sz w:val="30"/>
          <w:szCs w:val="30"/>
          <w:color w:val="auto"/>
          <w:vertAlign w:val="superscript"/>
        </w:rPr>
      </w:pPr>
    </w:p>
    <w:p>
      <w:pPr>
        <w:ind w:left="340" w:right="10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Although he resigned from the Board on March 5, 2012, Mr. Reiner was a member of our Board of Directors and received compensation for his services through his resignation date.</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Fee pursuant to Independent Contractor Agreement dated as of October 1,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director compensation policies were revised effective September 1, 2012. As of September 1, 2012, we provide the following annual cash compensation to our non-management Directors in quarterly installments:</w:t>
      </w:r>
    </w:p>
    <w:p>
      <w:pPr>
        <w:spacing w:after="0" w:line="35" w:lineRule="exact"/>
        <w:rPr>
          <w:sz w:val="20"/>
          <w:szCs w:val="20"/>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retainer of $50,000;</w:t>
      </w:r>
    </w:p>
    <w:p>
      <w:pPr>
        <w:spacing w:after="0" w:line="23" w:lineRule="exact"/>
        <w:rPr>
          <w:rFonts w:ascii="Arial" w:cs="Arial" w:eastAsia="Arial" w:hAnsi="Arial"/>
          <w:sz w:val="18"/>
          <w:szCs w:val="18"/>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$15,000 to the Audit Committee Chairperson;</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$10,000 to all Committee Chairpersons (other than the Audit Committee Chairperson) and</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Chairperson).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Prior to September 1, 2012, we provided the following annual cash compensation to our non-management Directors in quarterly installments:</w:t>
      </w:r>
    </w:p>
    <w:p>
      <w:pPr>
        <w:spacing w:after="0" w:line="90" w:lineRule="exact"/>
        <w:rPr>
          <w:sz w:val="20"/>
          <w:szCs w:val="20"/>
          <w:color w:val="auto"/>
        </w:rPr>
      </w:pPr>
    </w:p>
    <w:p>
      <w:pPr>
        <w:ind w:left="700" w:hanging="32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retainer of $40,000;</w:t>
      </w:r>
    </w:p>
    <w:p>
      <w:pPr>
        <w:spacing w:after="0" w:line="23" w:lineRule="exact"/>
        <w:rPr>
          <w:rFonts w:ascii="Arial" w:cs="Arial" w:eastAsia="Arial" w:hAnsi="Arial"/>
          <w:sz w:val="18"/>
          <w:szCs w:val="18"/>
          <w:color w:val="auto"/>
        </w:rPr>
      </w:pPr>
    </w:p>
    <w:p>
      <w:pPr>
        <w:ind w:left="700" w:hanging="32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additional $5,000 to all Audit Committee members (other than the Chairperson).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Prior to September 1, 2012, we provided our non-management Directors an annual award of restricted shares of common stock with a fair market value of $45,000 pursuant to our 1996 Stock Plan for Directors adopted by our Board of Directors and our shareholders in July 1996. Beginning in 2013, we will provide our non-management Directors an annual award of restricted shares of common stock with a fair market value of $60,000.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Plan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Deferral Plan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Director electing deferral must specify the payment date at the time of election as either (i) the six (6) month anniversary of the Director’s termination date or (ii) any other date elected by the Director which is at least two (2) years after the last day of the year of service for which the compensation was awarded. At least thirty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Matters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Director compensation may be prorated for a Director serving less than a full one (1) year term such as in the case of a Director joining the Board of Directors after an annual meeting of shareholders. Directors are reimbursed for reasonable travel and other expenses incurred in connection with attending meetings of the Board of Directors and its Committees. Director compensation is subject to review and adjustment by the Board of Directors from time to time.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an executive officer. None of our Directors and/or executive officers is related to any other Director and/or executive officer of Ocwen or any of its subsidiaries by blood, marriage or adoption.</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560" w:type="dxa"/>
            <w:vAlign w:val="bottom"/>
            <w:tcBorders>
              <w:top w:val="single" w:sz="8" w:color="auto"/>
              <w:left w:val="single" w:sz="8" w:color="auto"/>
              <w:bottom w:val="single" w:sz="8" w:color="auto"/>
              <w:right w:val="single" w:sz="8" w:color="auto"/>
            </w:tcBorders>
            <w:shd w:val="clear" w:color="auto" w:fill="F3F3F3"/>
          </w:tcPr>
          <w:p>
            <w:pPr>
              <w:ind w:left="140"/>
              <w:spacing w:after="0" w:line="284" w:lineRule="exact"/>
              <w:rPr>
                <w:sz w:val="20"/>
                <w:szCs w:val="20"/>
                <w:color w:val="auto"/>
              </w:rPr>
            </w:pPr>
            <w:r>
              <w:rPr>
                <w:rFonts w:ascii="Arial" w:cs="Arial" w:eastAsia="Arial" w:hAnsi="Arial"/>
                <w:sz w:val="18"/>
                <w:szCs w:val="18"/>
                <w:b w:val="1"/>
                <w:bCs w:val="1"/>
                <w:color w:val="auto"/>
              </w:rPr>
              <w:t>Name</w:t>
            </w:r>
            <w:r>
              <w:rPr>
                <w:rFonts w:ascii="Arial" w:cs="Arial" w:eastAsia="Arial" w:hAnsi="Arial"/>
                <w:sz w:val="30"/>
                <w:szCs w:val="30"/>
                <w:b w:val="1"/>
                <w:bCs w:val="1"/>
                <w:color w:val="auto"/>
                <w:vertAlign w:val="superscript"/>
              </w:rPr>
              <w:t>(1)</w:t>
            </w:r>
          </w:p>
        </w:tc>
        <w:tc>
          <w:tcPr>
            <w:tcW w:w="1240" w:type="dxa"/>
            <w:vAlign w:val="bottom"/>
            <w:tcBorders>
              <w:top w:val="single" w:sz="8" w:color="auto"/>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Age</w:t>
            </w:r>
          </w:p>
        </w:tc>
        <w:tc>
          <w:tcPr>
            <w:tcW w:w="7620" w:type="dxa"/>
            <w:vAlign w:val="bottom"/>
            <w:tcBorders>
              <w:top w:val="single" w:sz="8" w:color="auto"/>
              <w:bottom w:val="single" w:sz="8" w:color="auto"/>
              <w:right w:val="single" w:sz="8" w:color="auto"/>
            </w:tcBorders>
            <w:shd w:val="clear" w:color="auto" w:fill="F3F3F3"/>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5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V. Britti</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7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7"/>
        </w:trPr>
        <w:tc>
          <w:tcPr>
            <w:tcW w:w="25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Paul A. Koches</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7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39"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All information set forth herein is as of March 21, 2013.</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are set forth below.</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John V. Britti</w:t>
      </w:r>
      <w:r>
        <w:rPr>
          <w:rFonts w:ascii="Arial" w:cs="Arial" w:eastAsia="Arial" w:hAnsi="Arial"/>
          <w:sz w:val="18"/>
          <w:szCs w:val="18"/>
          <w:color w:val="auto"/>
        </w:rPr>
        <w:t>. Mr. Britti has served as Executive Vice President and Chief Financial Officer since March 2012. He previously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Ocwen responsible for Finance and Business Development from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their financial services industry group. He holds a Bachelor of Arts in Economics from the University of Maryland and a Masters of Business Administration from Dartmouth’s Amos Tuck School.</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Paul A. Koches. </w:t>
      </w:r>
      <w:r>
        <w:rPr>
          <w:rFonts w:ascii="Arial" w:cs="Arial" w:eastAsia="Arial" w:hAnsi="Arial"/>
          <w:sz w:val="18"/>
          <w:szCs w:val="18"/>
          <w:color w:val="auto"/>
        </w:rPr>
        <w:t>Mr. Koches has served as Executive Vice President and General Counsel since May 2008 and as Secretary since August 2009.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Senior Vice President and General Counsel of Ocwen from August 2002 through August 2009. Prior to joining Ocwen, Mr. Koches was a Partner with Arent Fox, LLP in Washington, D.C. Mr. Koches holds a Bachelor of Arts from the University of Connecticut and a Juris Doctorate degree from the University of Miami Law School.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9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own beneficially more than five percent (5%) of the outstanding shares of its common stock.</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We have based our calculation of the percentage of beneficial ownership on 135,644,158 shares of our common stock outstanding as of the record date,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987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98780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Shares Beneficially Owned </w:t>
      </w:r>
      <w:r>
        <w:rPr>
          <w:rFonts w:ascii="Arial" w:cs="Arial" w:eastAsia="Arial" w:hAnsi="Arial"/>
          <w:sz w:val="30"/>
          <w:szCs w:val="30"/>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5340" w:type="dxa"/>
            <w:vAlign w:val="bottom"/>
            <w:tcBorders>
              <w:top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22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Amount and</w:t>
            </w:r>
          </w:p>
        </w:tc>
        <w:tc>
          <w:tcPr>
            <w:tcW w:w="2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b w:val="1"/>
                <w:bCs w:val="1"/>
                <w:color w:val="auto"/>
              </w:rPr>
              <w:t>Name and Address of Beneficial Owner:</w:t>
            </w:r>
          </w:p>
        </w:tc>
        <w:tc>
          <w:tcPr>
            <w:tcW w:w="1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Nature of Beneficial</w:t>
            </w: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41"/>
        </w:trPr>
        <w:tc>
          <w:tcPr>
            <w:tcW w:w="53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2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140"/>
              <w:spacing w:after="0" w:line="242" w:lineRule="exact"/>
              <w:rPr>
                <w:sz w:val="20"/>
                <w:szCs w:val="20"/>
                <w:color w:val="auto"/>
              </w:rPr>
            </w:pPr>
            <w:r>
              <w:rPr>
                <w:rFonts w:ascii="Arial" w:cs="Arial" w:eastAsia="Arial" w:hAnsi="Arial"/>
                <w:sz w:val="17"/>
                <w:szCs w:val="17"/>
                <w:color w:val="auto"/>
              </w:rPr>
              <w:t>FMR LLC</w:t>
            </w:r>
            <w:r>
              <w:rPr>
                <w:rFonts w:ascii="Arial" w:cs="Arial" w:eastAsia="Arial" w:hAnsi="Arial"/>
                <w:sz w:val="28"/>
                <w:szCs w:val="28"/>
                <w:color w:val="auto"/>
                <w:vertAlign w:val="superscript"/>
              </w:rPr>
              <w:t>(2)</w:t>
            </w:r>
          </w:p>
        </w:tc>
        <w:tc>
          <w:tcPr>
            <w:tcW w:w="17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9,120,891</w:t>
            </w:r>
          </w:p>
        </w:tc>
        <w:tc>
          <w:tcPr>
            <w:tcW w:w="2040" w:type="dxa"/>
            <w:vAlign w:val="bottom"/>
            <w:vMerge w:val="restart"/>
          </w:tcPr>
          <w:p>
            <w:pPr>
              <w:jc w:val="right"/>
              <w:ind w:right="57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82 Devonshire Street</w:t>
            </w:r>
          </w:p>
        </w:tc>
        <w:tc>
          <w:tcPr>
            <w:tcW w:w="1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continue"/>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Boston, Massachusetts 02109</w:t>
            </w:r>
          </w:p>
        </w:tc>
        <w:tc>
          <w:tcPr>
            <w:tcW w:w="17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tcPr>
          <w:p>
            <w:pPr>
              <w:ind w:left="140"/>
              <w:spacing w:after="0" w:line="236" w:lineRule="exact"/>
              <w:rPr>
                <w:sz w:val="20"/>
                <w:szCs w:val="20"/>
                <w:color w:val="auto"/>
              </w:rPr>
            </w:pPr>
            <w:r>
              <w:rPr>
                <w:rFonts w:ascii="Arial" w:cs="Arial" w:eastAsia="Arial" w:hAnsi="Arial"/>
                <w:sz w:val="17"/>
                <w:szCs w:val="17"/>
                <w:color w:val="auto"/>
              </w:rPr>
              <w:t>Wellington Management Company, LLP</w:t>
            </w:r>
            <w:r>
              <w:rPr>
                <w:rFonts w:ascii="Arial" w:cs="Arial" w:eastAsia="Arial" w:hAnsi="Arial"/>
                <w:sz w:val="27"/>
                <w:szCs w:val="27"/>
                <w:color w:val="auto"/>
                <w:vertAlign w:val="superscript"/>
              </w:rPr>
              <w:t>(3)</w:t>
            </w:r>
          </w:p>
        </w:tc>
        <w:tc>
          <w:tcPr>
            <w:tcW w:w="17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8,733,642</w:t>
            </w:r>
          </w:p>
        </w:tc>
        <w:tc>
          <w:tcPr>
            <w:tcW w:w="2040" w:type="dxa"/>
            <w:vAlign w:val="bottom"/>
            <w:vMerge w:val="restart"/>
          </w:tcPr>
          <w:p>
            <w:pPr>
              <w:jc w:val="right"/>
              <w:ind w:right="57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280 Congress Street</w:t>
            </w:r>
          </w:p>
        </w:tc>
        <w:tc>
          <w:tcPr>
            <w:tcW w:w="1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continue"/>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Boston, Massachusetts 02210</w:t>
            </w:r>
          </w:p>
        </w:tc>
        <w:tc>
          <w:tcPr>
            <w:tcW w:w="17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Directors and Named Executive Officers:</w:t>
            </w:r>
          </w:p>
        </w:tc>
        <w:tc>
          <w:tcPr>
            <w:tcW w:w="17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auto"/>
            </w:tcBorders>
          </w:tcPr>
          <w:p>
            <w:pPr>
              <w:ind w:left="140"/>
              <w:spacing w:after="0" w:line="256" w:lineRule="exact"/>
              <w:rPr>
                <w:sz w:val="20"/>
                <w:szCs w:val="20"/>
                <w:color w:val="auto"/>
              </w:rPr>
            </w:pPr>
            <w:r>
              <w:rPr>
                <w:rFonts w:ascii="Arial" w:cs="Arial" w:eastAsia="Arial" w:hAnsi="Arial"/>
                <w:sz w:val="18"/>
                <w:szCs w:val="18"/>
                <w:color w:val="auto"/>
              </w:rPr>
              <w:t>William C. Erbey</w:t>
            </w:r>
            <w:r>
              <w:rPr>
                <w:rFonts w:ascii="Arial" w:cs="Arial" w:eastAsia="Arial" w:hAnsi="Arial"/>
                <w:sz w:val="29"/>
                <w:szCs w:val="29"/>
                <w:color w:val="auto"/>
                <w:vertAlign w:val="superscript"/>
              </w:rPr>
              <w:t>(4)</w:t>
            </w:r>
          </w:p>
        </w:tc>
        <w:tc>
          <w:tcPr>
            <w:tcW w:w="17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20,154,198</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Ronald M. Faris</w:t>
            </w:r>
            <w:r>
              <w:rPr>
                <w:rFonts w:ascii="Arial" w:cs="Arial" w:eastAsia="Arial" w:hAnsi="Arial"/>
                <w:sz w:val="28"/>
                <w:szCs w:val="28"/>
                <w:color w:val="auto"/>
                <w:vertAlign w:val="superscript"/>
              </w:rPr>
              <w:t>(5)</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1,675,321</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Ronald J. Korn</w:t>
            </w:r>
          </w:p>
        </w:tc>
        <w:tc>
          <w:tcPr>
            <w:tcW w:w="17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23,370</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William H. Lacy</w:t>
            </w:r>
            <w:r>
              <w:rPr>
                <w:rFonts w:ascii="Arial" w:cs="Arial" w:eastAsia="Arial" w:hAnsi="Arial"/>
                <w:sz w:val="28"/>
                <w:szCs w:val="28"/>
                <w:color w:val="auto"/>
                <w:vertAlign w:val="superscript"/>
              </w:rPr>
              <w:t>(6)</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12,579</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Wilbur L. Ross</w:t>
            </w:r>
            <w:r>
              <w:rPr>
                <w:rFonts w:ascii="Arial" w:cs="Arial" w:eastAsia="Arial" w:hAnsi="Arial"/>
                <w:sz w:val="28"/>
                <w:szCs w:val="28"/>
                <w:color w:val="auto"/>
                <w:vertAlign w:val="superscript"/>
              </w:rPr>
              <w:t>(7)</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5,095,942</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Robert A. Salcetti</w:t>
            </w:r>
          </w:p>
        </w:tc>
        <w:tc>
          <w:tcPr>
            <w:tcW w:w="17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6,747</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Barry N. Wish</w:t>
            </w:r>
            <w:r>
              <w:rPr>
                <w:rFonts w:ascii="Arial" w:cs="Arial" w:eastAsia="Arial" w:hAnsi="Arial"/>
                <w:sz w:val="28"/>
                <w:szCs w:val="28"/>
                <w:color w:val="auto"/>
                <w:vertAlign w:val="superscript"/>
              </w:rPr>
              <w:t>(8)</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4,710,616</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 xml:space="preserve">John V. Britti </w:t>
            </w:r>
            <w:r>
              <w:rPr>
                <w:rFonts w:ascii="Arial" w:cs="Arial" w:eastAsia="Arial" w:hAnsi="Arial"/>
                <w:sz w:val="28"/>
                <w:szCs w:val="28"/>
                <w:color w:val="auto"/>
                <w:vertAlign w:val="superscript"/>
              </w:rPr>
              <w:t>(9)</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30,715</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Paul A. Koches</w:t>
            </w:r>
            <w:r>
              <w:rPr>
                <w:rFonts w:ascii="Arial" w:cs="Arial" w:eastAsia="Arial" w:hAnsi="Arial"/>
                <w:sz w:val="28"/>
                <w:szCs w:val="28"/>
                <w:color w:val="auto"/>
                <w:vertAlign w:val="superscript"/>
              </w:rPr>
              <w:t>(10)</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324,605</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John Van Vlack</w:t>
            </w:r>
            <w:r>
              <w:rPr>
                <w:rFonts w:ascii="Arial" w:cs="Arial" w:eastAsia="Arial" w:hAnsi="Arial"/>
                <w:sz w:val="28"/>
                <w:szCs w:val="28"/>
                <w:color w:val="auto"/>
                <w:vertAlign w:val="superscript"/>
              </w:rPr>
              <w:t>(11)</w:t>
            </w:r>
          </w:p>
        </w:tc>
        <w:tc>
          <w:tcPr>
            <w:tcW w:w="176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1,251</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7"/>
                <w:szCs w:val="17"/>
                <w:color w:val="auto"/>
              </w:rPr>
              <w:t>Kenneth D. Najour</w:t>
            </w:r>
            <w:r>
              <w:rPr>
                <w:rFonts w:ascii="Arial" w:cs="Arial" w:eastAsia="Arial" w:hAnsi="Arial"/>
                <w:sz w:val="28"/>
                <w:szCs w:val="28"/>
                <w:color w:val="auto"/>
                <w:vertAlign w:val="superscript"/>
              </w:rPr>
              <w:t>(12)</w:t>
            </w:r>
          </w:p>
        </w:tc>
        <w:tc>
          <w:tcPr>
            <w:tcW w:w="17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All Current Directors and Executive Officers as a Group (9 persons)</w:t>
            </w:r>
          </w:p>
        </w:tc>
        <w:tc>
          <w:tcPr>
            <w:tcW w:w="17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32,013,053</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453"/>
        </w:trPr>
        <w:tc>
          <w:tcPr>
            <w:tcW w:w="5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15</w:t>
            </w:r>
          </w:p>
        </w:tc>
        <w:tc>
          <w:tcPr>
            <w:tcW w:w="2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7" w:name="page18"/>
    <w:bookmarkEnd w:id="17"/>
    <w:p>
      <w:pPr>
        <w:ind w:left="332" w:hanging="332"/>
        <w:spacing w:after="0"/>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332" w:hanging="332"/>
        <w:spacing w:after="0" w:line="232" w:lineRule="auto"/>
        <w:tabs>
          <w:tab w:leader="none" w:pos="332"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has the right to acquire within 60 days of March 21, 2013 such common stock and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or Directors.</w:t>
      </w:r>
    </w:p>
    <w:p>
      <w:pPr>
        <w:spacing w:after="0" w:line="202" w:lineRule="exact"/>
        <w:rPr>
          <w:rFonts w:ascii="Arial" w:cs="Arial" w:eastAsia="Arial" w:hAnsi="Arial"/>
          <w:sz w:val="28"/>
          <w:szCs w:val="28"/>
          <w:color w:val="auto"/>
          <w:vertAlign w:val="superscript"/>
        </w:rPr>
      </w:pPr>
    </w:p>
    <w:p>
      <w:pPr>
        <w:ind w:left="332" w:right="20" w:hanging="332"/>
        <w:spacing w:after="0" w:line="209"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Based on information contained in a Schedule 13G/A filed with the Securities and Exchange Commission on February 13, 2013, reporting securities owned as of December 31, 2012, by FMR LLC. Includes 763,050 shares as to which sole voting power and 9,120,891 shares as to which sole dispositive power is claimed.</w:t>
      </w:r>
    </w:p>
    <w:p>
      <w:pPr>
        <w:spacing w:after="0" w:line="203" w:lineRule="exact"/>
        <w:rPr>
          <w:rFonts w:ascii="Arial" w:cs="Arial" w:eastAsia="Arial" w:hAnsi="Arial"/>
          <w:sz w:val="30"/>
          <w:szCs w:val="30"/>
          <w:color w:val="auto"/>
          <w:vertAlign w:val="superscript"/>
        </w:rPr>
      </w:pPr>
    </w:p>
    <w:p>
      <w:pPr>
        <w:ind w:left="332" w:right="100" w:hanging="332"/>
        <w:spacing w:after="0" w:line="209"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Based on information contained in a Schedule 13G/A filed with the Securities and Exchange Commission on February 14, 2013, reporting securities owned as of December 31, 2012, by Wellington Management Company, LLP. Includes 8,337,197 shares as to which shared voting power and 8,733,642 shares as to which shared dispositive power is claimed.</w:t>
      </w:r>
    </w:p>
    <w:p>
      <w:pPr>
        <w:spacing w:after="0" w:line="203" w:lineRule="exact"/>
        <w:rPr>
          <w:rFonts w:ascii="Arial" w:cs="Arial" w:eastAsia="Arial" w:hAnsi="Arial"/>
          <w:sz w:val="30"/>
          <w:szCs w:val="30"/>
          <w:color w:val="auto"/>
          <w:vertAlign w:val="superscript"/>
        </w:rPr>
      </w:pPr>
    </w:p>
    <w:p>
      <w:pPr>
        <w:ind w:left="332" w:right="20" w:hanging="332"/>
        <w:spacing w:after="0" w:line="242" w:lineRule="auto"/>
        <w:tabs>
          <w:tab w:leader="none" w:pos="332"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Includes 9,869,039 shares held by FF Plaza Limited Partnership, a Delaware partnership of which the partners are William C. Erbey, his spouse, E. Elaine Erbey, and Delaware Permanent Corporation, a corporation wholly-owned by William C. Erbey. Mr. and Mrs. William C. Erbey share voting and dispositive power with respect to the shares owned by FF Plaza Limited Partnership. Also includes 5,409,704 shares held by Erbey Holding Corporation, a corporation wholly-owned by William C. Erbey. Also includes 2,440,000 shares held by Caritas Partners LLC, a Delaware limited liability company with Mr. William C. Erbey serving as its sole member. Also includes 51,278 shares jointly held by Mr. and Mrs. William C. Erbey. Also includes options to acquire 2,384,177 shares which are exercisable on or within sixty (60) days after March 21, 2013.</w:t>
      </w:r>
    </w:p>
    <w:p>
      <w:pPr>
        <w:spacing w:after="0" w:line="87" w:lineRule="exact"/>
        <w:rPr>
          <w:rFonts w:ascii="Arial" w:cs="Arial" w:eastAsia="Arial" w:hAnsi="Arial"/>
          <w:sz w:val="28"/>
          <w:szCs w:val="28"/>
          <w:color w:val="auto"/>
          <w:vertAlign w:val="superscript"/>
        </w:rPr>
      </w:pPr>
    </w:p>
    <w:p>
      <w:pPr>
        <w:ind w:left="332" w:hanging="332"/>
        <w:spacing w:after="0"/>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1,334,616 shares which are exercisable on or within sixty (60) days after March 21, 2013.</w:t>
      </w:r>
    </w:p>
    <w:p>
      <w:pPr>
        <w:spacing w:after="0" w:line="163" w:lineRule="exact"/>
        <w:rPr>
          <w:rFonts w:ascii="Arial" w:cs="Arial" w:eastAsia="Arial" w:hAnsi="Arial"/>
          <w:sz w:val="30"/>
          <w:szCs w:val="30"/>
          <w:color w:val="auto"/>
          <w:vertAlign w:val="superscript"/>
        </w:rPr>
      </w:pPr>
    </w:p>
    <w:p>
      <w:pPr>
        <w:ind w:left="332" w:hanging="332"/>
        <w:spacing w:after="0" w:line="186"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Does not include equity compensation deferred pursuant to the terms of the Deferred Compensation Plan.</w:t>
      </w:r>
    </w:p>
    <w:p>
      <w:pPr>
        <w:spacing w:after="0" w:line="203" w:lineRule="exact"/>
        <w:rPr>
          <w:rFonts w:ascii="Arial" w:cs="Arial" w:eastAsia="Arial" w:hAnsi="Arial"/>
          <w:sz w:val="30"/>
          <w:szCs w:val="30"/>
          <w:color w:val="auto"/>
          <w:vertAlign w:val="superscript"/>
        </w:rPr>
      </w:pPr>
    </w:p>
    <w:p>
      <w:pPr>
        <w:ind w:left="332" w:right="160" w:hanging="332"/>
        <w:spacing w:after="0" w:line="194"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Represents 162,000 shares of Series A Perpetual Convertible Preferred Stock convertible into 5,095,942 shares of common stock with fractional shares being cashed out.</w:t>
      </w:r>
    </w:p>
    <w:p>
      <w:pPr>
        <w:spacing w:after="0" w:line="202" w:lineRule="exact"/>
        <w:rPr>
          <w:rFonts w:ascii="Arial" w:cs="Arial" w:eastAsia="Arial" w:hAnsi="Arial"/>
          <w:sz w:val="30"/>
          <w:szCs w:val="30"/>
          <w:color w:val="auto"/>
          <w:vertAlign w:val="superscript"/>
        </w:rPr>
      </w:pPr>
    </w:p>
    <w:p>
      <w:pPr>
        <w:ind w:left="332" w:right="40"/>
        <w:spacing w:after="0" w:line="259" w:lineRule="auto"/>
        <w:rPr>
          <w:rFonts w:ascii="Arial" w:cs="Arial" w:eastAsia="Arial" w:hAnsi="Arial"/>
          <w:sz w:val="30"/>
          <w:szCs w:val="30"/>
          <w:color w:val="auto"/>
          <w:vertAlign w:val="superscript"/>
        </w:rPr>
      </w:pPr>
      <w:r>
        <w:rPr>
          <w:rFonts w:ascii="Arial" w:cs="Arial" w:eastAsia="Arial" w:hAnsi="Arial"/>
          <w:sz w:val="18"/>
          <w:szCs w:val="18"/>
          <w:color w:val="auto"/>
        </w:rPr>
        <w:t>WLR Recovery Fund III, L.P. (“Fund III”) owns 12,923 shares of Preferred Stock, WLR Recovery Fund IV, L.P. (“Fund IV”) owns 108,507 shares of Preferred Stock, WLR AHM Co-Invest, L.P. (the “AHM Co-Invest Fund”) owns 32,550 shares of Preferred Stock, WLR/GS Master Co-Investment, L.P. (the “GS Co-Invest Fund”) owns 7,532 shares of Preferred Stock and WLR IV Parallel ESC, L.P. (the “Parallel Fund”) owns 488 shares of Preferred Stock.</w:t>
      </w:r>
    </w:p>
    <w:p>
      <w:pPr>
        <w:spacing w:after="0" w:line="186" w:lineRule="exact"/>
        <w:rPr>
          <w:rFonts w:ascii="Arial" w:cs="Arial" w:eastAsia="Arial" w:hAnsi="Arial"/>
          <w:sz w:val="30"/>
          <w:szCs w:val="30"/>
          <w:color w:val="auto"/>
          <w:vertAlign w:val="superscript"/>
        </w:rPr>
      </w:pPr>
    </w:p>
    <w:p>
      <w:pPr>
        <w:ind w:left="332" w:right="60"/>
        <w:spacing w:after="0" w:line="255" w:lineRule="auto"/>
        <w:rPr>
          <w:rFonts w:ascii="Arial" w:cs="Arial" w:eastAsia="Arial" w:hAnsi="Arial"/>
          <w:sz w:val="30"/>
          <w:szCs w:val="30"/>
          <w:color w:val="auto"/>
          <w:vertAlign w:val="superscript"/>
        </w:rPr>
      </w:pPr>
      <w:r>
        <w:rPr>
          <w:rFonts w:ascii="Arial" w:cs="Arial" w:eastAsia="Arial" w:hAnsi="Arial"/>
          <w:sz w:val="18"/>
          <w:szCs w:val="18"/>
          <w:color w:val="auto"/>
        </w:rPr>
        <w:t>Wilbur L. Ross, Jr., the chairman and chief executive officer of WL Ross &amp; Co. LLC, is the managing member of El Vedado, LLC and the chairman and chief executive officer of Invesco Private Capital, Inc. El Vedado, LLC is the general partner of WL Ross Group, L.P., which in turn is the managing member of WLR Recovery Associates IV LLC, WLR Recovery Associates III LLC and WLR Master Co-Investment GP, LLC. WLR Recovery Associates III LLC is the general partner of Fund III, WLR Recovery Associates IV LLC is the general partner of each of Fund IV and the AHM Co-Invest Fund, and WLR Master Co-Investment GP, LLC is the general partner of the GS Co-Invest Fund. WL Ross &amp; Co. LLC serves as the investment manager to Fund III, Fund IV and the GS Co-Invest Fund.</w:t>
      </w:r>
    </w:p>
    <w:p>
      <w:pPr>
        <w:spacing w:after="0" w:line="193" w:lineRule="exact"/>
        <w:rPr>
          <w:rFonts w:ascii="Arial" w:cs="Arial" w:eastAsia="Arial" w:hAnsi="Arial"/>
          <w:sz w:val="30"/>
          <w:szCs w:val="30"/>
          <w:color w:val="auto"/>
          <w:vertAlign w:val="superscript"/>
        </w:rPr>
      </w:pPr>
    </w:p>
    <w:p>
      <w:pPr>
        <w:ind w:left="332" w:right="60"/>
        <w:spacing w:after="0" w:line="276" w:lineRule="auto"/>
        <w:rPr>
          <w:rFonts w:ascii="Arial" w:cs="Arial" w:eastAsia="Arial" w:hAnsi="Arial"/>
          <w:sz w:val="30"/>
          <w:szCs w:val="30"/>
          <w:color w:val="auto"/>
          <w:vertAlign w:val="superscript"/>
        </w:rPr>
      </w:pPr>
      <w:r>
        <w:rPr>
          <w:rFonts w:ascii="Arial" w:cs="Arial" w:eastAsia="Arial" w:hAnsi="Arial"/>
          <w:sz w:val="17"/>
          <w:szCs w:val="17"/>
          <w:color w:val="auto"/>
        </w:rPr>
        <w:t>Invesco Private Capital, Inc. is the managing member of INVESCO WLR IV Associates LLC, which in turn is the general partner of the Parallel Fund. INVESCO WLR IV Associates LLC and WLR Recovery Associates IV LLC have entered into a parallel investment agreement pursuant to which WLR Recovery Associates IV LLC has been appointed as representative and attorney-in-fact of the Parallel Fund to, among other things, exercise all rights, powers and privileges with respect to the Common Stock and the Preferred Stock owned by the Parallel Fund. Mr. Ross expressly disclaims beneficial ownership of all of these securities, except to the extent of his pecuniary interest therein.</w:t>
      </w:r>
    </w:p>
    <w:p>
      <w:pPr>
        <w:spacing w:after="0" w:line="17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72"/>
          </w:cols>
          <w:pgMar w:left="248" w:top="665" w:right="279" w:bottom="1440" w:gutter="0" w:footer="0" w:header="0"/>
        </w:sectPr>
      </w:pPr>
    </w:p>
    <w:bookmarkStart w:id="18" w:name="page19"/>
    <w:bookmarkEnd w:id="18"/>
    <w:p>
      <w:pPr>
        <w:ind w:left="340" w:right="520" w:hanging="332"/>
        <w:spacing w:after="0" w:line="207"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4,463,621 shares held by Wishco, Inc., a corporation controlled by Barry N. Wish pursuant to his ownership of 93% of the common stock thereof, and 37,000 shares held by the Barry Wish Family Foundation, Inc., a charitable foundation of which Mr. Wish is a Director.</w:t>
      </w:r>
    </w:p>
    <w:p>
      <w:pPr>
        <w:ind w:left="340" w:hanging="332"/>
        <w:spacing w:after="0" w:line="206"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25,000 shares which are exercisable on or within sixty (60) days after March 21, 2013.</w:t>
      </w:r>
    </w:p>
    <w:p>
      <w:pPr>
        <w:spacing w:after="0" w:line="164" w:lineRule="exact"/>
        <w:rPr>
          <w:rFonts w:ascii="Arial" w:cs="Arial" w:eastAsia="Arial" w:hAnsi="Arial"/>
          <w:sz w:val="30"/>
          <w:szCs w:val="30"/>
          <w:color w:val="auto"/>
          <w:vertAlign w:val="superscript"/>
        </w:rPr>
      </w:pPr>
    </w:p>
    <w:p>
      <w:pPr>
        <w:ind w:left="340" w:hanging="332"/>
        <w:spacing w:after="0" w:line="190"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322,500 shares which are exercisable on or within sixty (60) days after March 21, 2013.</w:t>
      </w:r>
    </w:p>
    <w:p>
      <w:pPr>
        <w:spacing w:after="0" w:line="201" w:lineRule="exact"/>
        <w:rPr>
          <w:rFonts w:ascii="Arial" w:cs="Arial" w:eastAsia="Arial" w:hAnsi="Arial"/>
          <w:sz w:val="28"/>
          <w:szCs w:val="28"/>
          <w:color w:val="auto"/>
          <w:vertAlign w:val="superscript"/>
        </w:rPr>
      </w:pPr>
    </w:p>
    <w:p>
      <w:pPr>
        <w:ind w:left="340" w:right="120" w:hanging="332"/>
        <w:spacing w:after="0" w:line="207"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1,251 shares which are exercisable on or within sixty (60) days after March 21, 2013. Mr. Van Vlack was among the “named executive officers” for 2012 but is no longer an employee.</w:t>
      </w:r>
    </w:p>
    <w:p>
      <w:pPr>
        <w:spacing w:after="0" w:line="110"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Mr. Najour was among the “named executive officers” for 2012 but is no longer an employee.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Series A Preferred Stock and Series B Preferred Stock of our subsidiary, Ocwen Mortgage Servicing, Inc., as of the record date by:</w:t>
      </w:r>
    </w:p>
    <w:p>
      <w:pPr>
        <w:spacing w:after="0" w:line="3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We have based our calculation of the percentage of beneficial ownership on 100 shares of Ocwen Mortgage Servicing, Inc. Series A Preferred Stock outstanding and 100 shares of Ocwen Mortgage Servicing, Inc. Series B Preferred Stock outstanding as of March 21, 2013,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26498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498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Beneficially Owned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400" w:type="dxa"/>
            <w:vAlign w:val="bottom"/>
            <w:tcBorders>
              <w:top w:val="single" w:sz="8" w:color="auto"/>
              <w:right w:val="single" w:sz="8" w:color="auto"/>
            </w:tcBorders>
          </w:tcPr>
          <w:p>
            <w:pPr>
              <w:spacing w:after="0"/>
              <w:rPr>
                <w:sz w:val="17"/>
                <w:szCs w:val="17"/>
                <w:color w:val="auto"/>
              </w:rPr>
            </w:pPr>
          </w:p>
        </w:tc>
        <w:tc>
          <w:tcPr>
            <w:tcW w:w="2840" w:type="dxa"/>
            <w:vAlign w:val="bottom"/>
            <w:tcBorders>
              <w:top w:val="single" w:sz="8" w:color="auto"/>
              <w:right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5"/>
              </w:rPr>
              <w:t>Amount and Nature of Beneficial</w:t>
            </w:r>
          </w:p>
        </w:tc>
        <w:tc>
          <w:tcPr>
            <w:tcW w:w="2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 and Address of Beneficial Owner:</w:t>
            </w:r>
          </w:p>
        </w:tc>
        <w:tc>
          <w:tcPr>
            <w:tcW w:w="17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Title of Class</w:t>
            </w:r>
          </w:p>
        </w:tc>
        <w:tc>
          <w:tcPr>
            <w:tcW w:w="4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Ownership</w:t>
            </w:r>
          </w:p>
        </w:tc>
        <w:tc>
          <w:tcPr>
            <w:tcW w:w="26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C. Erbey</w:t>
            </w:r>
          </w:p>
        </w:tc>
        <w:tc>
          <w:tcPr>
            <w:tcW w:w="17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0"/>
              </w:rPr>
              <w:t>Class A Preferred</w:t>
            </w: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M. Faris</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J. Korn</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H. Lacy</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Wilbur L. Ross</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A. Salcetti</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Barry N. Wish</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V. Britti</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Paul A. Koches</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Van Vlack</w:t>
            </w:r>
          </w:p>
        </w:tc>
        <w:tc>
          <w:tcPr>
            <w:tcW w:w="17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Kenneth D. Najour</w:t>
            </w:r>
          </w:p>
        </w:tc>
        <w:tc>
          <w:tcPr>
            <w:tcW w:w="17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0"/>
              </w:rPr>
              <w:t>Class B Preferred</w:t>
            </w:r>
          </w:p>
        </w:tc>
        <w:tc>
          <w:tcPr>
            <w:tcW w:w="4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5"/>
        </w:trPr>
        <w:tc>
          <w:tcPr>
            <w:tcW w:w="38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6"/>
              </w:rPr>
              <w:t>All Directors and Executive Officers as a Group</w:t>
            </w:r>
          </w:p>
        </w:tc>
        <w:tc>
          <w:tcPr>
            <w:tcW w:w="1780" w:type="dxa"/>
            <w:vAlign w:val="bottom"/>
            <w:vMerge w:val="restart"/>
          </w:tcPr>
          <w:p>
            <w:pPr>
              <w:jc w:val="center"/>
              <w:ind w:left="290"/>
              <w:spacing w:after="0"/>
              <w:rPr>
                <w:sz w:val="20"/>
                <w:szCs w:val="20"/>
                <w:color w:val="auto"/>
              </w:rPr>
            </w:pPr>
            <w:r>
              <w:rPr>
                <w:rFonts w:ascii="Arial" w:cs="Arial" w:eastAsia="Arial" w:hAnsi="Arial"/>
                <w:sz w:val="18"/>
                <w:szCs w:val="18"/>
                <w:color w:val="auto"/>
                <w:w w:val="90"/>
              </w:rPr>
              <w:t>Class A Preferred</w:t>
            </w:r>
          </w:p>
        </w:tc>
        <w:tc>
          <w:tcPr>
            <w:tcW w:w="40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100</w:t>
            </w:r>
          </w:p>
        </w:tc>
        <w:tc>
          <w:tcPr>
            <w:tcW w:w="2600" w:type="dxa"/>
            <w:vAlign w:val="bottom"/>
            <w:vMerge w:val="restart"/>
          </w:tcPr>
          <w:p>
            <w:pPr>
              <w:jc w:val="right"/>
              <w:ind w:right="2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2"/>
        </w:trPr>
        <w:tc>
          <w:tcPr>
            <w:tcW w:w="3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(9 persons)</w:t>
            </w:r>
          </w:p>
        </w:tc>
        <w:tc>
          <w:tcPr>
            <w:tcW w:w="178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right w:val="single" w:sz="8" w:color="auto"/>
            </w:tcBorders>
            <w:vMerge w:val="continue"/>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800" w:type="dxa"/>
            <w:vAlign w:val="bottom"/>
            <w:tcBorders>
              <w:right w:val="single" w:sz="8" w:color="auto"/>
            </w:tcBorders>
          </w:tcPr>
          <w:p>
            <w:pPr>
              <w:ind w:left="140"/>
              <w:spacing w:after="0" w:line="201" w:lineRule="exact"/>
              <w:rPr>
                <w:sz w:val="20"/>
                <w:szCs w:val="20"/>
                <w:color w:val="auto"/>
              </w:rPr>
            </w:pPr>
            <w:r>
              <w:rPr>
                <w:rFonts w:ascii="Arial" w:cs="Arial" w:eastAsia="Arial" w:hAnsi="Arial"/>
                <w:sz w:val="18"/>
                <w:szCs w:val="18"/>
                <w:color w:val="auto"/>
                <w:w w:val="96"/>
              </w:rPr>
              <w:t>All Directors and Executive Officers as a Group</w:t>
            </w:r>
          </w:p>
        </w:tc>
        <w:tc>
          <w:tcPr>
            <w:tcW w:w="1780" w:type="dxa"/>
            <w:vAlign w:val="bottom"/>
            <w:vMerge w:val="restart"/>
          </w:tcPr>
          <w:p>
            <w:pPr>
              <w:jc w:val="center"/>
              <w:ind w:left="290"/>
              <w:spacing w:after="0"/>
              <w:rPr>
                <w:sz w:val="20"/>
                <w:szCs w:val="20"/>
                <w:color w:val="auto"/>
              </w:rPr>
            </w:pPr>
            <w:r>
              <w:rPr>
                <w:rFonts w:ascii="Arial" w:cs="Arial" w:eastAsia="Arial" w:hAnsi="Arial"/>
                <w:sz w:val="18"/>
                <w:szCs w:val="18"/>
                <w:color w:val="auto"/>
                <w:w w:val="90"/>
              </w:rPr>
              <w:t>Class B Preferred</w:t>
            </w:r>
          </w:p>
        </w:tc>
        <w:tc>
          <w:tcPr>
            <w:tcW w:w="40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100</w:t>
            </w:r>
          </w:p>
        </w:tc>
        <w:tc>
          <w:tcPr>
            <w:tcW w:w="2600" w:type="dxa"/>
            <w:vAlign w:val="bottom"/>
            <w:vMerge w:val="restart"/>
          </w:tcPr>
          <w:p>
            <w:pPr>
              <w:jc w:val="right"/>
              <w:ind w:right="2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2"/>
        </w:trPr>
        <w:tc>
          <w:tcPr>
            <w:tcW w:w="3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(9 persons)</w:t>
            </w:r>
          </w:p>
        </w:tc>
        <w:tc>
          <w:tcPr>
            <w:tcW w:w="178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right w:val="single" w:sz="8" w:color="auto"/>
            </w:tcBorders>
            <w:vMerge w:val="continue"/>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3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17</w:t>
            </w:r>
          </w:p>
        </w:tc>
        <w:tc>
          <w:tcPr>
            <w:tcW w:w="2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580" w:type="dxa"/>
            <w:vAlign w:val="bottom"/>
            <w:tcBorders>
              <w:top w:val="single" w:sz="8" w:color="auto"/>
              <w:left w:val="single" w:sz="8" w:color="auto"/>
              <w:right w:val="single" w:sz="8" w:color="auto"/>
            </w:tcBorders>
            <w:shd w:val="clear" w:color="auto" w:fill="F3F3F3"/>
          </w:tcPr>
          <w:p>
            <w:pPr>
              <w:spacing w:after="0"/>
              <w:rPr>
                <w:sz w:val="19"/>
                <w:szCs w:val="19"/>
                <w:color w:val="auto"/>
              </w:rPr>
            </w:pPr>
          </w:p>
        </w:tc>
        <w:tc>
          <w:tcPr>
            <w:tcW w:w="2640" w:type="dxa"/>
            <w:vAlign w:val="bottom"/>
            <w:tcBorders>
              <w:top w:val="single" w:sz="8" w:color="auto"/>
              <w:right w:val="single" w:sz="8" w:color="auto"/>
            </w:tcBorders>
            <w:shd w:val="clear" w:color="auto" w:fill="F3F3F3"/>
          </w:tcPr>
          <w:p>
            <w:pPr>
              <w:spacing w:after="0"/>
              <w:rPr>
                <w:sz w:val="19"/>
                <w:szCs w:val="19"/>
                <w:color w:val="auto"/>
              </w:rPr>
            </w:pPr>
          </w:p>
        </w:tc>
        <w:tc>
          <w:tcPr>
            <w:tcW w:w="2620" w:type="dxa"/>
            <w:vAlign w:val="bottom"/>
            <w:tcBorders>
              <w:top w:val="single" w:sz="8" w:color="auto"/>
              <w:right w:val="single" w:sz="8" w:color="auto"/>
            </w:tcBorders>
            <w:shd w:val="clear" w:color="auto" w:fill="F3F3F3"/>
          </w:tcPr>
          <w:p>
            <w:pPr>
              <w:spacing w:after="0"/>
              <w:rPr>
                <w:sz w:val="19"/>
                <w:szCs w:val="19"/>
                <w:color w:val="auto"/>
              </w:rPr>
            </w:pPr>
          </w:p>
        </w:tc>
        <w:tc>
          <w:tcPr>
            <w:tcW w:w="258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shd w:val="clear" w:color="auto" w:fill="F3F3F3"/>
          </w:tcPr>
          <w:p>
            <w:pPr>
              <w:spacing w:after="0"/>
              <w:rPr>
                <w:sz w:val="18"/>
                <w:szCs w:val="18"/>
                <w:color w:val="auto"/>
              </w:rPr>
            </w:pPr>
          </w:p>
        </w:tc>
        <w:tc>
          <w:tcPr>
            <w:tcW w:w="264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Number of securities to</w:t>
            </w:r>
          </w:p>
        </w:tc>
        <w:tc>
          <w:tcPr>
            <w:tcW w:w="26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5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shd w:val="clear" w:color="auto" w:fill="F3F3F3"/>
          </w:tcPr>
          <w:p>
            <w:pPr>
              <w:spacing w:after="0"/>
              <w:rPr>
                <w:sz w:val="18"/>
                <w:szCs w:val="18"/>
                <w:color w:val="auto"/>
              </w:rPr>
            </w:pPr>
          </w:p>
        </w:tc>
        <w:tc>
          <w:tcPr>
            <w:tcW w:w="264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6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5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shd w:val="clear" w:color="auto" w:fill="F3F3F3"/>
          </w:tcPr>
          <w:p>
            <w:pPr>
              <w:spacing w:after="0"/>
              <w:rPr>
                <w:sz w:val="18"/>
                <w:szCs w:val="18"/>
                <w:color w:val="auto"/>
              </w:rPr>
            </w:pPr>
          </w:p>
        </w:tc>
        <w:tc>
          <w:tcPr>
            <w:tcW w:w="264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26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5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shd w:val="clear" w:color="auto" w:fill="F3F3F3"/>
          </w:tcPr>
          <w:p>
            <w:pPr>
              <w:spacing w:after="0"/>
              <w:rPr>
                <w:sz w:val="18"/>
                <w:szCs w:val="18"/>
                <w:color w:val="auto"/>
              </w:rPr>
            </w:pPr>
          </w:p>
        </w:tc>
        <w:tc>
          <w:tcPr>
            <w:tcW w:w="264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6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5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41"/>
        </w:trPr>
        <w:tc>
          <w:tcPr>
            <w:tcW w:w="3580" w:type="dxa"/>
            <w:vAlign w:val="bottom"/>
            <w:tcBorders>
              <w:left w:val="single" w:sz="8" w:color="auto"/>
              <w:bottom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Plan Category</w:t>
            </w:r>
          </w:p>
        </w:tc>
        <w:tc>
          <w:tcPr>
            <w:tcW w:w="264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t>
            </w:r>
          </w:p>
        </w:tc>
        <w:tc>
          <w:tcPr>
            <w:tcW w:w="262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t>
            </w:r>
          </w:p>
        </w:tc>
        <w:tc>
          <w:tcPr>
            <w:tcW w:w="25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02"/>
        </w:trPr>
        <w:tc>
          <w:tcPr>
            <w:tcW w:w="358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Equity compensation plans</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8,938,179</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$9.93</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8,895,599</w:t>
            </w:r>
          </w:p>
        </w:tc>
        <w:tc>
          <w:tcPr>
            <w:tcW w:w="0" w:type="dxa"/>
            <w:vAlign w:val="bottom"/>
          </w:tcPr>
          <w:p>
            <w:pPr>
              <w:spacing w:after="0"/>
              <w:rPr>
                <w:sz w:val="1"/>
                <w:szCs w:val="1"/>
                <w:color w:val="auto"/>
              </w:rPr>
            </w:pPr>
          </w:p>
        </w:tc>
      </w:tr>
      <w:tr>
        <w:trPr>
          <w:trHeight w:val="122"/>
        </w:trPr>
        <w:tc>
          <w:tcPr>
            <w:tcW w:w="35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Equity compensation plans not</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35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8,938,179</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$9.93</w:t>
            </w:r>
          </w:p>
        </w:tc>
        <w:tc>
          <w:tcPr>
            <w:tcW w:w="25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91"/>
              </w:rPr>
              <w:t>8,895,599</w:t>
            </w:r>
            <w:r>
              <w:rPr>
                <w:rFonts w:ascii="Arial" w:cs="Arial" w:eastAsia="Arial" w:hAnsi="Arial"/>
                <w:sz w:val="28"/>
                <w:szCs w:val="28"/>
                <w:color w:val="auto"/>
                <w:w w:val="91"/>
                <w:vertAlign w:val="superscript"/>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300" w:hanging="332"/>
        <w:spacing w:after="0" w:line="221" w:lineRule="auto"/>
        <w:tabs>
          <w:tab w:leader="none" w:pos="34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2007 Equity Incentive Plan</w:t>
      </w:r>
      <w:r>
        <w:rPr>
          <w:rFonts w:ascii="Arial" w:cs="Arial" w:eastAsia="Arial" w:hAnsi="Arial"/>
          <w:sz w:val="16"/>
          <w:szCs w:val="16"/>
          <w:color w:val="auto"/>
        </w:rPr>
        <w:t>. A total of 20,000,000 shares of common stock of the Company were authorized to be issued pursuant to awards made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restricted stock, performance awards or other stock-based awards. This plan is administered by the Compensation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complied with during the 2012 fiscal year, with the exception that one Form 4 for Mr. Erbey was filed late, reporting a single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reward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believe executive compensation packages should reward performance as measured against established goals.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25" w:lineRule="exact"/>
        <w:rPr>
          <w:sz w:val="20"/>
          <w:szCs w:val="20"/>
          <w:color w:val="auto"/>
        </w:rPr>
      </w:pPr>
    </w:p>
    <w:p>
      <w:pPr>
        <w:ind w:left="660" w:right="34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programs for our Chief Executive Officer, current Chief Financial Officer, former Chief Financial Officer and three (3) other most highly compensated executive officers, including our Executive Chairman;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of the amount for each element of compensation;</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2012 were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40" w:type="dxa"/>
            <w:vAlign w:val="bottom"/>
            <w:tcBorders>
              <w:top w:val="single" w:sz="8" w:color="auto"/>
              <w:left w:val="single" w:sz="8" w:color="auto"/>
              <w:bottom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Name</w:t>
            </w:r>
          </w:p>
        </w:tc>
        <w:tc>
          <w:tcPr>
            <w:tcW w:w="8980" w:type="dxa"/>
            <w:vAlign w:val="bottom"/>
            <w:tcBorders>
              <w:top w:val="single" w:sz="8" w:color="auto"/>
              <w:bottom w:val="single" w:sz="8" w:color="auto"/>
              <w:right w:val="single" w:sz="8" w:color="auto"/>
            </w:tcBorders>
            <w:shd w:val="clear" w:color="auto" w:fill="F3F3F3"/>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C. Erbey</w:t>
            </w:r>
          </w:p>
        </w:tc>
        <w:tc>
          <w:tcPr>
            <w:tcW w:w="8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Chairman</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M. Faris</w:t>
            </w:r>
          </w:p>
        </w:tc>
        <w:tc>
          <w:tcPr>
            <w:tcW w:w="8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Paul A. Koches</w:t>
            </w:r>
          </w:p>
        </w:tc>
        <w:tc>
          <w:tcPr>
            <w:tcW w:w="8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V. Britti</w:t>
            </w:r>
          </w:p>
        </w:tc>
        <w:tc>
          <w:tcPr>
            <w:tcW w:w="8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P. Van Vlack</w:t>
            </w:r>
          </w:p>
        </w:tc>
        <w:tc>
          <w:tcPr>
            <w:tcW w:w="8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Former Executive Vice President, Chief Financial Officer and Chief Accounting Officer</w:t>
            </w:r>
          </w:p>
        </w:tc>
      </w:tr>
      <w:tr>
        <w:trPr>
          <w:trHeight w:val="217"/>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Kenneth D. Najour</w:t>
            </w:r>
          </w:p>
        </w:tc>
        <w:tc>
          <w:tcPr>
            <w:tcW w:w="8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Former Vice President and Chief Accounting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executives including the Executive Chairman and President and Chief Executive Officer are involved in the design of executive compensation programs proposed for approval by the Compensation Committee. These executives annually review the performance of each executive officer (other than the Executive Chairman and President and Chief Executive Officer whose performances are reviewed by the Compensation Committee) and present their conclusions and recommendations regarding incentive award amounts to the Compensation Committee for its consideration and approval. The Compensation Committee can exercise its discretion in accepting, rejecting and/or modifying any such executive compensation recommendations; however, executive compensation matters for officers other than the Executive Chairman and President and Chief Executive Officer are generally delegated to the Executive Chairman for development and execution.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2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Pursuant to its authority to retain independent counsel or other advisers as it deems necessary, the Compensation Committee entered into an advisory agreement with Exequity, LLC, an executive compensation consulting firm, in February 2010. The consulting firm provides the following services to the Compensation Committee as needed from time to time: (i) review of Director pay proposals and program designs, (ii) competitive assessments or benchmarking analysis of executive compensation, (iii) updates on market trends and regulatory considerations impacting compensation and benefit programs, (iv) assistance with preparation of executive pay proposals and (v) responses to various other requests from the Compensation Committee. The Compensation Committee utilized the services of Exequity, LLC in 2012 to review compensation for all management and non-management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2012, we formed a new subsidiary, Ocwen Mortgage Servicing, Inc. (“OMS”), in the United States Virgin Islands (USVI) as part of an initiative to consolidate our global servicing assets and operations under a single entity and to cost-effectively expand our United States-based servicing activities. During 2012, each of Messrs. Erbey and Najour served as executive officers of OMS. In addition, during 2012, each of Messrs. Erbey, Faris, Koches and Britti served as executive officers of our wholly-owned subsidiary, Ocwen Loan Servicing, LLC. The discussion that follows includes our executive officers compensation at each of OLS and OMS, as applicable.</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for our executive officers are established based on individual qualifications and job responsibilities while taking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levels at similarly situated companies for similar positions.</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Executive Chairman and President and Chief Executive Officer, the base salaries for all other executive officers are established and reviewed by the Executive Chairman. On September 1, 2012, Mr. Erbey and Mr. Faris received base salary increases as a result of the recommendations of Exequity, LLC. Mr. Erbey’s base salary was increased from $500,000 to $725,000, and Mr. Faris’ base salary was increased from $450,000 to $540,000. Messrs. Koches and Britti did not receive base salary increases in 2012.</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Annual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Ocwen’s primary incentive compensation plan for executives is the 2007 Equity Incentive Plan which was approved by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Pursuant to the plan, a participant can earn cash, restricted stock and stock option awards as determined by the Compensation Committee. Awards under the plan for 2012 were in the form of cash. In determining the composition of the 2012 awards to executives, the Compensation Committee considered the holdings of current executives, the effect of diluting existing investors and executive preference. The plan provides the Compensation Committee and our management with the authority to establish incentive award guidelines which are further discussed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right="20"/>
        <w:spacing w:after="0" w:line="255" w:lineRule="auto"/>
        <w:rPr>
          <w:sz w:val="20"/>
          <w:szCs w:val="20"/>
          <w:color w:val="auto"/>
        </w:rPr>
      </w:pPr>
      <w:r>
        <w:rPr>
          <w:rFonts w:ascii="Arial" w:cs="Arial" w:eastAsia="Arial" w:hAnsi="Arial"/>
          <w:sz w:val="18"/>
          <w:szCs w:val="18"/>
          <w:color w:val="auto"/>
        </w:rPr>
        <w:t>Each executive officer has a targeted annual incentive award that is expressed as a percentage of total target compensation. At the executive level in 2012, 20% to 70% of total target compensation was payable only upon achievement of certain minimum Company and individual performance levels. The appropriate targeted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2012 and each executive officer’s actual total compensation that was allocated to each of base salary and incentive compensation in 2012:</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440" w:type="dxa"/>
            <w:vAlign w:val="bottom"/>
            <w:tcBorders>
              <w:top w:val="single" w:sz="8" w:color="auto"/>
              <w:left w:val="single" w:sz="8" w:color="auto"/>
              <w:right w:val="single" w:sz="8" w:color="auto"/>
            </w:tcBorders>
            <w:shd w:val="clear" w:color="auto" w:fill="F3F3F3"/>
          </w:tcPr>
          <w:p>
            <w:pPr>
              <w:spacing w:after="0"/>
              <w:rPr>
                <w:sz w:val="19"/>
                <w:szCs w:val="19"/>
                <w:color w:val="auto"/>
              </w:rPr>
            </w:pPr>
          </w:p>
        </w:tc>
        <w:tc>
          <w:tcPr>
            <w:tcW w:w="2180" w:type="dxa"/>
            <w:vAlign w:val="bottom"/>
            <w:tcBorders>
              <w:top w:val="single" w:sz="8" w:color="auto"/>
              <w:right w:val="single" w:sz="8" w:color="auto"/>
            </w:tcBorders>
            <w:shd w:val="clear" w:color="auto" w:fill="F3F3F3"/>
          </w:tcPr>
          <w:p>
            <w:pPr>
              <w:spacing w:after="0"/>
              <w:rPr>
                <w:sz w:val="19"/>
                <w:szCs w:val="19"/>
                <w:color w:val="auto"/>
              </w:rPr>
            </w:pPr>
          </w:p>
        </w:tc>
        <w:tc>
          <w:tcPr>
            <w:tcW w:w="226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2280" w:type="dxa"/>
            <w:vAlign w:val="bottom"/>
            <w:tcBorders>
              <w:top w:val="single" w:sz="8" w:color="auto"/>
              <w:right w:val="single" w:sz="8" w:color="auto"/>
            </w:tcBorders>
            <w:shd w:val="clear" w:color="auto" w:fill="F3F3F3"/>
          </w:tcPr>
          <w:p>
            <w:pPr>
              <w:spacing w:after="0"/>
              <w:rPr>
                <w:sz w:val="19"/>
                <w:szCs w:val="19"/>
                <w:color w:val="auto"/>
              </w:rPr>
            </w:pPr>
          </w:p>
        </w:tc>
        <w:tc>
          <w:tcPr>
            <w:tcW w:w="226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440" w:type="dxa"/>
            <w:vAlign w:val="bottom"/>
            <w:tcBorders>
              <w:left w:val="single" w:sz="8" w:color="auto"/>
              <w:right w:val="single" w:sz="8" w:color="auto"/>
            </w:tcBorders>
            <w:shd w:val="clear" w:color="auto" w:fill="F3F3F3"/>
          </w:tcPr>
          <w:p>
            <w:pPr>
              <w:spacing w:after="0"/>
              <w:rPr>
                <w:sz w:val="18"/>
                <w:szCs w:val="18"/>
                <w:color w:val="auto"/>
              </w:rPr>
            </w:pPr>
          </w:p>
        </w:tc>
        <w:tc>
          <w:tcPr>
            <w:tcW w:w="21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22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Compensation % of</w:t>
            </w:r>
          </w:p>
        </w:tc>
        <w:tc>
          <w:tcPr>
            <w:tcW w:w="22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2"/>
              </w:rPr>
              <w:t>Base Salary % of</w:t>
            </w:r>
          </w:p>
        </w:tc>
        <w:tc>
          <w:tcPr>
            <w:tcW w:w="22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Compensation % of</w:t>
            </w:r>
          </w:p>
        </w:tc>
      </w:tr>
      <w:tr>
        <w:trPr>
          <w:trHeight w:val="216"/>
        </w:trPr>
        <w:tc>
          <w:tcPr>
            <w:tcW w:w="2440" w:type="dxa"/>
            <w:vAlign w:val="bottom"/>
            <w:tcBorders>
              <w:left w:val="single" w:sz="8" w:color="auto"/>
              <w:right w:val="single" w:sz="8" w:color="auto"/>
            </w:tcBorders>
            <w:shd w:val="clear" w:color="auto" w:fill="F3F3F3"/>
          </w:tcPr>
          <w:p>
            <w:pPr>
              <w:spacing w:after="0"/>
              <w:rPr>
                <w:sz w:val="18"/>
                <w:szCs w:val="18"/>
                <w:color w:val="auto"/>
              </w:rPr>
            </w:pPr>
          </w:p>
        </w:tc>
        <w:tc>
          <w:tcPr>
            <w:tcW w:w="21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Target Total</w:t>
            </w:r>
          </w:p>
        </w:tc>
        <w:tc>
          <w:tcPr>
            <w:tcW w:w="22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22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Actual Total</w:t>
            </w:r>
          </w:p>
        </w:tc>
        <w:tc>
          <w:tcPr>
            <w:tcW w:w="22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Actual Total</w:t>
            </w:r>
          </w:p>
        </w:tc>
      </w:tr>
      <w:tr>
        <w:trPr>
          <w:trHeight w:val="216"/>
        </w:trPr>
        <w:tc>
          <w:tcPr>
            <w:tcW w:w="2440" w:type="dxa"/>
            <w:vAlign w:val="bottom"/>
            <w:tcBorders>
              <w:left w:val="single" w:sz="8" w:color="auto"/>
              <w:right w:val="single" w:sz="8" w:color="auto"/>
            </w:tcBorders>
            <w:shd w:val="clear" w:color="auto" w:fill="F3F3F3"/>
          </w:tcPr>
          <w:p>
            <w:pPr>
              <w:spacing w:after="0"/>
              <w:rPr>
                <w:sz w:val="18"/>
                <w:szCs w:val="18"/>
                <w:color w:val="auto"/>
              </w:rPr>
            </w:pPr>
          </w:p>
        </w:tc>
        <w:tc>
          <w:tcPr>
            <w:tcW w:w="21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Compensation in</w:t>
            </w:r>
          </w:p>
        </w:tc>
        <w:tc>
          <w:tcPr>
            <w:tcW w:w="22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Compensation in</w:t>
            </w:r>
          </w:p>
        </w:tc>
        <w:tc>
          <w:tcPr>
            <w:tcW w:w="228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22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Compensation in</w:t>
            </w:r>
          </w:p>
        </w:tc>
      </w:tr>
      <w:tr>
        <w:trPr>
          <w:trHeight w:val="241"/>
        </w:trPr>
        <w:tc>
          <w:tcPr>
            <w:tcW w:w="2440" w:type="dxa"/>
            <w:vAlign w:val="bottom"/>
            <w:tcBorders>
              <w:left w:val="single" w:sz="8" w:color="auto"/>
              <w:bottom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Name</w:t>
            </w:r>
          </w:p>
        </w:tc>
        <w:tc>
          <w:tcPr>
            <w:tcW w:w="21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2012</w:t>
            </w:r>
          </w:p>
        </w:tc>
        <w:tc>
          <w:tcPr>
            <w:tcW w:w="22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2012</w:t>
            </w:r>
          </w:p>
        </w:tc>
        <w:tc>
          <w:tcPr>
            <w:tcW w:w="22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2012</w:t>
            </w:r>
          </w:p>
        </w:tc>
        <w:tc>
          <w:tcPr>
            <w:tcW w:w="22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57"/>
        </w:trPr>
        <w:tc>
          <w:tcPr>
            <w:tcW w:w="2440" w:type="dxa"/>
            <w:vAlign w:val="bottom"/>
            <w:tcBorders>
              <w:left w:val="single" w:sz="8" w:color="auto"/>
              <w:bottom w:val="single" w:sz="8" w:color="auto"/>
              <w:right w:val="single" w:sz="8" w:color="auto"/>
            </w:tcBorders>
          </w:tcPr>
          <w:p>
            <w:pPr>
              <w:ind w:left="140"/>
              <w:spacing w:after="0" w:line="256" w:lineRule="exact"/>
              <w:rPr>
                <w:sz w:val="20"/>
                <w:szCs w:val="20"/>
                <w:color w:val="auto"/>
              </w:rPr>
            </w:pPr>
            <w:r>
              <w:rPr>
                <w:rFonts w:ascii="Arial" w:cs="Arial" w:eastAsia="Arial" w:hAnsi="Arial"/>
                <w:sz w:val="18"/>
                <w:szCs w:val="18"/>
                <w:color w:val="auto"/>
              </w:rPr>
              <w:t xml:space="preserve">William C. Erbey </w:t>
            </w:r>
            <w:r>
              <w:rPr>
                <w:rFonts w:ascii="Arial" w:cs="Arial" w:eastAsia="Arial" w:hAnsi="Arial"/>
                <w:sz w:val="29"/>
                <w:szCs w:val="29"/>
                <w:color w:val="auto"/>
                <w:vertAlign w:val="superscript"/>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39%</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61%</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M. Faris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32%</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68%</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Paul A. Koches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55%</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36%</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64%</w:t>
            </w:r>
          </w:p>
        </w:tc>
      </w:tr>
      <w:tr>
        <w:trPr>
          <w:trHeight w:val="21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V. Britti</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46%</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54%</w:t>
            </w:r>
          </w:p>
        </w:tc>
      </w:tr>
      <w:tr>
        <w:trPr>
          <w:trHeight w:val="250"/>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P. Van Vlack</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80" w:type="dxa"/>
            <w:vAlign w:val="bottom"/>
            <w:tcBorders>
              <w:bottom w:val="single" w:sz="8" w:color="auto"/>
              <w:right w:val="single" w:sz="8" w:color="auto"/>
            </w:tcBorders>
          </w:tcPr>
          <w:p>
            <w:pPr>
              <w:jc w:val="right"/>
              <w:ind w:right="690"/>
              <w:spacing w:after="0" w:line="250" w:lineRule="exact"/>
              <w:rPr>
                <w:sz w:val="20"/>
                <w:szCs w:val="20"/>
                <w:color w:val="auto"/>
              </w:rPr>
            </w:pPr>
            <w:r>
              <w:rPr>
                <w:rFonts w:ascii="Arial" w:cs="Arial" w:eastAsia="Arial" w:hAnsi="Arial"/>
                <w:sz w:val="17"/>
                <w:szCs w:val="17"/>
                <w:color w:val="auto"/>
              </w:rPr>
              <w:t xml:space="preserve">100% </w:t>
            </w:r>
            <w:r>
              <w:rPr>
                <w:rFonts w:ascii="Arial" w:cs="Arial" w:eastAsia="Arial" w:hAnsi="Arial"/>
                <w:sz w:val="28"/>
                <w:szCs w:val="28"/>
                <w:color w:val="auto"/>
                <w:vertAlign w:val="superscript"/>
              </w:rPr>
              <w:t>(2)</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57"/>
        </w:trPr>
        <w:tc>
          <w:tcPr>
            <w:tcW w:w="2440" w:type="dxa"/>
            <w:vAlign w:val="bottom"/>
            <w:tcBorders>
              <w:left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17"/>
                <w:szCs w:val="17"/>
                <w:color w:val="auto"/>
              </w:rPr>
              <w:t xml:space="preserve">Kenneth D. Najour </w:t>
            </w:r>
            <w:r>
              <w:rPr>
                <w:rFonts w:ascii="Arial" w:cs="Arial" w:eastAsia="Arial" w:hAnsi="Arial"/>
                <w:sz w:val="28"/>
                <w:szCs w:val="28"/>
                <w:color w:val="auto"/>
                <w:vertAlign w:val="superscript"/>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69%</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29%</w:t>
            </w:r>
          </w:p>
        </w:tc>
      </w:tr>
    </w:tbl>
    <w:p>
      <w:pPr>
        <w:spacing w:after="0" w:line="174"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Note that these percentages do not reflect the OMS Preferred Stock grants disclosed on pages 17 and 30.</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Mr. Van Vlack resigned from the Company on March 5, 2012.</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annual incentive 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 the full Board of Directors and is utilized by the Compensation Committee as a factor to determine the appropriate amount of incentive compensation to be paid to the Executive Chairman, President and Chief Executive Officer and other key executives.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for 2012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63765" cy="2272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2272665"/>
                    </a:xfrm>
                    <a:prstGeom prst="rect">
                      <a:avLst/>
                    </a:prstGeom>
                    <a:noFill/>
                  </pic:spPr>
                </pic:pic>
              </a:graphicData>
            </a:graphic>
          </wp:anchor>
        </w:drawing>
      </w:r>
    </w:p>
    <w:p>
      <w:pPr>
        <w:spacing w:after="0" w:line="22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2012 Corporate Scorecard Elements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Borders>
              <w:top w:val="single" w:sz="8" w:color="auto"/>
              <w:bottom w:val="single" w:sz="8" w:color="auto"/>
              <w:right w:val="single" w:sz="8" w:color="auto"/>
            </w:tcBorders>
            <w:gridSpan w:val="2"/>
            <w:vMerge w:val="restart"/>
            <w:shd w:val="clear" w:color="auto" w:fill="F3F3F3"/>
          </w:tcPr>
          <w:p>
            <w:pPr>
              <w:ind w:left="20"/>
              <w:spacing w:after="0"/>
              <w:rPr>
                <w:sz w:val="20"/>
                <w:szCs w:val="20"/>
                <w:color w:val="auto"/>
              </w:rPr>
            </w:pPr>
            <w:r>
              <w:rPr>
                <w:rFonts w:ascii="Arial" w:cs="Arial" w:eastAsia="Arial" w:hAnsi="Arial"/>
                <w:sz w:val="18"/>
                <w:szCs w:val="18"/>
                <w:b w:val="1"/>
                <w:bCs w:val="1"/>
                <w:color w:val="auto"/>
              </w:rPr>
              <w:t>Corporate Objectives</w:t>
            </w:r>
          </w:p>
        </w:tc>
        <w:tc>
          <w:tcPr>
            <w:tcW w:w="100" w:type="dxa"/>
            <w:vAlign w:val="bottom"/>
            <w:tcBorders>
              <w:top w:val="single" w:sz="8" w:color="auto"/>
              <w:bottom w:val="single" w:sz="8" w:color="auto"/>
            </w:tcBorders>
            <w:shd w:val="clear" w:color="auto" w:fill="F3F3F3"/>
          </w:tcPr>
          <w:p>
            <w:pPr>
              <w:spacing w:after="0"/>
              <w:rPr>
                <w:sz w:val="19"/>
                <w:szCs w:val="19"/>
                <w:color w:val="auto"/>
              </w:rPr>
            </w:pPr>
          </w:p>
        </w:tc>
        <w:tc>
          <w:tcPr>
            <w:tcW w:w="1680" w:type="dxa"/>
            <w:vAlign w:val="bottom"/>
            <w:tcBorders>
              <w:top w:val="single" w:sz="8" w:color="auto"/>
              <w:bottom w:val="single" w:sz="8" w:color="auto"/>
            </w:tcBorders>
            <w:shd w:val="clear" w:color="auto" w:fill="F3F3F3"/>
          </w:tcPr>
          <w:p>
            <w:pPr>
              <w:spacing w:after="0"/>
              <w:rPr>
                <w:sz w:val="19"/>
                <w:szCs w:val="19"/>
                <w:color w:val="auto"/>
              </w:rPr>
            </w:pPr>
          </w:p>
        </w:tc>
        <w:tc>
          <w:tcPr>
            <w:tcW w:w="180" w:type="dxa"/>
            <w:vAlign w:val="bottom"/>
            <w:tcBorders>
              <w:top w:val="single" w:sz="8" w:color="auto"/>
              <w:bottom w:val="single" w:sz="8" w:color="auto"/>
              <w:right w:val="single" w:sz="8" w:color="F3F3F3"/>
            </w:tcBorders>
            <w:shd w:val="clear" w:color="auto" w:fill="F3F3F3"/>
          </w:tcPr>
          <w:p>
            <w:pPr>
              <w:spacing w:after="0"/>
              <w:rPr>
                <w:sz w:val="19"/>
                <w:szCs w:val="19"/>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19"/>
                <w:szCs w:val="19"/>
                <w:color w:val="auto"/>
              </w:rPr>
            </w:pPr>
          </w:p>
        </w:tc>
        <w:tc>
          <w:tcPr>
            <w:tcW w:w="80" w:type="dxa"/>
            <w:vAlign w:val="bottom"/>
            <w:tcBorders>
              <w:top w:val="single" w:sz="8" w:color="auto"/>
              <w:bottom w:val="single" w:sz="8" w:color="F3F3F3"/>
            </w:tcBorders>
            <w:shd w:val="clear" w:color="auto" w:fill="F3F3F3"/>
          </w:tcPr>
          <w:p>
            <w:pPr>
              <w:spacing w:after="0"/>
              <w:rPr>
                <w:sz w:val="19"/>
                <w:szCs w:val="19"/>
                <w:color w:val="auto"/>
              </w:rPr>
            </w:pPr>
          </w:p>
        </w:tc>
        <w:tc>
          <w:tcPr>
            <w:tcW w:w="1700" w:type="dxa"/>
            <w:vAlign w:val="bottom"/>
            <w:tcBorders>
              <w:top w:val="single" w:sz="8" w:color="auto"/>
              <w:bottom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820" w:type="dxa"/>
            <w:vAlign w:val="bottom"/>
            <w:tcBorders>
              <w:right w:val="single" w:sz="8" w:color="auto"/>
            </w:tcBorders>
            <w:gridSpan w:val="2"/>
            <w:vMerge w:val="continue"/>
            <w:shd w:val="clear" w:color="auto" w:fill="F3F3F3"/>
          </w:tcPr>
          <w:p>
            <w:pPr>
              <w:spacing w:after="0"/>
              <w:rPr>
                <w:sz w:val="7"/>
                <w:szCs w:val="7"/>
                <w:color w:val="auto"/>
              </w:rPr>
            </w:pPr>
          </w:p>
        </w:tc>
        <w:tc>
          <w:tcPr>
            <w:tcW w:w="100" w:type="dxa"/>
            <w:vAlign w:val="bottom"/>
            <w:shd w:val="clear" w:color="auto" w:fill="F3F3F3"/>
          </w:tcPr>
          <w:p>
            <w:pPr>
              <w:spacing w:after="0"/>
              <w:rPr>
                <w:sz w:val="7"/>
                <w:szCs w:val="7"/>
                <w:color w:val="auto"/>
              </w:rPr>
            </w:pPr>
          </w:p>
        </w:tc>
        <w:tc>
          <w:tcPr>
            <w:tcW w:w="16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80" w:type="dxa"/>
            <w:vAlign w:val="bottom"/>
            <w:tcBorders>
              <w:right w:val="single" w:sz="8" w:color="auto"/>
            </w:tcBorders>
            <w:shd w:val="clear" w:color="auto" w:fill="F3F3F3"/>
          </w:tcPr>
          <w:p>
            <w:pPr>
              <w:spacing w:after="0"/>
              <w:rPr>
                <w:sz w:val="7"/>
                <w:szCs w:val="7"/>
                <w:color w:val="auto"/>
              </w:rPr>
            </w:pP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shd w:val="clear" w:color="auto" w:fill="F3F3F3"/>
          </w:tcPr>
          <w:p>
            <w:pPr>
              <w:spacing w:after="0"/>
              <w:rPr>
                <w:sz w:val="7"/>
                <w:szCs w:val="7"/>
                <w:color w:val="auto"/>
              </w:rPr>
            </w:pPr>
          </w:p>
        </w:tc>
        <w:tc>
          <w:tcPr>
            <w:tcW w:w="170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0" w:type="dxa"/>
            <w:vAlign w:val="bottom"/>
            <w:tcBorders>
              <w:bottom w:val="single" w:sz="8" w:color="auto"/>
            </w:tcBorders>
            <w:shd w:val="clear" w:color="auto" w:fill="F3F3F3"/>
          </w:tcPr>
          <w:p>
            <w:pPr>
              <w:spacing w:after="0"/>
              <w:rPr>
                <w:sz w:val="11"/>
                <w:szCs w:val="11"/>
                <w:color w:val="auto"/>
              </w:rPr>
            </w:pPr>
          </w:p>
        </w:tc>
        <w:tc>
          <w:tcPr>
            <w:tcW w:w="3440" w:type="dxa"/>
            <w:vAlign w:val="bottom"/>
            <w:tcBorders>
              <w:bottom w:val="single" w:sz="8" w:color="auto"/>
              <w:right w:val="single" w:sz="8" w:color="auto"/>
            </w:tcBorders>
            <w:shd w:val="clear" w:color="auto" w:fill="F3F3F3"/>
          </w:tcPr>
          <w:p>
            <w:pPr>
              <w:spacing w:after="0"/>
              <w:rPr>
                <w:sz w:val="11"/>
                <w:szCs w:val="11"/>
                <w:color w:val="auto"/>
              </w:rPr>
            </w:pPr>
          </w:p>
        </w:tc>
        <w:tc>
          <w:tcPr>
            <w:tcW w:w="100" w:type="dxa"/>
            <w:vAlign w:val="bottom"/>
            <w:tcBorders>
              <w:bottom w:val="single" w:sz="8" w:color="auto"/>
            </w:tcBorders>
            <w:shd w:val="clear" w:color="auto" w:fill="F3F3F3"/>
          </w:tcPr>
          <w:p>
            <w:pPr>
              <w:spacing w:after="0"/>
              <w:rPr>
                <w:sz w:val="11"/>
                <w:szCs w:val="11"/>
                <w:color w:val="auto"/>
              </w:rPr>
            </w:pPr>
          </w:p>
        </w:tc>
        <w:tc>
          <w:tcPr>
            <w:tcW w:w="1680" w:type="dxa"/>
            <w:vAlign w:val="bottom"/>
            <w:tcBorders>
              <w:bottom w:val="single" w:sz="8" w:color="auto"/>
            </w:tcBorders>
            <w:vMerge w:val="continue"/>
            <w:shd w:val="clear" w:color="auto" w:fill="F3F3F3"/>
          </w:tcPr>
          <w:p>
            <w:pPr>
              <w:spacing w:after="0"/>
              <w:rPr>
                <w:sz w:val="11"/>
                <w:szCs w:val="11"/>
                <w:color w:val="auto"/>
              </w:rPr>
            </w:pPr>
          </w:p>
        </w:tc>
        <w:tc>
          <w:tcPr>
            <w:tcW w:w="180" w:type="dxa"/>
            <w:vAlign w:val="bottom"/>
            <w:tcBorders>
              <w:bottom w:val="single" w:sz="8" w:color="auto"/>
              <w:right w:val="single" w:sz="8" w:color="auto"/>
            </w:tcBorders>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80" w:type="dxa"/>
            <w:vAlign w:val="bottom"/>
            <w:tcBorders>
              <w:bottom w:val="single" w:sz="8" w:color="auto"/>
            </w:tcBorders>
            <w:shd w:val="clear" w:color="auto" w:fill="F3F3F3"/>
          </w:tcPr>
          <w:p>
            <w:pPr>
              <w:spacing w:after="0"/>
              <w:rPr>
                <w:sz w:val="11"/>
                <w:szCs w:val="11"/>
                <w:color w:val="auto"/>
              </w:rPr>
            </w:pPr>
          </w:p>
        </w:tc>
        <w:tc>
          <w:tcPr>
            <w:tcW w:w="1700" w:type="dxa"/>
            <w:vAlign w:val="bottom"/>
            <w:tcBorders>
              <w:bottom w:val="single" w:sz="8" w:color="auto"/>
            </w:tcBorders>
            <w:vMerge w:val="continue"/>
            <w:shd w:val="clear" w:color="auto" w:fill="F3F3F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80" w:type="dxa"/>
            <w:vAlign w:val="bottom"/>
            <w:vMerge w:val="restart"/>
          </w:tcPr>
          <w:p>
            <w:pPr>
              <w:ind w:left="120"/>
              <w:spacing w:after="0"/>
              <w:rPr>
                <w:sz w:val="20"/>
                <w:szCs w:val="20"/>
                <w:color w:val="auto"/>
              </w:rPr>
            </w:pPr>
            <w:r>
              <w:rPr>
                <w:rFonts w:ascii="Arial" w:cs="Arial" w:eastAsia="Arial" w:hAnsi="Arial"/>
                <w:sz w:val="18"/>
                <w:szCs w:val="18"/>
                <w:color w:val="auto"/>
              </w:rPr>
              <w:t>1.</w:t>
            </w: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Achieve Earnings Per Share target</w:t>
            </w:r>
          </w:p>
        </w:tc>
        <w:tc>
          <w:tcPr>
            <w:tcW w:w="10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95% of Target = $1.15</w:t>
            </w:r>
          </w:p>
        </w:tc>
        <w:tc>
          <w:tcPr>
            <w:tcW w:w="18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w:t>
            </w:r>
          </w:p>
        </w:tc>
        <w:tc>
          <w:tcPr>
            <w:tcW w:w="1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105% of Target =</w:t>
            </w:r>
          </w:p>
        </w:tc>
        <w:tc>
          <w:tcPr>
            <w:tcW w:w="8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80" w:type="dxa"/>
            <w:vAlign w:val="bottom"/>
            <w:vMerge w:val="continue"/>
          </w:tcPr>
          <w:p>
            <w:pPr>
              <w:spacing w:after="0"/>
              <w:rPr>
                <w:sz w:val="10"/>
                <w:szCs w:val="10"/>
                <w:color w:val="auto"/>
              </w:rPr>
            </w:pPr>
          </w:p>
        </w:tc>
        <w:tc>
          <w:tcPr>
            <w:tcW w:w="34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$1.27</w:t>
            </w:r>
          </w:p>
        </w:tc>
        <w:tc>
          <w:tcPr>
            <w:tcW w:w="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4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80" w:type="dxa"/>
            <w:vAlign w:val="bottom"/>
          </w:tcPr>
          <w:p>
            <w:pPr>
              <w:ind w:left="120"/>
              <w:spacing w:after="0"/>
              <w:rPr>
                <w:sz w:val="20"/>
                <w:szCs w:val="20"/>
                <w:color w:val="auto"/>
              </w:rPr>
            </w:pPr>
            <w:r>
              <w:rPr>
                <w:rFonts w:ascii="Arial" w:cs="Arial" w:eastAsia="Arial" w:hAnsi="Arial"/>
                <w:sz w:val="18"/>
                <w:szCs w:val="18"/>
                <w:color w:val="auto"/>
              </w:rPr>
              <w:t>2.</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Reduce asset intensity by:</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Reducing average days loans spend in 90+</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7% reduction from</w:t>
            </w:r>
          </w:p>
        </w:tc>
        <w:tc>
          <w:tcPr>
            <w:tcW w:w="18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9% reduction from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 reduction from</w:t>
            </w:r>
          </w:p>
        </w:tc>
        <w:tc>
          <w:tcPr>
            <w:tcW w:w="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contractual delinquency</w:t>
            </w:r>
          </w:p>
        </w:tc>
        <w:tc>
          <w:tcPr>
            <w:tcW w:w="10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7"/>
              </w:rPr>
              <w:t>2011 average</w:t>
            </w:r>
          </w:p>
        </w:tc>
        <w:tc>
          <w:tcPr>
            <w:tcW w:w="18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2011 average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2011 average</w:t>
            </w:r>
          </w:p>
        </w:tc>
        <w:tc>
          <w:tcPr>
            <w:tcW w:w="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4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Reducing Gross Advances in relation to</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19% reduction from</w:t>
            </w:r>
          </w:p>
        </w:tc>
        <w:tc>
          <w:tcPr>
            <w:tcW w:w="18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21% reduction from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23% reduction from</w:t>
            </w:r>
          </w:p>
        </w:tc>
        <w:tc>
          <w:tcPr>
            <w:tcW w:w="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Threshold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unpaid principal balance</w:t>
            </w:r>
          </w:p>
        </w:tc>
        <w:tc>
          <w:tcPr>
            <w:tcW w:w="178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2011</w:t>
            </w:r>
          </w:p>
        </w:tc>
        <w:tc>
          <w:tcPr>
            <w:tcW w:w="18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2011</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440" w:type="dxa"/>
            <w:vAlign w:val="bottom"/>
            <w:tcBorders>
              <w:right w:val="single" w:sz="8" w:color="auto"/>
            </w:tcBorders>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80" w:type="dxa"/>
            <w:vAlign w:val="bottom"/>
          </w:tcPr>
          <w:p>
            <w:pPr>
              <w:ind w:left="120"/>
              <w:spacing w:after="0"/>
              <w:rPr>
                <w:sz w:val="20"/>
                <w:szCs w:val="20"/>
                <w:color w:val="auto"/>
              </w:rPr>
            </w:pPr>
            <w:r>
              <w:rPr>
                <w:rFonts w:ascii="Arial" w:cs="Arial" w:eastAsia="Arial" w:hAnsi="Arial"/>
                <w:sz w:val="18"/>
                <w:szCs w:val="18"/>
                <w:color w:val="auto"/>
              </w:rPr>
              <w:t>3.</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Improve the 2012 Average 60+ delinquency</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5% reduction from</w:t>
            </w:r>
          </w:p>
        </w:tc>
        <w:tc>
          <w:tcPr>
            <w:tcW w:w="18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 reduction from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 reduction from</w:t>
            </w:r>
          </w:p>
        </w:tc>
        <w:tc>
          <w:tcPr>
            <w:tcW w:w="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rate for the static pool</w:t>
            </w:r>
          </w:p>
        </w:tc>
        <w:tc>
          <w:tcPr>
            <w:tcW w:w="178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12/31/2011</w:t>
            </w:r>
          </w:p>
        </w:tc>
        <w:tc>
          <w:tcPr>
            <w:tcW w:w="18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12/31/2011</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12/31/2011</w:t>
            </w:r>
          </w:p>
        </w:tc>
        <w:tc>
          <w:tcPr>
            <w:tcW w:w="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 w:type="dxa"/>
            <w:vAlign w:val="bottom"/>
            <w:tcBorders>
              <w:bottom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178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3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830"/>
              <w:spacing w:after="0"/>
              <w:rPr>
                <w:sz w:val="20"/>
                <w:szCs w:val="20"/>
                <w:color w:val="auto"/>
              </w:rPr>
            </w:pPr>
            <w:r>
              <w:rPr>
                <w:rFonts w:ascii="Arial" w:cs="Arial" w:eastAsia="Arial" w:hAnsi="Arial"/>
                <w:sz w:val="18"/>
                <w:szCs w:val="18"/>
                <w:color w:val="auto"/>
                <w:w w:val="89"/>
              </w:rPr>
              <w:t>21</w:t>
            </w: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65" w:right="21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bottom w:val="single" w:sz="8" w:color="auto"/>
              <w:right w:val="single" w:sz="8" w:color="auto"/>
            </w:tcBorders>
            <w:gridSpan w:val="2"/>
            <w:vMerge w:val="restart"/>
            <w:shd w:val="clear" w:color="auto" w:fill="F3F3F3"/>
          </w:tcPr>
          <w:p>
            <w:pPr>
              <w:ind w:left="120"/>
              <w:spacing w:after="0"/>
              <w:rPr>
                <w:sz w:val="20"/>
                <w:szCs w:val="20"/>
                <w:color w:val="auto"/>
              </w:rPr>
            </w:pPr>
            <w:r>
              <w:rPr>
                <w:rFonts w:ascii="Arial" w:cs="Arial" w:eastAsia="Arial" w:hAnsi="Arial"/>
                <w:sz w:val="18"/>
                <w:szCs w:val="18"/>
                <w:b w:val="1"/>
                <w:bCs w:val="1"/>
                <w:color w:val="auto"/>
              </w:rPr>
              <w:t>Corporate Objectives</w:t>
            </w:r>
          </w:p>
        </w:tc>
        <w:tc>
          <w:tcPr>
            <w:tcW w:w="100" w:type="dxa"/>
            <w:vAlign w:val="bottom"/>
            <w:tcBorders>
              <w:top w:val="single" w:sz="8" w:color="auto"/>
              <w:bottom w:val="single" w:sz="8" w:color="auto"/>
            </w:tcBorders>
            <w:shd w:val="clear" w:color="auto" w:fill="F3F3F3"/>
          </w:tcPr>
          <w:p>
            <w:pPr>
              <w:spacing w:after="0"/>
              <w:rPr>
                <w:sz w:val="21"/>
                <w:szCs w:val="21"/>
                <w:color w:val="auto"/>
              </w:rPr>
            </w:pPr>
          </w:p>
        </w:tc>
        <w:tc>
          <w:tcPr>
            <w:tcW w:w="1860" w:type="dxa"/>
            <w:vAlign w:val="bottom"/>
            <w:tcBorders>
              <w:top w:val="single" w:sz="8" w:color="auto"/>
              <w:bottom w:val="single" w:sz="8" w:color="auto"/>
              <w:right w:val="single" w:sz="8" w:color="F3F3F3"/>
            </w:tcBorders>
            <w:shd w:val="clear" w:color="auto" w:fill="F3F3F3"/>
          </w:tcPr>
          <w:p>
            <w:pPr>
              <w:spacing w:after="0"/>
              <w:rPr>
                <w:sz w:val="21"/>
                <w:szCs w:val="21"/>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21"/>
                <w:szCs w:val="21"/>
                <w:color w:val="auto"/>
              </w:rPr>
            </w:pPr>
          </w:p>
        </w:tc>
        <w:tc>
          <w:tcPr>
            <w:tcW w:w="180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88"/>
        </w:trPr>
        <w:tc>
          <w:tcPr>
            <w:tcW w:w="3820" w:type="dxa"/>
            <w:vAlign w:val="bottom"/>
            <w:tcBorders>
              <w:left w:val="single" w:sz="8" w:color="auto"/>
              <w:right w:val="single" w:sz="8" w:color="auto"/>
            </w:tcBorders>
            <w:gridSpan w:val="2"/>
            <w:vMerge w:val="continue"/>
            <w:shd w:val="clear" w:color="auto" w:fill="F3F3F3"/>
          </w:tcPr>
          <w:p>
            <w:pPr>
              <w:spacing w:after="0"/>
              <w:rPr>
                <w:sz w:val="7"/>
                <w:szCs w:val="7"/>
                <w:color w:val="auto"/>
              </w:rPr>
            </w:pPr>
          </w:p>
        </w:tc>
        <w:tc>
          <w:tcPr>
            <w:tcW w:w="100" w:type="dxa"/>
            <w:vAlign w:val="bottom"/>
            <w:shd w:val="clear" w:color="auto" w:fill="F3F3F3"/>
          </w:tcPr>
          <w:p>
            <w:pPr>
              <w:spacing w:after="0"/>
              <w:rPr>
                <w:sz w:val="7"/>
                <w:szCs w:val="7"/>
                <w:color w:val="auto"/>
              </w:rPr>
            </w:pPr>
          </w:p>
        </w:tc>
        <w:tc>
          <w:tcPr>
            <w:tcW w:w="1860" w:type="dxa"/>
            <w:vAlign w:val="bottom"/>
            <w:tcBorders>
              <w:right w:val="single" w:sz="8" w:color="auto"/>
            </w:tcBorders>
            <w:vMerge w:val="restart"/>
            <w:shd w:val="clear" w:color="auto" w:fill="F3F3F3"/>
          </w:tcPr>
          <w:p>
            <w:pPr>
              <w:jc w:val="center"/>
              <w:ind w:right="50"/>
              <w:spacing w:after="0"/>
              <w:rPr>
                <w:sz w:val="20"/>
                <w:szCs w:val="20"/>
                <w:color w:val="auto"/>
              </w:rPr>
            </w:pPr>
            <w:r>
              <w:rPr>
                <w:rFonts w:ascii="Arial" w:cs="Arial" w:eastAsia="Arial" w:hAnsi="Arial"/>
                <w:sz w:val="18"/>
                <w:szCs w:val="18"/>
                <w:b w:val="1"/>
                <w:bCs w:val="1"/>
                <w:color w:val="auto"/>
                <w:w w:val="91"/>
              </w:rPr>
              <w:t>Threshold</w:t>
            </w: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29"/>
        </w:trPr>
        <w:tc>
          <w:tcPr>
            <w:tcW w:w="380" w:type="dxa"/>
            <w:vAlign w:val="bottom"/>
            <w:tcBorders>
              <w:left w:val="single" w:sz="8" w:color="auto"/>
              <w:bottom w:val="single" w:sz="8" w:color="auto"/>
            </w:tcBorders>
            <w:shd w:val="clear" w:color="auto" w:fill="F3F3F3"/>
          </w:tcPr>
          <w:p>
            <w:pPr>
              <w:spacing w:after="0"/>
              <w:rPr>
                <w:sz w:val="11"/>
                <w:szCs w:val="11"/>
                <w:color w:val="auto"/>
              </w:rPr>
            </w:pPr>
          </w:p>
        </w:tc>
        <w:tc>
          <w:tcPr>
            <w:tcW w:w="3440" w:type="dxa"/>
            <w:vAlign w:val="bottom"/>
            <w:tcBorders>
              <w:bottom w:val="single" w:sz="8" w:color="auto"/>
              <w:right w:val="single" w:sz="8" w:color="auto"/>
            </w:tcBorders>
            <w:shd w:val="clear" w:color="auto" w:fill="F3F3F3"/>
          </w:tcPr>
          <w:p>
            <w:pPr>
              <w:spacing w:after="0"/>
              <w:rPr>
                <w:sz w:val="11"/>
                <w:szCs w:val="11"/>
                <w:color w:val="auto"/>
              </w:rPr>
            </w:pPr>
          </w:p>
        </w:tc>
        <w:tc>
          <w:tcPr>
            <w:tcW w:w="100" w:type="dxa"/>
            <w:vAlign w:val="bottom"/>
            <w:tcBorders>
              <w:bottom w:val="single" w:sz="8" w:color="auto"/>
            </w:tcBorders>
            <w:shd w:val="clear" w:color="auto" w:fill="F3F3F3"/>
          </w:tcPr>
          <w:p>
            <w:pPr>
              <w:spacing w:after="0"/>
              <w:rPr>
                <w:sz w:val="11"/>
                <w:szCs w:val="11"/>
                <w:color w:val="auto"/>
              </w:rPr>
            </w:pPr>
          </w:p>
        </w:tc>
        <w:tc>
          <w:tcPr>
            <w:tcW w:w="186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80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4.</w:t>
            </w:r>
          </w:p>
        </w:tc>
        <w:tc>
          <w:tcPr>
            <w:tcW w:w="34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Implement Corporate Finance Strategy</w:t>
            </w:r>
          </w:p>
        </w:tc>
        <w:tc>
          <w:tcPr>
            <w:tcW w:w="100" w:type="dxa"/>
            <w:vAlign w:val="bottom"/>
          </w:tcPr>
          <w:p>
            <w:pPr>
              <w:spacing w:after="0"/>
              <w:rPr>
                <w:sz w:val="17"/>
                <w:szCs w:val="17"/>
                <w:color w:val="auto"/>
              </w:rPr>
            </w:pPr>
          </w:p>
        </w:tc>
        <w:tc>
          <w:tcPr>
            <w:tcW w:w="186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2"/>
              </w:rPr>
              <w:t>At the discretion of the</w:t>
            </w:r>
          </w:p>
        </w:tc>
        <w:tc>
          <w:tcPr>
            <w:tcW w:w="1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Board</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Build long-term capacity for growth</w:t>
            </w:r>
          </w:p>
        </w:tc>
        <w:tc>
          <w:tcPr>
            <w:tcW w:w="100" w:type="dxa"/>
            <w:vAlign w:val="bottom"/>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Flow channel development, including</w:t>
            </w:r>
          </w:p>
        </w:tc>
        <w:tc>
          <w:tcPr>
            <w:tcW w:w="100" w:type="dxa"/>
            <w:vAlign w:val="bottom"/>
          </w:tcPr>
          <w:p>
            <w:pPr>
              <w:spacing w:after="0"/>
              <w:rPr>
                <w:sz w:val="24"/>
                <w:szCs w:val="24"/>
                <w:color w:val="auto"/>
              </w:rPr>
            </w:pPr>
          </w:p>
        </w:tc>
        <w:tc>
          <w:tcPr>
            <w:tcW w:w="186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HARP 2.0, CorrespondentOne, Co-issue</w:t>
            </w:r>
          </w:p>
        </w:tc>
        <w:tc>
          <w:tcPr>
            <w:tcW w:w="100" w:type="dxa"/>
            <w:vAlign w:val="bottom"/>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34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Board</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and mini-bulk</w:t>
            </w:r>
          </w:p>
        </w:tc>
        <w:tc>
          <w:tcPr>
            <w:tcW w:w="100" w:type="dxa"/>
            <w:vAlign w:val="bottom"/>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34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HELOC, Reverse mortgage &amp; other new</w:t>
            </w:r>
          </w:p>
        </w:tc>
        <w:tc>
          <w:tcPr>
            <w:tcW w:w="10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products</w:t>
            </w: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6.</w:t>
            </w:r>
          </w:p>
        </w:tc>
        <w:tc>
          <w:tcPr>
            <w:tcW w:w="3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Successfully complete the key strategic</w:t>
            </w:r>
          </w:p>
        </w:tc>
        <w:tc>
          <w:tcPr>
            <w:tcW w:w="100" w:type="dxa"/>
            <w:vAlign w:val="bottom"/>
          </w:tcPr>
          <w:p>
            <w:pPr>
              <w:spacing w:after="0"/>
              <w:rPr>
                <w:sz w:val="16"/>
                <w:szCs w:val="16"/>
                <w:color w:val="auto"/>
              </w:rPr>
            </w:pPr>
          </w:p>
        </w:tc>
        <w:tc>
          <w:tcPr>
            <w:tcW w:w="1860" w:type="dxa"/>
            <w:vAlign w:val="bottom"/>
            <w:tcBorders>
              <w:right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2"/>
              </w:rPr>
              <w:t>At the discretion of the</w:t>
            </w: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initiatives of the Company</w:t>
            </w:r>
          </w:p>
        </w:tc>
        <w:tc>
          <w:tcPr>
            <w:tcW w:w="100" w:type="dxa"/>
            <w:vAlign w:val="bottom"/>
          </w:tcPr>
          <w:p>
            <w:pPr>
              <w:spacing w:after="0"/>
              <w:rPr>
                <w:sz w:val="10"/>
                <w:szCs w:val="10"/>
                <w:color w:val="auto"/>
              </w:rPr>
            </w:pPr>
          </w:p>
        </w:tc>
        <w:tc>
          <w:tcPr>
            <w:tcW w:w="186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Board</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0" w:type="dxa"/>
            <w:vAlign w:val="bottom"/>
            <w:tcBorders>
              <w:left w:val="single" w:sz="8" w:color="auto"/>
              <w:bottom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6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Our key strategic initiatives for 2012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63765" cy="259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2590165"/>
                    </a:xfrm>
                    <a:prstGeom prst="rect">
                      <a:avLst/>
                    </a:prstGeom>
                    <a:noFill/>
                  </pic:spPr>
                </pic:pic>
              </a:graphicData>
            </a:graphic>
          </wp:anchor>
        </w:drawing>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Strategic Initiatives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Borders>
              <w:top w:val="single" w:sz="8" w:color="auto"/>
              <w:bottom w:val="single" w:sz="8" w:color="auto"/>
              <w:right w:val="single" w:sz="8" w:color="auto"/>
            </w:tcBorders>
            <w:gridSpan w:val="2"/>
            <w:vMerge w:val="restart"/>
            <w:shd w:val="clear" w:color="auto" w:fill="F3F3F3"/>
          </w:tcPr>
          <w:p>
            <w:pPr>
              <w:ind w:left="120"/>
              <w:spacing w:after="0"/>
              <w:rPr>
                <w:sz w:val="20"/>
                <w:szCs w:val="20"/>
                <w:color w:val="auto"/>
              </w:rPr>
            </w:pPr>
            <w:r>
              <w:rPr>
                <w:rFonts w:ascii="Arial" w:cs="Arial" w:eastAsia="Arial" w:hAnsi="Arial"/>
                <w:sz w:val="18"/>
                <w:szCs w:val="18"/>
                <w:b w:val="1"/>
                <w:bCs w:val="1"/>
                <w:color w:val="auto"/>
              </w:rPr>
              <w:t>Strategic Initiatives</w:t>
            </w:r>
          </w:p>
        </w:tc>
        <w:tc>
          <w:tcPr>
            <w:tcW w:w="100" w:type="dxa"/>
            <w:vAlign w:val="bottom"/>
            <w:tcBorders>
              <w:top w:val="single" w:sz="8" w:color="auto"/>
              <w:bottom w:val="single" w:sz="8" w:color="auto"/>
            </w:tcBorders>
            <w:shd w:val="clear" w:color="auto" w:fill="F3F3F3"/>
          </w:tcPr>
          <w:p>
            <w:pPr>
              <w:spacing w:after="0"/>
              <w:rPr>
                <w:sz w:val="19"/>
                <w:szCs w:val="19"/>
                <w:color w:val="auto"/>
              </w:rPr>
            </w:pPr>
          </w:p>
        </w:tc>
        <w:tc>
          <w:tcPr>
            <w:tcW w:w="1700" w:type="dxa"/>
            <w:vAlign w:val="bottom"/>
            <w:tcBorders>
              <w:top w:val="single" w:sz="8" w:color="auto"/>
              <w:bottom w:val="single" w:sz="8" w:color="auto"/>
            </w:tcBorders>
            <w:shd w:val="clear" w:color="auto" w:fill="F3F3F3"/>
          </w:tcPr>
          <w:p>
            <w:pPr>
              <w:spacing w:after="0"/>
              <w:rPr>
                <w:sz w:val="19"/>
                <w:szCs w:val="19"/>
                <w:color w:val="auto"/>
              </w:rPr>
            </w:pPr>
          </w:p>
        </w:tc>
        <w:tc>
          <w:tcPr>
            <w:tcW w:w="160" w:type="dxa"/>
            <w:vAlign w:val="bottom"/>
            <w:tcBorders>
              <w:top w:val="single" w:sz="8" w:color="auto"/>
              <w:bottom w:val="single" w:sz="8" w:color="auto"/>
              <w:right w:val="single" w:sz="8" w:color="F3F3F3"/>
            </w:tcBorders>
            <w:shd w:val="clear" w:color="auto" w:fill="F3F3F3"/>
          </w:tcPr>
          <w:p>
            <w:pPr>
              <w:spacing w:after="0"/>
              <w:rPr>
                <w:sz w:val="19"/>
                <w:szCs w:val="19"/>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19"/>
                <w:szCs w:val="19"/>
                <w:color w:val="auto"/>
              </w:rPr>
            </w:pPr>
          </w:p>
        </w:tc>
        <w:tc>
          <w:tcPr>
            <w:tcW w:w="1780" w:type="dxa"/>
            <w:vAlign w:val="bottom"/>
            <w:tcBorders>
              <w:top w:val="single" w:sz="8" w:color="auto"/>
              <w:bottom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820" w:type="dxa"/>
            <w:vAlign w:val="bottom"/>
            <w:tcBorders>
              <w:right w:val="single" w:sz="8" w:color="auto"/>
            </w:tcBorders>
            <w:gridSpan w:val="2"/>
            <w:vMerge w:val="continue"/>
            <w:shd w:val="clear" w:color="auto" w:fill="F3F3F3"/>
          </w:tcPr>
          <w:p>
            <w:pPr>
              <w:spacing w:after="0"/>
              <w:rPr>
                <w:sz w:val="7"/>
                <w:szCs w:val="7"/>
                <w:color w:val="auto"/>
              </w:rPr>
            </w:pPr>
          </w:p>
        </w:tc>
        <w:tc>
          <w:tcPr>
            <w:tcW w:w="100" w:type="dxa"/>
            <w:vAlign w:val="bottom"/>
            <w:shd w:val="clear" w:color="auto" w:fill="F3F3F3"/>
          </w:tcPr>
          <w:p>
            <w:pPr>
              <w:spacing w:after="0"/>
              <w:rPr>
                <w:sz w:val="7"/>
                <w:szCs w:val="7"/>
                <w:color w:val="auto"/>
              </w:rPr>
            </w:pPr>
          </w:p>
        </w:tc>
        <w:tc>
          <w:tcPr>
            <w:tcW w:w="170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60" w:type="dxa"/>
            <w:vAlign w:val="bottom"/>
            <w:tcBorders>
              <w:right w:val="single" w:sz="8" w:color="auto"/>
            </w:tcBorders>
            <w:shd w:val="clear" w:color="auto" w:fill="F3F3F3"/>
          </w:tcPr>
          <w:p>
            <w:pPr>
              <w:spacing w:after="0"/>
              <w:rPr>
                <w:sz w:val="7"/>
                <w:szCs w:val="7"/>
                <w:color w:val="auto"/>
              </w:rPr>
            </w:pP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7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0" w:type="dxa"/>
            <w:vAlign w:val="bottom"/>
            <w:tcBorders>
              <w:bottom w:val="single" w:sz="8" w:color="auto"/>
            </w:tcBorders>
            <w:shd w:val="clear" w:color="auto" w:fill="F3F3F3"/>
          </w:tcPr>
          <w:p>
            <w:pPr>
              <w:spacing w:after="0"/>
              <w:rPr>
                <w:sz w:val="11"/>
                <w:szCs w:val="11"/>
                <w:color w:val="auto"/>
              </w:rPr>
            </w:pPr>
          </w:p>
        </w:tc>
        <w:tc>
          <w:tcPr>
            <w:tcW w:w="3440" w:type="dxa"/>
            <w:vAlign w:val="bottom"/>
            <w:tcBorders>
              <w:bottom w:val="single" w:sz="8" w:color="auto"/>
              <w:right w:val="single" w:sz="8" w:color="auto"/>
            </w:tcBorders>
            <w:shd w:val="clear" w:color="auto" w:fill="F3F3F3"/>
          </w:tcPr>
          <w:p>
            <w:pPr>
              <w:spacing w:after="0"/>
              <w:rPr>
                <w:sz w:val="11"/>
                <w:szCs w:val="11"/>
                <w:color w:val="auto"/>
              </w:rPr>
            </w:pPr>
          </w:p>
        </w:tc>
        <w:tc>
          <w:tcPr>
            <w:tcW w:w="100" w:type="dxa"/>
            <w:vAlign w:val="bottom"/>
            <w:tcBorders>
              <w:bottom w:val="single" w:sz="8" w:color="auto"/>
            </w:tcBorders>
            <w:shd w:val="clear" w:color="auto" w:fill="F3F3F3"/>
          </w:tcPr>
          <w:p>
            <w:pPr>
              <w:spacing w:after="0"/>
              <w:rPr>
                <w:sz w:val="11"/>
                <w:szCs w:val="11"/>
                <w:color w:val="auto"/>
              </w:rPr>
            </w:pPr>
          </w:p>
        </w:tc>
        <w:tc>
          <w:tcPr>
            <w:tcW w:w="1700" w:type="dxa"/>
            <w:vAlign w:val="bottom"/>
            <w:tcBorders>
              <w:bottom w:val="single" w:sz="8" w:color="auto"/>
            </w:tcBorders>
            <w:vMerge w:val="continue"/>
            <w:shd w:val="clear" w:color="auto" w:fill="F3F3F3"/>
          </w:tcPr>
          <w:p>
            <w:pPr>
              <w:spacing w:after="0"/>
              <w:rPr>
                <w:sz w:val="11"/>
                <w:szCs w:val="11"/>
                <w:color w:val="auto"/>
              </w:rPr>
            </w:pPr>
          </w:p>
        </w:tc>
        <w:tc>
          <w:tcPr>
            <w:tcW w:w="160" w:type="dxa"/>
            <w:vAlign w:val="bottom"/>
            <w:tcBorders>
              <w:bottom w:val="single" w:sz="8" w:color="auto"/>
              <w:right w:val="single" w:sz="8" w:color="auto"/>
            </w:tcBorders>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780" w:type="dxa"/>
            <w:vAlign w:val="bottom"/>
            <w:tcBorders>
              <w:bottom w:val="single" w:sz="8" w:color="auto"/>
            </w:tcBorders>
            <w:vMerge w:val="continue"/>
            <w:shd w:val="clear" w:color="auto" w:fill="F3F3F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80" w:type="dxa"/>
            <w:vAlign w:val="bottom"/>
          </w:tcPr>
          <w:p>
            <w:pPr>
              <w:ind w:left="120"/>
              <w:spacing w:after="0" w:line="201" w:lineRule="exact"/>
              <w:rPr>
                <w:sz w:val="20"/>
                <w:szCs w:val="20"/>
                <w:color w:val="auto"/>
              </w:rPr>
            </w:pPr>
            <w:r>
              <w:rPr>
                <w:rFonts w:ascii="Arial" w:cs="Arial" w:eastAsia="Arial" w:hAnsi="Arial"/>
                <w:sz w:val="18"/>
                <w:szCs w:val="18"/>
                <w:color w:val="auto"/>
              </w:rPr>
              <w:t>1.</w:t>
            </w:r>
          </w:p>
        </w:tc>
        <w:tc>
          <w:tcPr>
            <w:tcW w:w="34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Acquire $30 billion of new UPB serviced,</w:t>
            </w:r>
          </w:p>
        </w:tc>
        <w:tc>
          <w:tcPr>
            <w:tcW w:w="1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8"/>
              </w:rPr>
              <w:t>$20 billion</w:t>
            </w: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$30 billion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$40 billion</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excluding Saxon and scheduled Chase deal</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Pr>
          <w:p>
            <w:pPr>
              <w:ind w:left="120"/>
              <w:spacing w:after="0" w:line="195" w:lineRule="exact"/>
              <w:rPr>
                <w:sz w:val="20"/>
                <w:szCs w:val="20"/>
                <w:color w:val="auto"/>
              </w:rPr>
            </w:pPr>
            <w:r>
              <w:rPr>
                <w:rFonts w:ascii="Arial" w:cs="Arial" w:eastAsia="Arial" w:hAnsi="Arial"/>
                <w:sz w:val="18"/>
                <w:szCs w:val="18"/>
                <w:color w:val="auto"/>
              </w:rPr>
              <w:t>2.</w:t>
            </w:r>
          </w:p>
        </w:tc>
        <w:tc>
          <w:tcPr>
            <w:tcW w:w="3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Increase percentage of revenue dollars per</w:t>
            </w: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Increase 20%</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Increase 40%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Increase 60%</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marketable loan over 2011</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Pr>
          <w:p>
            <w:pPr>
              <w:ind w:left="120"/>
              <w:spacing w:after="0" w:line="195" w:lineRule="exact"/>
              <w:rPr>
                <w:sz w:val="20"/>
                <w:szCs w:val="20"/>
                <w:color w:val="auto"/>
              </w:rPr>
            </w:pPr>
            <w:r>
              <w:rPr>
                <w:rFonts w:ascii="Arial" w:cs="Arial" w:eastAsia="Arial" w:hAnsi="Arial"/>
                <w:sz w:val="18"/>
                <w:szCs w:val="18"/>
                <w:color w:val="auto"/>
              </w:rPr>
              <w:t>3.</w:t>
            </w:r>
          </w:p>
        </w:tc>
        <w:tc>
          <w:tcPr>
            <w:tcW w:w="3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Improve management of Freddie Mac</w:t>
            </w:r>
          </w:p>
        </w:tc>
        <w:tc>
          <w:tcPr>
            <w:tcW w:w="100" w:type="dxa"/>
            <w:vAlign w:val="bottom"/>
          </w:tcPr>
          <w:p>
            <w:pPr>
              <w:spacing w:after="0"/>
              <w:rPr>
                <w:sz w:val="16"/>
                <w:szCs w:val="16"/>
                <w:color w:val="auto"/>
              </w:rPr>
            </w:pP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processes</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Threshold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1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 w:type="dxa"/>
            <w:vAlign w:val="bottom"/>
          </w:tcPr>
          <w:p>
            <w:pPr>
              <w:ind w:left="120"/>
              <w:spacing w:after="0" w:line="195" w:lineRule="exact"/>
              <w:rPr>
                <w:sz w:val="20"/>
                <w:szCs w:val="20"/>
                <w:color w:val="auto"/>
              </w:rPr>
            </w:pPr>
            <w:r>
              <w:rPr>
                <w:rFonts w:ascii="Arial" w:cs="Arial" w:eastAsia="Arial" w:hAnsi="Arial"/>
                <w:sz w:val="18"/>
                <w:szCs w:val="18"/>
                <w:color w:val="auto"/>
              </w:rPr>
              <w:t>4.</w:t>
            </w:r>
          </w:p>
        </w:tc>
        <w:tc>
          <w:tcPr>
            <w:tcW w:w="3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Completion of customer-facing model for</w:t>
            </w: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Prior to 8/1/12</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Prior to 7/1/12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Prior to 6/1/12</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large bank subservicing</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Pr>
          <w:p>
            <w:pPr>
              <w:ind w:left="120"/>
              <w:spacing w:after="0" w:line="195" w:lineRule="exact"/>
              <w:rPr>
                <w:sz w:val="20"/>
                <w:szCs w:val="20"/>
                <w:color w:val="auto"/>
              </w:rPr>
            </w:pPr>
            <w:r>
              <w:rPr>
                <w:rFonts w:ascii="Arial" w:cs="Arial" w:eastAsia="Arial" w:hAnsi="Arial"/>
                <w:sz w:val="18"/>
                <w:szCs w:val="18"/>
                <w:color w:val="auto"/>
              </w:rPr>
              <w:t>5.</w:t>
            </w:r>
          </w:p>
        </w:tc>
        <w:tc>
          <w:tcPr>
            <w:tcW w:w="3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Improve Ocwen servicing “brand” with</w:t>
            </w:r>
          </w:p>
        </w:tc>
        <w:tc>
          <w:tcPr>
            <w:tcW w:w="100" w:type="dxa"/>
            <w:vAlign w:val="bottom"/>
          </w:tcPr>
          <w:p>
            <w:pPr>
              <w:spacing w:after="0"/>
              <w:rPr>
                <w:sz w:val="16"/>
                <w:szCs w:val="16"/>
                <w:color w:val="auto"/>
              </w:rPr>
            </w:pP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RMBS investors by improving</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communication, reporting and transparency</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1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 w:type="dxa"/>
            <w:vAlign w:val="bottom"/>
          </w:tcPr>
          <w:p>
            <w:pPr>
              <w:ind w:left="120"/>
              <w:spacing w:after="0" w:line="195" w:lineRule="exact"/>
              <w:rPr>
                <w:sz w:val="20"/>
                <w:szCs w:val="20"/>
                <w:color w:val="auto"/>
              </w:rPr>
            </w:pPr>
            <w:r>
              <w:rPr>
                <w:rFonts w:ascii="Arial" w:cs="Arial" w:eastAsia="Arial" w:hAnsi="Arial"/>
                <w:sz w:val="18"/>
                <w:szCs w:val="18"/>
                <w:color w:val="auto"/>
              </w:rPr>
              <w:t>6.</w:t>
            </w:r>
          </w:p>
        </w:tc>
        <w:tc>
          <w:tcPr>
            <w:tcW w:w="34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Execute plan for growth</w:t>
            </w:r>
          </w:p>
        </w:tc>
        <w:tc>
          <w:tcPr>
            <w:tcW w:w="100" w:type="dxa"/>
            <w:vAlign w:val="bottom"/>
          </w:tcPr>
          <w:p>
            <w:pPr>
              <w:spacing w:after="0"/>
              <w:rPr>
                <w:sz w:val="16"/>
                <w:szCs w:val="16"/>
                <w:color w:val="auto"/>
              </w:rPr>
            </w:pP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1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830"/>
              <w:spacing w:after="0"/>
              <w:rPr>
                <w:sz w:val="20"/>
                <w:szCs w:val="20"/>
                <w:color w:val="auto"/>
              </w:rPr>
            </w:pPr>
            <w:r>
              <w:rPr>
                <w:rFonts w:ascii="Arial" w:cs="Arial" w:eastAsia="Arial" w:hAnsi="Arial"/>
                <w:sz w:val="18"/>
                <w:szCs w:val="18"/>
                <w:color w:val="auto"/>
                <w:w w:val="79"/>
              </w:rPr>
              <w:t>22</w:t>
            </w:r>
          </w:p>
        </w:tc>
        <w:tc>
          <w:tcPr>
            <w:tcW w:w="1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73" w:right="21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bottom w:val="single" w:sz="8" w:color="auto"/>
              <w:right w:val="single" w:sz="8" w:color="auto"/>
            </w:tcBorders>
            <w:gridSpan w:val="2"/>
            <w:vMerge w:val="restart"/>
            <w:shd w:val="clear" w:color="auto" w:fill="F3F3F3"/>
          </w:tcPr>
          <w:p>
            <w:pPr>
              <w:ind w:left="120"/>
              <w:spacing w:after="0"/>
              <w:rPr>
                <w:sz w:val="20"/>
                <w:szCs w:val="20"/>
                <w:color w:val="auto"/>
              </w:rPr>
            </w:pPr>
            <w:r>
              <w:rPr>
                <w:rFonts w:ascii="Arial" w:cs="Arial" w:eastAsia="Arial" w:hAnsi="Arial"/>
                <w:sz w:val="18"/>
                <w:szCs w:val="18"/>
                <w:b w:val="1"/>
                <w:bCs w:val="1"/>
                <w:color w:val="auto"/>
              </w:rPr>
              <w:t>Strategic Initiatives</w:t>
            </w:r>
          </w:p>
        </w:tc>
        <w:tc>
          <w:tcPr>
            <w:tcW w:w="100" w:type="dxa"/>
            <w:vAlign w:val="bottom"/>
            <w:tcBorders>
              <w:top w:val="single" w:sz="8" w:color="auto"/>
              <w:bottom w:val="single" w:sz="8" w:color="auto"/>
            </w:tcBorders>
            <w:shd w:val="clear" w:color="auto" w:fill="F3F3F3"/>
          </w:tcPr>
          <w:p>
            <w:pPr>
              <w:spacing w:after="0"/>
              <w:rPr>
                <w:sz w:val="21"/>
                <w:szCs w:val="21"/>
                <w:color w:val="auto"/>
              </w:rPr>
            </w:pPr>
          </w:p>
        </w:tc>
        <w:tc>
          <w:tcPr>
            <w:tcW w:w="1700" w:type="dxa"/>
            <w:vAlign w:val="bottom"/>
            <w:tcBorders>
              <w:top w:val="single" w:sz="8" w:color="auto"/>
              <w:bottom w:val="single" w:sz="8" w:color="auto"/>
            </w:tcBorders>
            <w:shd w:val="clear" w:color="auto" w:fill="F3F3F3"/>
          </w:tcPr>
          <w:p>
            <w:pPr>
              <w:spacing w:after="0"/>
              <w:rPr>
                <w:sz w:val="21"/>
                <w:szCs w:val="21"/>
                <w:color w:val="auto"/>
              </w:rPr>
            </w:pPr>
          </w:p>
        </w:tc>
        <w:tc>
          <w:tcPr>
            <w:tcW w:w="160" w:type="dxa"/>
            <w:vAlign w:val="bottom"/>
            <w:tcBorders>
              <w:top w:val="single" w:sz="8" w:color="auto"/>
              <w:bottom w:val="single" w:sz="8" w:color="auto"/>
              <w:right w:val="single" w:sz="8" w:color="F3F3F3"/>
            </w:tcBorders>
            <w:shd w:val="clear" w:color="auto" w:fill="F3F3F3"/>
          </w:tcPr>
          <w:p>
            <w:pPr>
              <w:spacing w:after="0"/>
              <w:rPr>
                <w:sz w:val="21"/>
                <w:szCs w:val="21"/>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21"/>
                <w:szCs w:val="21"/>
                <w:color w:val="auto"/>
              </w:rPr>
            </w:pPr>
          </w:p>
        </w:tc>
        <w:tc>
          <w:tcPr>
            <w:tcW w:w="180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88"/>
        </w:trPr>
        <w:tc>
          <w:tcPr>
            <w:tcW w:w="3820" w:type="dxa"/>
            <w:vAlign w:val="bottom"/>
            <w:tcBorders>
              <w:left w:val="single" w:sz="8" w:color="auto"/>
              <w:right w:val="single" w:sz="8" w:color="auto"/>
            </w:tcBorders>
            <w:gridSpan w:val="2"/>
            <w:vMerge w:val="continue"/>
            <w:shd w:val="clear" w:color="auto" w:fill="F3F3F3"/>
          </w:tcPr>
          <w:p>
            <w:pPr>
              <w:spacing w:after="0"/>
              <w:rPr>
                <w:sz w:val="7"/>
                <w:szCs w:val="7"/>
                <w:color w:val="auto"/>
              </w:rPr>
            </w:pPr>
          </w:p>
        </w:tc>
        <w:tc>
          <w:tcPr>
            <w:tcW w:w="100" w:type="dxa"/>
            <w:vAlign w:val="bottom"/>
            <w:shd w:val="clear" w:color="auto" w:fill="F3F3F3"/>
          </w:tcPr>
          <w:p>
            <w:pPr>
              <w:spacing w:after="0"/>
              <w:rPr>
                <w:sz w:val="7"/>
                <w:szCs w:val="7"/>
                <w:color w:val="auto"/>
              </w:rPr>
            </w:pPr>
          </w:p>
        </w:tc>
        <w:tc>
          <w:tcPr>
            <w:tcW w:w="170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60" w:type="dxa"/>
            <w:vAlign w:val="bottom"/>
            <w:tcBorders>
              <w:right w:val="single" w:sz="8" w:color="auto"/>
            </w:tcBorders>
            <w:shd w:val="clear" w:color="auto" w:fill="F3F3F3"/>
          </w:tcPr>
          <w:p>
            <w:pPr>
              <w:spacing w:after="0"/>
              <w:rPr>
                <w:sz w:val="7"/>
                <w:szCs w:val="7"/>
                <w:color w:val="auto"/>
              </w:rPr>
            </w:pP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29"/>
        </w:trPr>
        <w:tc>
          <w:tcPr>
            <w:tcW w:w="420" w:type="dxa"/>
            <w:vAlign w:val="bottom"/>
            <w:tcBorders>
              <w:left w:val="single" w:sz="8" w:color="auto"/>
              <w:bottom w:val="single" w:sz="8" w:color="auto"/>
            </w:tcBorders>
            <w:shd w:val="clear" w:color="auto" w:fill="F3F3F3"/>
          </w:tcPr>
          <w:p>
            <w:pPr>
              <w:spacing w:after="0"/>
              <w:rPr>
                <w:sz w:val="11"/>
                <w:szCs w:val="11"/>
                <w:color w:val="auto"/>
              </w:rPr>
            </w:pPr>
          </w:p>
        </w:tc>
        <w:tc>
          <w:tcPr>
            <w:tcW w:w="3400" w:type="dxa"/>
            <w:vAlign w:val="bottom"/>
            <w:tcBorders>
              <w:bottom w:val="single" w:sz="8" w:color="auto"/>
              <w:right w:val="single" w:sz="8" w:color="auto"/>
            </w:tcBorders>
            <w:shd w:val="clear" w:color="auto" w:fill="F3F3F3"/>
          </w:tcPr>
          <w:p>
            <w:pPr>
              <w:spacing w:after="0"/>
              <w:rPr>
                <w:sz w:val="11"/>
                <w:szCs w:val="11"/>
                <w:color w:val="auto"/>
              </w:rPr>
            </w:pPr>
          </w:p>
        </w:tc>
        <w:tc>
          <w:tcPr>
            <w:tcW w:w="100" w:type="dxa"/>
            <w:vAlign w:val="bottom"/>
            <w:tcBorders>
              <w:bottom w:val="single" w:sz="8" w:color="auto"/>
            </w:tcBorders>
            <w:shd w:val="clear" w:color="auto" w:fill="F3F3F3"/>
          </w:tcPr>
          <w:p>
            <w:pPr>
              <w:spacing w:after="0"/>
              <w:rPr>
                <w:sz w:val="11"/>
                <w:szCs w:val="11"/>
                <w:color w:val="auto"/>
              </w:rPr>
            </w:pPr>
          </w:p>
        </w:tc>
        <w:tc>
          <w:tcPr>
            <w:tcW w:w="1700" w:type="dxa"/>
            <w:vAlign w:val="bottom"/>
            <w:tcBorders>
              <w:bottom w:val="single" w:sz="8" w:color="auto"/>
            </w:tcBorders>
            <w:vMerge w:val="continue"/>
            <w:shd w:val="clear" w:color="auto" w:fill="F3F3F3"/>
          </w:tcPr>
          <w:p>
            <w:pPr>
              <w:spacing w:after="0"/>
              <w:rPr>
                <w:sz w:val="11"/>
                <w:szCs w:val="11"/>
                <w:color w:val="auto"/>
              </w:rPr>
            </w:pPr>
          </w:p>
        </w:tc>
        <w:tc>
          <w:tcPr>
            <w:tcW w:w="160" w:type="dxa"/>
            <w:vAlign w:val="bottom"/>
            <w:tcBorders>
              <w:bottom w:val="single" w:sz="8" w:color="auto"/>
              <w:right w:val="single" w:sz="8" w:color="auto"/>
            </w:tcBorders>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80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Execute Data Management Strategy</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 reduction</w:t>
            </w: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 reduction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04"/>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Cost savings in technology &amp; operations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 2011</w:t>
            </w:r>
          </w:p>
        </w:tc>
        <w:tc>
          <w:tcPr>
            <w:tcW w:w="100" w:type="dxa"/>
            <w:vAlign w:val="bottom"/>
          </w:tcPr>
          <w:p>
            <w:pPr>
              <w:spacing w:after="0"/>
              <w:rPr>
                <w:sz w:val="20"/>
                <w:szCs w:val="2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Borders>
              <w:left w:val="single" w:sz="8" w:color="auto"/>
            </w:tcBorders>
            <w:vMerge w:val="continue"/>
          </w:tcPr>
          <w:p>
            <w:pPr>
              <w:spacing w:after="0"/>
              <w:rPr>
                <w:sz w:val="17"/>
                <w:szCs w:val="17"/>
                <w:color w:val="auto"/>
              </w:rPr>
            </w:pPr>
          </w:p>
        </w:tc>
        <w:tc>
          <w:tcPr>
            <w:tcW w:w="3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Data architecture implementation, report</w:t>
            </w:r>
          </w:p>
        </w:tc>
        <w:tc>
          <w:tcPr>
            <w:tcW w:w="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continue"/>
          </w:tcPr>
          <w:p>
            <w:pPr>
              <w:spacing w:after="0"/>
              <w:rPr>
                <w:sz w:val="17"/>
                <w:szCs w:val="17"/>
                <w:color w:val="auto"/>
              </w:rPr>
            </w:pPr>
          </w:p>
        </w:tc>
        <w:tc>
          <w:tcPr>
            <w:tcW w:w="1920" w:type="dxa"/>
            <w:vAlign w:val="bottom"/>
            <w:tcBorders>
              <w:right w:val="single" w:sz="8" w:color="auto"/>
            </w:tcBorders>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Chief Executive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3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automation, and data hygiene</w:t>
            </w: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8"/>
              </w:rPr>
              <w:t>Officer</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Officer</w:t>
            </w: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8.</w:t>
            </w:r>
          </w:p>
        </w:tc>
        <w:tc>
          <w:tcPr>
            <w:tcW w:w="34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Lower cost per loan in non-call-center</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servicing operations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 plan to reduce back-office</w:t>
            </w:r>
          </w:p>
        </w:tc>
        <w:tc>
          <w:tcPr>
            <w:tcW w:w="10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Prior to 9/30/12</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Prior to 8/31/12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Prior to 7/31/12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operational costs</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Reduce run-rate cost per loan over 2011</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 reduction</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 reduction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418"/>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Implement OCR technology and cost</w:t>
            </w:r>
          </w:p>
        </w:tc>
        <w:tc>
          <w:tcPr>
            <w:tcW w:w="10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Prior to 10/1/12</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Prior to 9/1/12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Prior to 8/1/12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savings</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9.</w:t>
            </w:r>
          </w:p>
        </w:tc>
        <w:tc>
          <w:tcPr>
            <w:tcW w:w="34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Reduce overall technology cost per loan</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serviced from 2011, excluding disaster</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 reduction</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 reduction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recovery expense or new services</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10.</w:t>
            </w:r>
          </w:p>
        </w:tc>
        <w:tc>
          <w:tcPr>
            <w:tcW w:w="34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Improve management of general and</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transaction legal expenses over 2011</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GL account balance reduction</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 reduction</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 reduction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418"/>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Reduction in transaction-related third-party</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legal costs on new deals compared to cost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 reduction</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 reduction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 dollar of UPB for the Litton Deal</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11.</w:t>
            </w:r>
          </w:p>
        </w:tc>
        <w:tc>
          <w:tcPr>
            <w:tcW w:w="34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Improve management of litigation costs</w:t>
            </w: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5% reduction</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 reduction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15% reduction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over 2011 based on average loan count</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12.</w:t>
            </w:r>
          </w:p>
        </w:tc>
        <w:tc>
          <w:tcPr>
            <w:tcW w:w="34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Deliver high-impact projects into</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production, measured by number of projects</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 projects</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 projects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 projects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delivered by year-end</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13.</w:t>
            </w:r>
          </w:p>
        </w:tc>
        <w:tc>
          <w:tcPr>
            <w:tcW w:w="34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Improve REO timeline relative to Q4 2011</w:t>
            </w: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6"/>
              </w:rPr>
              <w:t>15% decrease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25% decrease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35% decrease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4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baseline performance</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340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830"/>
              <w:spacing w:after="0"/>
              <w:rPr>
                <w:sz w:val="20"/>
                <w:szCs w:val="20"/>
                <w:color w:val="auto"/>
              </w:rPr>
            </w:pPr>
            <w:r>
              <w:rPr>
                <w:rFonts w:ascii="Arial" w:cs="Arial" w:eastAsia="Arial" w:hAnsi="Arial"/>
                <w:sz w:val="18"/>
                <w:szCs w:val="18"/>
                <w:color w:val="auto"/>
                <w:w w:val="79"/>
              </w:rPr>
              <w:t>23</w:t>
            </w:r>
          </w:p>
        </w:tc>
        <w:tc>
          <w:tcPr>
            <w:tcW w:w="1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73" w:right="21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80" w:type="dxa"/>
            <w:vAlign w:val="bottom"/>
            <w:tcBorders>
              <w:top w:val="single" w:sz="8" w:color="auto"/>
              <w:left w:val="single" w:sz="8" w:color="auto"/>
              <w:bottom w:val="single" w:sz="8" w:color="auto"/>
            </w:tcBorders>
            <w:gridSpan w:val="2"/>
            <w:vMerge w:val="restart"/>
            <w:shd w:val="clear" w:color="auto" w:fill="F3F3F3"/>
          </w:tcPr>
          <w:p>
            <w:pPr>
              <w:ind w:left="120"/>
              <w:spacing w:after="0"/>
              <w:rPr>
                <w:sz w:val="20"/>
                <w:szCs w:val="20"/>
                <w:color w:val="auto"/>
              </w:rPr>
            </w:pPr>
            <w:r>
              <w:rPr>
                <w:rFonts w:ascii="Arial" w:cs="Arial" w:eastAsia="Arial" w:hAnsi="Arial"/>
                <w:sz w:val="18"/>
                <w:szCs w:val="18"/>
                <w:b w:val="1"/>
                <w:bCs w:val="1"/>
                <w:color w:val="auto"/>
              </w:rPr>
              <w:t>Strategic Initiatives</w:t>
            </w:r>
          </w:p>
        </w:tc>
        <w:tc>
          <w:tcPr>
            <w:tcW w:w="140" w:type="dxa"/>
            <w:vAlign w:val="bottom"/>
            <w:tcBorders>
              <w:top w:val="single" w:sz="8" w:color="auto"/>
              <w:bottom w:val="single" w:sz="8" w:color="F3F3F3"/>
              <w:right w:val="single" w:sz="8" w:color="auto"/>
            </w:tcBorders>
            <w:shd w:val="clear" w:color="auto" w:fill="F3F3F3"/>
          </w:tcPr>
          <w:p>
            <w:pPr>
              <w:spacing w:after="0"/>
              <w:rPr>
                <w:sz w:val="21"/>
                <w:szCs w:val="21"/>
                <w:color w:val="auto"/>
              </w:rPr>
            </w:pPr>
          </w:p>
        </w:tc>
        <w:tc>
          <w:tcPr>
            <w:tcW w:w="1800" w:type="dxa"/>
            <w:vAlign w:val="bottom"/>
            <w:tcBorders>
              <w:top w:val="single" w:sz="8" w:color="auto"/>
              <w:bottom w:val="single" w:sz="8" w:color="auto"/>
            </w:tcBorders>
            <w:shd w:val="clear" w:color="auto" w:fill="F3F3F3"/>
          </w:tcPr>
          <w:p>
            <w:pPr>
              <w:spacing w:after="0"/>
              <w:rPr>
                <w:sz w:val="21"/>
                <w:szCs w:val="21"/>
                <w:color w:val="auto"/>
              </w:rPr>
            </w:pPr>
          </w:p>
        </w:tc>
        <w:tc>
          <w:tcPr>
            <w:tcW w:w="160" w:type="dxa"/>
            <w:vAlign w:val="bottom"/>
            <w:tcBorders>
              <w:top w:val="single" w:sz="8" w:color="auto"/>
              <w:bottom w:val="single" w:sz="8" w:color="auto"/>
              <w:right w:val="single" w:sz="8" w:color="F3F3F3"/>
            </w:tcBorders>
            <w:shd w:val="clear" w:color="auto" w:fill="F3F3F3"/>
          </w:tcPr>
          <w:p>
            <w:pPr>
              <w:spacing w:after="0"/>
              <w:rPr>
                <w:sz w:val="21"/>
                <w:szCs w:val="21"/>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21"/>
                <w:szCs w:val="21"/>
                <w:color w:val="auto"/>
              </w:rPr>
            </w:pPr>
          </w:p>
        </w:tc>
        <w:tc>
          <w:tcPr>
            <w:tcW w:w="80" w:type="dxa"/>
            <w:vAlign w:val="bottom"/>
            <w:tcBorders>
              <w:top w:val="single" w:sz="8" w:color="auto"/>
              <w:bottom w:val="single" w:sz="8" w:color="F3F3F3"/>
            </w:tcBorders>
            <w:shd w:val="clear" w:color="auto" w:fill="F3F3F3"/>
          </w:tcPr>
          <w:p>
            <w:pPr>
              <w:spacing w:after="0"/>
              <w:rPr>
                <w:sz w:val="21"/>
                <w:szCs w:val="21"/>
                <w:color w:val="auto"/>
              </w:rPr>
            </w:pPr>
          </w:p>
        </w:tc>
        <w:tc>
          <w:tcPr>
            <w:tcW w:w="172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88"/>
        </w:trPr>
        <w:tc>
          <w:tcPr>
            <w:tcW w:w="3680" w:type="dxa"/>
            <w:vAlign w:val="bottom"/>
            <w:tcBorders>
              <w:left w:val="single" w:sz="8" w:color="auto"/>
            </w:tcBorders>
            <w:gridSpan w:val="2"/>
            <w:vMerge w:val="continue"/>
            <w:shd w:val="clear" w:color="auto" w:fill="F3F3F3"/>
          </w:tcPr>
          <w:p>
            <w:pPr>
              <w:spacing w:after="0"/>
              <w:rPr>
                <w:sz w:val="7"/>
                <w:szCs w:val="7"/>
                <w:color w:val="auto"/>
              </w:rPr>
            </w:pPr>
          </w:p>
        </w:tc>
        <w:tc>
          <w:tcPr>
            <w:tcW w:w="140" w:type="dxa"/>
            <w:vAlign w:val="bottom"/>
            <w:tcBorders>
              <w:right w:val="single" w:sz="8" w:color="auto"/>
            </w:tcBorders>
            <w:shd w:val="clear" w:color="auto" w:fill="F3F3F3"/>
          </w:tcPr>
          <w:p>
            <w:pPr>
              <w:spacing w:after="0"/>
              <w:rPr>
                <w:sz w:val="7"/>
                <w:szCs w:val="7"/>
                <w:color w:val="auto"/>
              </w:rPr>
            </w:pPr>
          </w:p>
        </w:tc>
        <w:tc>
          <w:tcPr>
            <w:tcW w:w="1800" w:type="dxa"/>
            <w:vAlign w:val="bottom"/>
            <w:vMerge w:val="restart"/>
            <w:shd w:val="clear" w:color="auto" w:fill="F3F3F3"/>
          </w:tcPr>
          <w:p>
            <w:pPr>
              <w:jc w:val="center"/>
              <w:ind w:left="30"/>
              <w:spacing w:after="0"/>
              <w:rPr>
                <w:sz w:val="20"/>
                <w:szCs w:val="20"/>
                <w:color w:val="auto"/>
              </w:rPr>
            </w:pPr>
            <w:r>
              <w:rPr>
                <w:rFonts w:ascii="Arial" w:cs="Arial" w:eastAsia="Arial" w:hAnsi="Arial"/>
                <w:sz w:val="18"/>
                <w:szCs w:val="18"/>
                <w:b w:val="1"/>
                <w:bCs w:val="1"/>
                <w:color w:val="auto"/>
                <w:w w:val="91"/>
              </w:rPr>
              <w:t>Threshold</w:t>
            </w:r>
          </w:p>
        </w:tc>
        <w:tc>
          <w:tcPr>
            <w:tcW w:w="160" w:type="dxa"/>
            <w:vAlign w:val="bottom"/>
            <w:tcBorders>
              <w:right w:val="single" w:sz="8" w:color="auto"/>
            </w:tcBorders>
            <w:shd w:val="clear" w:color="auto" w:fill="F3F3F3"/>
          </w:tcPr>
          <w:p>
            <w:pPr>
              <w:spacing w:after="0"/>
              <w:rPr>
                <w:sz w:val="7"/>
                <w:szCs w:val="7"/>
                <w:color w:val="auto"/>
              </w:rPr>
            </w:pP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shd w:val="clear" w:color="auto" w:fill="F3F3F3"/>
          </w:tcPr>
          <w:p>
            <w:pPr>
              <w:spacing w:after="0"/>
              <w:rPr>
                <w:sz w:val="7"/>
                <w:szCs w:val="7"/>
                <w:color w:val="auto"/>
              </w:rPr>
            </w:pPr>
          </w:p>
        </w:tc>
        <w:tc>
          <w:tcPr>
            <w:tcW w:w="17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29"/>
        </w:trPr>
        <w:tc>
          <w:tcPr>
            <w:tcW w:w="420" w:type="dxa"/>
            <w:vAlign w:val="bottom"/>
            <w:tcBorders>
              <w:left w:val="single" w:sz="8" w:color="auto"/>
              <w:bottom w:val="single" w:sz="8" w:color="auto"/>
            </w:tcBorders>
            <w:shd w:val="clear" w:color="auto" w:fill="F3F3F3"/>
          </w:tcPr>
          <w:p>
            <w:pPr>
              <w:spacing w:after="0"/>
              <w:rPr>
                <w:sz w:val="11"/>
                <w:szCs w:val="11"/>
                <w:color w:val="auto"/>
              </w:rPr>
            </w:pPr>
          </w:p>
        </w:tc>
        <w:tc>
          <w:tcPr>
            <w:tcW w:w="3260" w:type="dxa"/>
            <w:vAlign w:val="bottom"/>
            <w:tcBorders>
              <w:bottom w:val="single" w:sz="8" w:color="auto"/>
            </w:tcBorders>
            <w:shd w:val="clear" w:color="auto" w:fill="F3F3F3"/>
          </w:tcPr>
          <w:p>
            <w:pPr>
              <w:spacing w:after="0"/>
              <w:rPr>
                <w:sz w:val="11"/>
                <w:szCs w:val="11"/>
                <w:color w:val="auto"/>
              </w:rPr>
            </w:pPr>
          </w:p>
        </w:tc>
        <w:tc>
          <w:tcPr>
            <w:tcW w:w="140" w:type="dxa"/>
            <w:vAlign w:val="bottom"/>
            <w:tcBorders>
              <w:bottom w:val="single" w:sz="8" w:color="auto"/>
              <w:right w:val="single" w:sz="8" w:color="auto"/>
            </w:tcBorders>
            <w:shd w:val="clear" w:color="auto" w:fill="F3F3F3"/>
          </w:tcPr>
          <w:p>
            <w:pPr>
              <w:spacing w:after="0"/>
              <w:rPr>
                <w:sz w:val="11"/>
                <w:szCs w:val="11"/>
                <w:color w:val="auto"/>
              </w:rPr>
            </w:pPr>
          </w:p>
        </w:tc>
        <w:tc>
          <w:tcPr>
            <w:tcW w:w="1800" w:type="dxa"/>
            <w:vAlign w:val="bottom"/>
            <w:tcBorders>
              <w:bottom w:val="single" w:sz="8" w:color="auto"/>
            </w:tcBorders>
            <w:vMerge w:val="continue"/>
            <w:shd w:val="clear" w:color="auto" w:fill="F3F3F3"/>
          </w:tcPr>
          <w:p>
            <w:pPr>
              <w:spacing w:after="0"/>
              <w:rPr>
                <w:sz w:val="11"/>
                <w:szCs w:val="11"/>
                <w:color w:val="auto"/>
              </w:rPr>
            </w:pPr>
          </w:p>
        </w:tc>
        <w:tc>
          <w:tcPr>
            <w:tcW w:w="160" w:type="dxa"/>
            <w:vAlign w:val="bottom"/>
            <w:tcBorders>
              <w:bottom w:val="single" w:sz="8" w:color="auto"/>
              <w:right w:val="single" w:sz="8" w:color="auto"/>
            </w:tcBorders>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80" w:type="dxa"/>
            <w:vAlign w:val="bottom"/>
            <w:tcBorders>
              <w:bottom w:val="single" w:sz="8" w:color="auto"/>
            </w:tcBorders>
            <w:shd w:val="clear" w:color="auto" w:fill="F3F3F3"/>
          </w:tcPr>
          <w:p>
            <w:pPr>
              <w:spacing w:after="0"/>
              <w:rPr>
                <w:sz w:val="11"/>
                <w:szCs w:val="11"/>
                <w:color w:val="auto"/>
              </w:rPr>
            </w:pPr>
          </w:p>
        </w:tc>
        <w:tc>
          <w:tcPr>
            <w:tcW w:w="17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14.</w:t>
            </w:r>
          </w:p>
        </w:tc>
        <w:tc>
          <w:tcPr>
            <w:tcW w:w="3260" w:type="dxa"/>
            <w:vAlign w:val="bottom"/>
          </w:tcPr>
          <w:p>
            <w:pPr>
              <w:ind w:left="60"/>
              <w:spacing w:after="0" w:line="201" w:lineRule="exact"/>
              <w:rPr>
                <w:sz w:val="20"/>
                <w:szCs w:val="20"/>
                <w:color w:val="auto"/>
              </w:rPr>
            </w:pPr>
            <w:r>
              <w:rPr>
                <w:rFonts w:ascii="Arial" w:cs="Arial" w:eastAsia="Arial" w:hAnsi="Arial"/>
                <w:sz w:val="18"/>
                <w:szCs w:val="18"/>
                <w:color w:val="auto"/>
              </w:rPr>
              <w:t>Achieve the targeted improvement over</w:t>
            </w:r>
          </w:p>
        </w:tc>
        <w:tc>
          <w:tcPr>
            <w:tcW w:w="14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w w:val="92"/>
              </w:rPr>
              <w:t>2011 for 2 of the 3 collections effectiveness</w:t>
            </w:r>
          </w:p>
        </w:tc>
        <w:tc>
          <w:tcPr>
            <w:tcW w:w="1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measures:</w:t>
            </w:r>
          </w:p>
        </w:tc>
        <w:tc>
          <w:tcPr>
            <w:tcW w:w="140" w:type="dxa"/>
            <w:vAlign w:val="bottom"/>
            <w:tcBorders>
              <w:righ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260" w:type="dxa"/>
            <w:vAlign w:val="bottom"/>
          </w:tcPr>
          <w:p>
            <w:pPr>
              <w:ind w:left="60"/>
              <w:spacing w:after="0"/>
              <w:rPr>
                <w:sz w:val="20"/>
                <w:szCs w:val="20"/>
                <w:color w:val="auto"/>
              </w:rPr>
            </w:pPr>
            <w:r>
              <w:rPr>
                <w:rFonts w:ascii="Arial" w:cs="Arial" w:eastAsia="Arial" w:hAnsi="Arial"/>
                <w:sz w:val="18"/>
                <w:szCs w:val="18"/>
                <w:color w:val="auto"/>
              </w:rPr>
              <w:t>0-29 Roll Rate Improvement</w:t>
            </w:r>
          </w:p>
        </w:tc>
        <w:tc>
          <w:tcPr>
            <w:tcW w:w="140" w:type="dxa"/>
            <w:vAlign w:val="bottom"/>
            <w:tcBorders>
              <w:right w:val="single" w:sz="8" w:color="auto"/>
            </w:tcBorders>
          </w:tcPr>
          <w:p>
            <w:pPr>
              <w:spacing w:after="0"/>
              <w:rPr>
                <w:sz w:val="24"/>
                <w:szCs w:val="24"/>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1"/>
              </w:rPr>
              <w:t>3.9% improvement</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 improvement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3.5% improvement</w:t>
            </w:r>
          </w:p>
        </w:tc>
        <w:tc>
          <w:tcPr>
            <w:tcW w:w="80" w:type="dxa"/>
            <w:vAlign w:val="bottom"/>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260" w:type="dxa"/>
            <w:vAlign w:val="bottom"/>
          </w:tcPr>
          <w:p>
            <w:pPr>
              <w:ind w:left="60"/>
              <w:spacing w:after="0"/>
              <w:rPr>
                <w:sz w:val="20"/>
                <w:szCs w:val="20"/>
                <w:color w:val="auto"/>
              </w:rPr>
            </w:pPr>
            <w:r>
              <w:rPr>
                <w:rFonts w:ascii="Arial" w:cs="Arial" w:eastAsia="Arial" w:hAnsi="Arial"/>
                <w:sz w:val="18"/>
                <w:szCs w:val="18"/>
                <w:color w:val="auto"/>
              </w:rPr>
              <w:t>30-59 Roll Rate Improvement</w:t>
            </w:r>
          </w:p>
        </w:tc>
        <w:tc>
          <w:tcPr>
            <w:tcW w:w="140" w:type="dxa"/>
            <w:vAlign w:val="bottom"/>
            <w:tcBorders>
              <w:right w:val="single" w:sz="8" w:color="auto"/>
            </w:tcBorders>
          </w:tcPr>
          <w:p>
            <w:pPr>
              <w:spacing w:after="0"/>
              <w:rPr>
                <w:sz w:val="24"/>
                <w:szCs w:val="24"/>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0"/>
              </w:rPr>
              <w:t>33% improvement</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31.3% improvement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29.7% improvement</w:t>
            </w:r>
          </w:p>
        </w:tc>
        <w:tc>
          <w:tcPr>
            <w:tcW w:w="80" w:type="dxa"/>
            <w:vAlign w:val="bottom"/>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32"/>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60 - 89 Roll Rate Improvement</w:t>
            </w:r>
          </w:p>
        </w:tc>
        <w:tc>
          <w:tcPr>
            <w:tcW w:w="1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46.5% improvement</w:t>
            </w:r>
          </w:p>
        </w:tc>
        <w:tc>
          <w:tcPr>
            <w:tcW w:w="1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44.2% improvement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41.9% improvement</w:t>
            </w: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15.</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2"/>
              </w:rPr>
              <w:t>Reduction in 60+ six month re-default rates</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30"/>
              <w:spacing w:after="0" w:line="195" w:lineRule="exact"/>
              <w:rPr>
                <w:sz w:val="20"/>
                <w:szCs w:val="20"/>
                <w:color w:val="auto"/>
              </w:rPr>
            </w:pPr>
            <w:r>
              <w:rPr>
                <w:rFonts w:ascii="Arial" w:cs="Arial" w:eastAsia="Arial" w:hAnsi="Arial"/>
                <w:sz w:val="18"/>
                <w:szCs w:val="18"/>
                <w:color w:val="auto"/>
                <w:w w:val="91"/>
              </w:rPr>
              <w:t>5% improvement</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7.5% improvement</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10% improvement</w:t>
            </w:r>
          </w:p>
        </w:tc>
        <w:tc>
          <w:tcPr>
            <w:tcW w:w="80" w:type="dxa"/>
            <w:vAlign w:val="bottom"/>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over 2011 baseline</w:t>
            </w:r>
          </w:p>
        </w:tc>
        <w:tc>
          <w:tcPr>
            <w:tcW w:w="140" w:type="dxa"/>
            <w:vAlign w:val="bottom"/>
            <w:tcBorders>
              <w:righ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16.</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6"/>
              </w:rPr>
              <w:t>Improve foreclosure timelines, throughput</w:t>
            </w:r>
          </w:p>
        </w:tc>
        <w:tc>
          <w:tcPr>
            <w:tcW w:w="14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and maintaining quality</w:t>
            </w:r>
          </w:p>
        </w:tc>
        <w:tc>
          <w:tcPr>
            <w:tcW w:w="1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Reduce effective gross days open for</w:t>
            </w:r>
          </w:p>
        </w:tc>
        <w:tc>
          <w:tcPr>
            <w:tcW w:w="140" w:type="dxa"/>
            <w:vAlign w:val="bottom"/>
            <w:tcBorders>
              <w:right w:val="single" w:sz="8" w:color="auto"/>
            </w:tcBorders>
          </w:tcPr>
          <w:p>
            <w:pPr>
              <w:spacing w:after="0"/>
              <w:rPr>
                <w:sz w:val="18"/>
                <w:szCs w:val="18"/>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5% reduction</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 reduction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15% reduction</w:t>
            </w:r>
          </w:p>
        </w:tc>
        <w:tc>
          <w:tcPr>
            <w:tcW w:w="80" w:type="dxa"/>
            <w:vAlign w:val="bottom"/>
          </w:tcPr>
          <w:p>
            <w:pPr>
              <w:spacing w:after="0"/>
              <w:rPr>
                <w:sz w:val="18"/>
                <w:szCs w:val="1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judicial and non-judicial cases</w:t>
            </w:r>
          </w:p>
        </w:tc>
        <w:tc>
          <w:tcPr>
            <w:tcW w:w="140" w:type="dxa"/>
            <w:vAlign w:val="bottom"/>
            <w:tcBorders>
              <w:right w:val="single" w:sz="8" w:color="auto"/>
            </w:tcBorders>
          </w:tcPr>
          <w:p>
            <w:pPr>
              <w:spacing w:after="0"/>
              <w:rPr>
                <w:sz w:val="10"/>
                <w:szCs w:val="10"/>
                <w:color w:val="auto"/>
              </w:rPr>
            </w:pPr>
          </w:p>
        </w:tc>
        <w:tc>
          <w:tcPr>
            <w:tcW w:w="18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32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w w:val="95"/>
              </w:rPr>
              <w:t>Increase sale completion ratios for judicial</w:t>
            </w:r>
          </w:p>
        </w:tc>
        <w:tc>
          <w:tcPr>
            <w:tcW w:w="140" w:type="dxa"/>
            <w:vAlign w:val="bottom"/>
            <w:tcBorders>
              <w:right w:val="single" w:sz="8" w:color="auto"/>
            </w:tcBorders>
          </w:tcPr>
          <w:p>
            <w:pPr>
              <w:spacing w:after="0"/>
              <w:rPr>
                <w:sz w:val="18"/>
                <w:szCs w:val="18"/>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0"/>
              </w:rPr>
              <w:t>10% improvement</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 improvement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30% improvement</w:t>
            </w:r>
          </w:p>
        </w:tc>
        <w:tc>
          <w:tcPr>
            <w:tcW w:w="80" w:type="dxa"/>
            <w:vAlign w:val="bottom"/>
          </w:tcPr>
          <w:p>
            <w:pPr>
              <w:spacing w:after="0"/>
              <w:rPr>
                <w:sz w:val="18"/>
                <w:szCs w:val="1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and non-judicial cases</w:t>
            </w:r>
          </w:p>
        </w:tc>
        <w:tc>
          <w:tcPr>
            <w:tcW w:w="140" w:type="dxa"/>
            <w:vAlign w:val="bottom"/>
            <w:tcBorders>
              <w:right w:val="single" w:sz="8" w:color="auto"/>
            </w:tcBorders>
          </w:tcPr>
          <w:p>
            <w:pPr>
              <w:spacing w:after="0"/>
              <w:rPr>
                <w:sz w:val="10"/>
                <w:szCs w:val="10"/>
                <w:color w:val="auto"/>
              </w:rPr>
            </w:pPr>
          </w:p>
        </w:tc>
        <w:tc>
          <w:tcPr>
            <w:tcW w:w="18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17.</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4"/>
              </w:rPr>
              <w:t>Achieve targeted improvement for 3 out of</w:t>
            </w:r>
          </w:p>
        </w:tc>
        <w:tc>
          <w:tcPr>
            <w:tcW w:w="14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4 call center measures over 2011</w:t>
            </w:r>
          </w:p>
        </w:tc>
        <w:tc>
          <w:tcPr>
            <w:tcW w:w="1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40" w:type="dxa"/>
            <w:vAlign w:val="bottom"/>
            <w:tcBorders>
              <w:righ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260" w:type="dxa"/>
            <w:vAlign w:val="bottom"/>
          </w:tcPr>
          <w:p>
            <w:pPr>
              <w:ind w:left="60"/>
              <w:spacing w:after="0"/>
              <w:rPr>
                <w:sz w:val="20"/>
                <w:szCs w:val="20"/>
                <w:color w:val="auto"/>
              </w:rPr>
            </w:pPr>
            <w:r>
              <w:rPr>
                <w:rFonts w:ascii="Arial" w:cs="Arial" w:eastAsia="Arial" w:hAnsi="Arial"/>
                <w:sz w:val="18"/>
                <w:szCs w:val="18"/>
                <w:color w:val="auto"/>
              </w:rPr>
              <w:t>ASA (Seconds)</w:t>
            </w:r>
          </w:p>
        </w:tc>
        <w:tc>
          <w:tcPr>
            <w:tcW w:w="140" w:type="dxa"/>
            <w:vAlign w:val="bottom"/>
            <w:tcBorders>
              <w:right w:val="single" w:sz="8" w:color="auto"/>
            </w:tcBorders>
          </w:tcPr>
          <w:p>
            <w:pPr>
              <w:spacing w:after="0"/>
              <w:rPr>
                <w:sz w:val="24"/>
                <w:szCs w:val="24"/>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86"/>
              </w:rPr>
              <w:t>20 seconds</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15 seconds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12.5 seconds</w:t>
            </w:r>
          </w:p>
        </w:tc>
        <w:tc>
          <w:tcPr>
            <w:tcW w:w="80" w:type="dxa"/>
            <w:vAlign w:val="bottom"/>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260" w:type="dxa"/>
            <w:vAlign w:val="bottom"/>
          </w:tcPr>
          <w:p>
            <w:pPr>
              <w:ind w:left="60"/>
              <w:spacing w:after="0"/>
              <w:rPr>
                <w:sz w:val="20"/>
                <w:szCs w:val="20"/>
                <w:color w:val="auto"/>
              </w:rPr>
            </w:pPr>
            <w:r>
              <w:rPr>
                <w:rFonts w:ascii="Arial" w:cs="Arial" w:eastAsia="Arial" w:hAnsi="Arial"/>
                <w:sz w:val="18"/>
                <w:szCs w:val="18"/>
                <w:color w:val="auto"/>
              </w:rPr>
              <w:t>Abandon Rate %</w:t>
            </w:r>
          </w:p>
        </w:tc>
        <w:tc>
          <w:tcPr>
            <w:tcW w:w="140" w:type="dxa"/>
            <w:vAlign w:val="bottom"/>
            <w:tcBorders>
              <w:right w:val="single" w:sz="8" w:color="auto"/>
            </w:tcBorders>
          </w:tcPr>
          <w:p>
            <w:pPr>
              <w:spacing w:after="0"/>
              <w:rPr>
                <w:sz w:val="24"/>
                <w:szCs w:val="24"/>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87"/>
              </w:rPr>
              <w:t>3.0%</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80" w:type="dxa"/>
            <w:vAlign w:val="bottom"/>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260" w:type="dxa"/>
            <w:vAlign w:val="bottom"/>
          </w:tcPr>
          <w:p>
            <w:pPr>
              <w:ind w:left="60"/>
              <w:spacing w:after="0"/>
              <w:rPr>
                <w:sz w:val="20"/>
                <w:szCs w:val="20"/>
                <w:color w:val="auto"/>
              </w:rPr>
            </w:pPr>
            <w:r>
              <w:rPr>
                <w:rFonts w:ascii="Arial" w:cs="Arial" w:eastAsia="Arial" w:hAnsi="Arial"/>
                <w:sz w:val="18"/>
                <w:szCs w:val="18"/>
                <w:color w:val="auto"/>
              </w:rPr>
              <w:t>Service Level (% &lt; 90 Seconds)</w:t>
            </w:r>
          </w:p>
        </w:tc>
        <w:tc>
          <w:tcPr>
            <w:tcW w:w="140" w:type="dxa"/>
            <w:vAlign w:val="bottom"/>
            <w:tcBorders>
              <w:right w:val="single" w:sz="8" w:color="auto"/>
            </w:tcBorders>
          </w:tcPr>
          <w:p>
            <w:pPr>
              <w:spacing w:after="0"/>
              <w:rPr>
                <w:sz w:val="24"/>
                <w:szCs w:val="24"/>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88"/>
              </w:rPr>
              <w:t>90%</w:t>
            </w: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92%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94%</w:t>
            </w:r>
          </w:p>
        </w:tc>
        <w:tc>
          <w:tcPr>
            <w:tcW w:w="80" w:type="dxa"/>
            <w:vAlign w:val="bottom"/>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32"/>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w:t>
            </w: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QA %</w:t>
            </w:r>
          </w:p>
        </w:tc>
        <w:tc>
          <w:tcPr>
            <w:tcW w:w="1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91.6%</w:t>
            </w:r>
          </w:p>
        </w:tc>
        <w:tc>
          <w:tcPr>
            <w:tcW w:w="1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93%</w:t>
            </w: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18.</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7"/>
              </w:rPr>
              <w:t>Improve One Call resolution process and</w:t>
            </w:r>
          </w:p>
        </w:tc>
        <w:tc>
          <w:tcPr>
            <w:tcW w:w="14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w w:val="99"/>
              </w:rPr>
              <w:t>rates across HAMP Modifications, Short</w:t>
            </w:r>
          </w:p>
        </w:tc>
        <w:tc>
          <w:tcPr>
            <w:tcW w:w="1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Sales, and Appointments Kept %</w:t>
            </w:r>
          </w:p>
        </w:tc>
        <w:tc>
          <w:tcPr>
            <w:tcW w:w="140" w:type="dxa"/>
            <w:vAlign w:val="bottom"/>
            <w:tcBorders>
              <w:right w:val="single" w:sz="8" w:color="auto"/>
            </w:tcBorders>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1"/>
              </w:rPr>
              <w:t>5% improvement</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7.5% improvement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 improvement</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(adjustments allowed by the Executive</w:t>
            </w:r>
          </w:p>
        </w:tc>
        <w:tc>
          <w:tcPr>
            <w:tcW w:w="1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Chairman for process changes)</w:t>
            </w:r>
          </w:p>
        </w:tc>
        <w:tc>
          <w:tcPr>
            <w:tcW w:w="1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19.</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Overall management of corporate</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implementation and actions</w:t>
            </w: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20.</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2"/>
              </w:rPr>
              <w:t>Organizational development and workforce</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management</w:t>
            </w:r>
          </w:p>
        </w:tc>
        <w:tc>
          <w:tcPr>
            <w:tcW w:w="140" w:type="dxa"/>
            <w:vAlign w:val="bottom"/>
            <w:tcBorders>
              <w:right w:val="single" w:sz="8" w:color="auto"/>
            </w:tcBorders>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21.</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9"/>
              </w:rPr>
              <w:t>Enhance Public Relations &amp; Community</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Development</w:t>
            </w: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32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9"/>
        </w:trPr>
        <w:tc>
          <w:tcPr>
            <w:tcW w:w="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830"/>
              <w:spacing w:after="0"/>
              <w:rPr>
                <w:sz w:val="20"/>
                <w:szCs w:val="20"/>
                <w:color w:val="auto"/>
              </w:rPr>
            </w:pPr>
            <w:r>
              <w:rPr>
                <w:rFonts w:ascii="Arial" w:cs="Arial" w:eastAsia="Arial" w:hAnsi="Arial"/>
                <w:sz w:val="18"/>
                <w:szCs w:val="18"/>
                <w:color w:val="auto"/>
                <w:w w:val="79"/>
              </w:rPr>
              <w:t>24</w:t>
            </w: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73" w:right="21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80" w:type="dxa"/>
            <w:vAlign w:val="bottom"/>
            <w:tcBorders>
              <w:top w:val="single" w:sz="8" w:color="auto"/>
              <w:left w:val="single" w:sz="8" w:color="auto"/>
              <w:bottom w:val="single" w:sz="8" w:color="auto"/>
            </w:tcBorders>
            <w:gridSpan w:val="2"/>
            <w:vMerge w:val="restart"/>
            <w:shd w:val="clear" w:color="auto" w:fill="F3F3F3"/>
          </w:tcPr>
          <w:p>
            <w:pPr>
              <w:ind w:left="120"/>
              <w:spacing w:after="0"/>
              <w:rPr>
                <w:sz w:val="20"/>
                <w:szCs w:val="20"/>
                <w:color w:val="auto"/>
              </w:rPr>
            </w:pPr>
            <w:r>
              <w:rPr>
                <w:rFonts w:ascii="Arial" w:cs="Arial" w:eastAsia="Arial" w:hAnsi="Arial"/>
                <w:sz w:val="18"/>
                <w:szCs w:val="18"/>
                <w:b w:val="1"/>
                <w:bCs w:val="1"/>
                <w:color w:val="auto"/>
              </w:rPr>
              <w:t>Strategic Initiatives</w:t>
            </w:r>
          </w:p>
        </w:tc>
        <w:tc>
          <w:tcPr>
            <w:tcW w:w="140" w:type="dxa"/>
            <w:vAlign w:val="bottom"/>
            <w:tcBorders>
              <w:top w:val="single" w:sz="8" w:color="auto"/>
              <w:bottom w:val="single" w:sz="8" w:color="F3F3F3"/>
              <w:right w:val="single" w:sz="8" w:color="auto"/>
            </w:tcBorders>
            <w:shd w:val="clear" w:color="auto" w:fill="F3F3F3"/>
          </w:tcPr>
          <w:p>
            <w:pPr>
              <w:spacing w:after="0"/>
              <w:rPr>
                <w:sz w:val="21"/>
                <w:szCs w:val="21"/>
                <w:color w:val="auto"/>
              </w:rPr>
            </w:pPr>
          </w:p>
        </w:tc>
        <w:tc>
          <w:tcPr>
            <w:tcW w:w="1800" w:type="dxa"/>
            <w:vAlign w:val="bottom"/>
            <w:tcBorders>
              <w:top w:val="single" w:sz="8" w:color="auto"/>
              <w:bottom w:val="single" w:sz="8" w:color="auto"/>
            </w:tcBorders>
            <w:shd w:val="clear" w:color="auto" w:fill="F3F3F3"/>
          </w:tcPr>
          <w:p>
            <w:pPr>
              <w:spacing w:after="0"/>
              <w:rPr>
                <w:sz w:val="21"/>
                <w:szCs w:val="21"/>
                <w:color w:val="auto"/>
              </w:rPr>
            </w:pPr>
          </w:p>
        </w:tc>
        <w:tc>
          <w:tcPr>
            <w:tcW w:w="160" w:type="dxa"/>
            <w:vAlign w:val="bottom"/>
            <w:tcBorders>
              <w:top w:val="single" w:sz="8" w:color="auto"/>
              <w:bottom w:val="single" w:sz="8" w:color="auto"/>
              <w:right w:val="single" w:sz="8" w:color="F3F3F3"/>
            </w:tcBorders>
            <w:shd w:val="clear" w:color="auto" w:fill="F3F3F3"/>
          </w:tcPr>
          <w:p>
            <w:pPr>
              <w:spacing w:after="0"/>
              <w:rPr>
                <w:sz w:val="21"/>
                <w:szCs w:val="21"/>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21"/>
                <w:szCs w:val="21"/>
                <w:color w:val="auto"/>
              </w:rPr>
            </w:pPr>
          </w:p>
        </w:tc>
        <w:tc>
          <w:tcPr>
            <w:tcW w:w="80" w:type="dxa"/>
            <w:vAlign w:val="bottom"/>
            <w:tcBorders>
              <w:top w:val="single" w:sz="8" w:color="auto"/>
              <w:bottom w:val="single" w:sz="8" w:color="F3F3F3"/>
            </w:tcBorders>
            <w:shd w:val="clear" w:color="auto" w:fill="F3F3F3"/>
          </w:tcPr>
          <w:p>
            <w:pPr>
              <w:spacing w:after="0"/>
              <w:rPr>
                <w:sz w:val="21"/>
                <w:szCs w:val="21"/>
                <w:color w:val="auto"/>
              </w:rPr>
            </w:pPr>
          </w:p>
        </w:tc>
        <w:tc>
          <w:tcPr>
            <w:tcW w:w="172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88"/>
        </w:trPr>
        <w:tc>
          <w:tcPr>
            <w:tcW w:w="3680" w:type="dxa"/>
            <w:vAlign w:val="bottom"/>
            <w:tcBorders>
              <w:left w:val="single" w:sz="8" w:color="auto"/>
            </w:tcBorders>
            <w:gridSpan w:val="2"/>
            <w:vMerge w:val="continue"/>
            <w:shd w:val="clear" w:color="auto" w:fill="F3F3F3"/>
          </w:tcPr>
          <w:p>
            <w:pPr>
              <w:spacing w:after="0"/>
              <w:rPr>
                <w:sz w:val="7"/>
                <w:szCs w:val="7"/>
                <w:color w:val="auto"/>
              </w:rPr>
            </w:pPr>
          </w:p>
        </w:tc>
        <w:tc>
          <w:tcPr>
            <w:tcW w:w="140" w:type="dxa"/>
            <w:vAlign w:val="bottom"/>
            <w:tcBorders>
              <w:right w:val="single" w:sz="8" w:color="auto"/>
            </w:tcBorders>
            <w:shd w:val="clear" w:color="auto" w:fill="F3F3F3"/>
          </w:tcPr>
          <w:p>
            <w:pPr>
              <w:spacing w:after="0"/>
              <w:rPr>
                <w:sz w:val="7"/>
                <w:szCs w:val="7"/>
                <w:color w:val="auto"/>
              </w:rPr>
            </w:pPr>
          </w:p>
        </w:tc>
        <w:tc>
          <w:tcPr>
            <w:tcW w:w="1800" w:type="dxa"/>
            <w:vAlign w:val="bottom"/>
            <w:vMerge w:val="restart"/>
            <w:shd w:val="clear" w:color="auto" w:fill="F3F3F3"/>
          </w:tcPr>
          <w:p>
            <w:pPr>
              <w:jc w:val="center"/>
              <w:ind w:left="30"/>
              <w:spacing w:after="0"/>
              <w:rPr>
                <w:sz w:val="20"/>
                <w:szCs w:val="20"/>
                <w:color w:val="auto"/>
              </w:rPr>
            </w:pPr>
            <w:r>
              <w:rPr>
                <w:rFonts w:ascii="Arial" w:cs="Arial" w:eastAsia="Arial" w:hAnsi="Arial"/>
                <w:sz w:val="18"/>
                <w:szCs w:val="18"/>
                <w:b w:val="1"/>
                <w:bCs w:val="1"/>
                <w:color w:val="auto"/>
                <w:w w:val="91"/>
              </w:rPr>
              <w:t>Threshold</w:t>
            </w:r>
          </w:p>
        </w:tc>
        <w:tc>
          <w:tcPr>
            <w:tcW w:w="160" w:type="dxa"/>
            <w:vAlign w:val="bottom"/>
            <w:tcBorders>
              <w:right w:val="single" w:sz="8" w:color="auto"/>
            </w:tcBorders>
            <w:shd w:val="clear" w:color="auto" w:fill="F3F3F3"/>
          </w:tcPr>
          <w:p>
            <w:pPr>
              <w:spacing w:after="0"/>
              <w:rPr>
                <w:sz w:val="7"/>
                <w:szCs w:val="7"/>
                <w:color w:val="auto"/>
              </w:rPr>
            </w:pP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shd w:val="clear" w:color="auto" w:fill="F3F3F3"/>
          </w:tcPr>
          <w:p>
            <w:pPr>
              <w:spacing w:after="0"/>
              <w:rPr>
                <w:sz w:val="7"/>
                <w:szCs w:val="7"/>
                <w:color w:val="auto"/>
              </w:rPr>
            </w:pPr>
          </w:p>
        </w:tc>
        <w:tc>
          <w:tcPr>
            <w:tcW w:w="17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29"/>
        </w:trPr>
        <w:tc>
          <w:tcPr>
            <w:tcW w:w="420" w:type="dxa"/>
            <w:vAlign w:val="bottom"/>
            <w:tcBorders>
              <w:left w:val="single" w:sz="8" w:color="auto"/>
              <w:bottom w:val="single" w:sz="8" w:color="auto"/>
            </w:tcBorders>
            <w:shd w:val="clear" w:color="auto" w:fill="F3F3F3"/>
          </w:tcPr>
          <w:p>
            <w:pPr>
              <w:spacing w:after="0"/>
              <w:rPr>
                <w:sz w:val="11"/>
                <w:szCs w:val="11"/>
                <w:color w:val="auto"/>
              </w:rPr>
            </w:pPr>
          </w:p>
        </w:tc>
        <w:tc>
          <w:tcPr>
            <w:tcW w:w="3260" w:type="dxa"/>
            <w:vAlign w:val="bottom"/>
            <w:tcBorders>
              <w:bottom w:val="single" w:sz="8" w:color="auto"/>
            </w:tcBorders>
            <w:shd w:val="clear" w:color="auto" w:fill="F3F3F3"/>
          </w:tcPr>
          <w:p>
            <w:pPr>
              <w:spacing w:after="0"/>
              <w:rPr>
                <w:sz w:val="11"/>
                <w:szCs w:val="11"/>
                <w:color w:val="auto"/>
              </w:rPr>
            </w:pPr>
          </w:p>
        </w:tc>
        <w:tc>
          <w:tcPr>
            <w:tcW w:w="140" w:type="dxa"/>
            <w:vAlign w:val="bottom"/>
            <w:tcBorders>
              <w:bottom w:val="single" w:sz="8" w:color="auto"/>
              <w:right w:val="single" w:sz="8" w:color="auto"/>
            </w:tcBorders>
            <w:shd w:val="clear" w:color="auto" w:fill="F3F3F3"/>
          </w:tcPr>
          <w:p>
            <w:pPr>
              <w:spacing w:after="0"/>
              <w:rPr>
                <w:sz w:val="11"/>
                <w:szCs w:val="11"/>
                <w:color w:val="auto"/>
              </w:rPr>
            </w:pPr>
          </w:p>
        </w:tc>
        <w:tc>
          <w:tcPr>
            <w:tcW w:w="1800" w:type="dxa"/>
            <w:vAlign w:val="bottom"/>
            <w:tcBorders>
              <w:bottom w:val="single" w:sz="8" w:color="auto"/>
            </w:tcBorders>
            <w:vMerge w:val="continue"/>
            <w:shd w:val="clear" w:color="auto" w:fill="F3F3F3"/>
          </w:tcPr>
          <w:p>
            <w:pPr>
              <w:spacing w:after="0"/>
              <w:rPr>
                <w:sz w:val="11"/>
                <w:szCs w:val="11"/>
                <w:color w:val="auto"/>
              </w:rPr>
            </w:pPr>
          </w:p>
        </w:tc>
        <w:tc>
          <w:tcPr>
            <w:tcW w:w="160" w:type="dxa"/>
            <w:vAlign w:val="bottom"/>
            <w:tcBorders>
              <w:bottom w:val="single" w:sz="8" w:color="auto"/>
              <w:right w:val="single" w:sz="8" w:color="auto"/>
            </w:tcBorders>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80" w:type="dxa"/>
            <w:vAlign w:val="bottom"/>
            <w:tcBorders>
              <w:bottom w:val="single" w:sz="8" w:color="auto"/>
            </w:tcBorders>
            <w:shd w:val="clear" w:color="auto" w:fill="F3F3F3"/>
          </w:tcPr>
          <w:p>
            <w:pPr>
              <w:spacing w:after="0"/>
              <w:rPr>
                <w:sz w:val="11"/>
                <w:szCs w:val="11"/>
                <w:color w:val="auto"/>
              </w:rPr>
            </w:pPr>
          </w:p>
        </w:tc>
        <w:tc>
          <w:tcPr>
            <w:tcW w:w="17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22.</w:t>
            </w:r>
          </w:p>
        </w:tc>
        <w:tc>
          <w:tcPr>
            <w:tcW w:w="3260" w:type="dxa"/>
            <w:vAlign w:val="bottom"/>
          </w:tcPr>
          <w:p>
            <w:pPr>
              <w:ind w:left="60"/>
              <w:spacing w:after="0" w:line="201" w:lineRule="exact"/>
              <w:rPr>
                <w:sz w:val="20"/>
                <w:szCs w:val="20"/>
                <w:color w:val="auto"/>
              </w:rPr>
            </w:pPr>
            <w:r>
              <w:rPr>
                <w:rFonts w:ascii="Arial" w:cs="Arial" w:eastAsia="Arial" w:hAnsi="Arial"/>
                <w:sz w:val="18"/>
                <w:szCs w:val="18"/>
                <w:color w:val="auto"/>
              </w:rPr>
              <w:t>Integration of Pricing, Costing and</w:t>
            </w:r>
          </w:p>
        </w:tc>
        <w:tc>
          <w:tcPr>
            <w:tcW w:w="140" w:type="dxa"/>
            <w:vAlign w:val="bottom"/>
            <w:tcBorders>
              <w:right w:val="single" w:sz="8" w:color="auto"/>
            </w:tcBorders>
          </w:tcPr>
          <w:p>
            <w:pPr>
              <w:spacing w:after="0"/>
              <w:rPr>
                <w:sz w:val="17"/>
                <w:szCs w:val="17"/>
                <w:color w:val="auto"/>
              </w:rPr>
            </w:pPr>
          </w:p>
        </w:tc>
        <w:tc>
          <w:tcPr>
            <w:tcW w:w="180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7"/>
                <w:szCs w:val="1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Reporting</w:t>
            </w: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23.</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Improve the Finance Department</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24.</w:t>
            </w:r>
          </w:p>
        </w:tc>
        <w:tc>
          <w:tcPr>
            <w:tcW w:w="3260" w:type="dxa"/>
            <w:vAlign w:val="bottom"/>
          </w:tcPr>
          <w:p>
            <w:pPr>
              <w:ind w:left="60"/>
              <w:spacing w:after="0"/>
              <w:rPr>
                <w:sz w:val="20"/>
                <w:szCs w:val="20"/>
                <w:color w:val="auto"/>
              </w:rPr>
            </w:pPr>
            <w:r>
              <w:rPr>
                <w:rFonts w:ascii="Arial" w:cs="Arial" w:eastAsia="Arial" w:hAnsi="Arial"/>
                <w:sz w:val="18"/>
                <w:szCs w:val="18"/>
                <w:color w:val="auto"/>
                <w:w w:val="90"/>
              </w:rPr>
              <w:t>Reduce delinquency percentages over 2011</w:t>
            </w:r>
          </w:p>
        </w:tc>
        <w:tc>
          <w:tcPr>
            <w:tcW w:w="14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Average monthly 2012 completed</w:t>
            </w:r>
          </w:p>
        </w:tc>
        <w:tc>
          <w:tcPr>
            <w:tcW w:w="140" w:type="dxa"/>
            <w:vAlign w:val="bottom"/>
            <w:tcBorders>
              <w:righ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modifications as a percentage of 60+</w:t>
            </w:r>
          </w:p>
        </w:tc>
        <w:tc>
          <w:tcPr>
            <w:tcW w:w="140" w:type="dxa"/>
            <w:vAlign w:val="bottom"/>
            <w:tcBorders>
              <w:right w:val="single" w:sz="8" w:color="auto"/>
            </w:tcBorders>
          </w:tcPr>
          <w:p>
            <w:pPr>
              <w:spacing w:after="0"/>
              <w:rPr>
                <w:sz w:val="18"/>
                <w:szCs w:val="18"/>
                <w:color w:val="auto"/>
              </w:rPr>
            </w:pP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6.8%</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rPr>
              <w:t>7.2%</w:t>
            </w:r>
          </w:p>
        </w:tc>
        <w:tc>
          <w:tcPr>
            <w:tcW w:w="192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delinquents</w:t>
            </w:r>
          </w:p>
        </w:tc>
        <w:tc>
          <w:tcPr>
            <w:tcW w:w="140" w:type="dxa"/>
            <w:vAlign w:val="bottom"/>
            <w:tcBorders>
              <w:righ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w w:val="91"/>
              </w:rPr>
              <w:t>Number of short sales and deed in lieu as a</w:t>
            </w:r>
          </w:p>
        </w:tc>
        <w:tc>
          <w:tcPr>
            <w:tcW w:w="140" w:type="dxa"/>
            <w:vAlign w:val="bottom"/>
            <w:tcBorders>
              <w:righ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percentage of total property resolutions</w:t>
            </w:r>
          </w:p>
        </w:tc>
        <w:tc>
          <w:tcPr>
            <w:tcW w:w="140" w:type="dxa"/>
            <w:vAlign w:val="bottom"/>
            <w:tcBorders>
              <w:right w:val="single" w:sz="8" w:color="auto"/>
            </w:tcBorders>
          </w:tcPr>
          <w:p>
            <w:pPr>
              <w:spacing w:after="0"/>
              <w:rPr>
                <w:sz w:val="18"/>
                <w:szCs w:val="18"/>
                <w:color w:val="auto"/>
              </w:rPr>
            </w:pPr>
          </w:p>
        </w:tc>
        <w:tc>
          <w:tcPr>
            <w:tcW w:w="1800" w:type="dxa"/>
            <w:vAlign w:val="bottom"/>
          </w:tcPr>
          <w:p>
            <w:pPr>
              <w:jc w:val="right"/>
              <w:ind w:right="590"/>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35%</w:t>
            </w:r>
          </w:p>
        </w:tc>
        <w:tc>
          <w:tcPr>
            <w:tcW w:w="19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completed</w:t>
            </w:r>
          </w:p>
        </w:tc>
        <w:tc>
          <w:tcPr>
            <w:tcW w:w="1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25.</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Improve credit and servicer ratings</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26.</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3"/>
              </w:rPr>
              <w:t>Develop and execute compliance plans for</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Federal and AG Settlement, CFPB and</w:t>
            </w:r>
          </w:p>
        </w:tc>
        <w:tc>
          <w:tcPr>
            <w:tcW w:w="140" w:type="dxa"/>
            <w:vAlign w:val="bottom"/>
            <w:tcBorders>
              <w:right w:val="single" w:sz="8" w:color="auto"/>
            </w:tcBorders>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regulatory changes or gaps</w:t>
            </w:r>
          </w:p>
        </w:tc>
        <w:tc>
          <w:tcPr>
            <w:tcW w:w="1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27.</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Improve sigma calculation of customer</w:t>
            </w:r>
          </w:p>
        </w:tc>
        <w:tc>
          <w:tcPr>
            <w:tcW w:w="140" w:type="dxa"/>
            <w:vAlign w:val="bottom"/>
            <w:tcBorders>
              <w:right w:val="single" w:sz="8" w:color="auto"/>
            </w:tcBorders>
          </w:tcPr>
          <w:p>
            <w:pPr>
              <w:spacing w:after="0"/>
              <w:rPr>
                <w:sz w:val="16"/>
                <w:szCs w:val="16"/>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0"/>
              </w:rPr>
              <w:t>4.68 sigma</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4.72 sigma</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4.76 sigma</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rPr>
              <w:t>satisfaction survey over 2011</w:t>
            </w:r>
          </w:p>
        </w:tc>
        <w:tc>
          <w:tcPr>
            <w:tcW w:w="140" w:type="dxa"/>
            <w:vAlign w:val="bottom"/>
            <w:tcBorders>
              <w:right w:val="single" w:sz="8" w:color="auto"/>
            </w:tcBorders>
          </w:tcPr>
          <w:p>
            <w:pPr>
              <w:spacing w:after="0"/>
              <w:rPr>
                <w:sz w:val="10"/>
                <w:szCs w:val="10"/>
                <w:color w:val="auto"/>
              </w:rPr>
            </w:pPr>
          </w:p>
        </w:tc>
        <w:tc>
          <w:tcPr>
            <w:tcW w:w="18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28.</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Develop Social Media Plan</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29.</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Improve Staffing Models</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30.</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w w:val="99"/>
              </w:rPr>
              <w:t>Execution of Shared Appreciation Model</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Plan</w:t>
            </w:r>
          </w:p>
        </w:tc>
        <w:tc>
          <w:tcPr>
            <w:tcW w:w="140" w:type="dxa"/>
            <w:vAlign w:val="bottom"/>
            <w:tcBorders>
              <w:right w:val="single" w:sz="8" w:color="auto"/>
            </w:tcBorders>
          </w:tcPr>
          <w:p>
            <w:pPr>
              <w:spacing w:after="0"/>
              <w:rPr>
                <w:sz w:val="18"/>
                <w:szCs w:val="18"/>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2"/>
              </w:rPr>
              <w:t>Chief Executive</w:t>
            </w:r>
          </w:p>
        </w:tc>
        <w:tc>
          <w:tcPr>
            <w:tcW w:w="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Chief Executive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Chief Executive</w:t>
            </w:r>
          </w:p>
        </w:tc>
        <w:tc>
          <w:tcPr>
            <w:tcW w:w="80" w:type="dxa"/>
            <w:vAlign w:val="bottom"/>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Officer</w:t>
            </w:r>
          </w:p>
        </w:tc>
        <w:tc>
          <w:tcPr>
            <w:tcW w:w="16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31.</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Execute Formation of OMS</w:t>
            </w:r>
          </w:p>
        </w:tc>
        <w:tc>
          <w:tcPr>
            <w:tcW w:w="140" w:type="dxa"/>
            <w:vAlign w:val="bottom"/>
            <w:tcBorders>
              <w:right w:val="single" w:sz="8" w:color="auto"/>
            </w:tcBorders>
          </w:tcPr>
          <w:p>
            <w:pPr>
              <w:spacing w:after="0"/>
              <w:rPr>
                <w:sz w:val="16"/>
                <w:szCs w:val="16"/>
                <w:color w:val="auto"/>
              </w:rPr>
            </w:pPr>
          </w:p>
        </w:tc>
        <w:tc>
          <w:tcPr>
            <w:tcW w:w="18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2"/>
              </w:rPr>
              <w:t>At the discretion of the</w:t>
            </w:r>
          </w:p>
        </w:tc>
        <w:tc>
          <w:tcPr>
            <w:tcW w:w="1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Executive Chairman</w:t>
            </w:r>
          </w:p>
        </w:tc>
        <w:tc>
          <w:tcPr>
            <w:tcW w:w="1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830"/>
              <w:spacing w:after="0"/>
              <w:rPr>
                <w:sz w:val="20"/>
                <w:szCs w:val="20"/>
                <w:color w:val="auto"/>
              </w:rPr>
            </w:pPr>
            <w:r>
              <w:rPr>
                <w:rFonts w:ascii="Arial" w:cs="Arial" w:eastAsia="Arial" w:hAnsi="Arial"/>
                <w:sz w:val="18"/>
                <w:szCs w:val="18"/>
                <w:color w:val="auto"/>
                <w:w w:val="79"/>
              </w:rPr>
              <w:t>25</w:t>
            </w: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73" w:right="21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80" w:type="dxa"/>
            <w:vAlign w:val="bottom"/>
            <w:tcBorders>
              <w:top w:val="single" w:sz="8" w:color="auto"/>
              <w:left w:val="single" w:sz="8" w:color="auto"/>
              <w:bottom w:val="single" w:sz="8" w:color="auto"/>
            </w:tcBorders>
            <w:gridSpan w:val="2"/>
            <w:vMerge w:val="restart"/>
            <w:shd w:val="clear" w:color="auto" w:fill="F3F3F3"/>
          </w:tcPr>
          <w:p>
            <w:pPr>
              <w:ind w:left="120"/>
              <w:spacing w:after="0"/>
              <w:rPr>
                <w:sz w:val="20"/>
                <w:szCs w:val="20"/>
                <w:color w:val="auto"/>
              </w:rPr>
            </w:pPr>
            <w:r>
              <w:rPr>
                <w:rFonts w:ascii="Arial" w:cs="Arial" w:eastAsia="Arial" w:hAnsi="Arial"/>
                <w:sz w:val="18"/>
                <w:szCs w:val="18"/>
                <w:b w:val="1"/>
                <w:bCs w:val="1"/>
                <w:color w:val="auto"/>
              </w:rPr>
              <w:t>Strategic Initiatives</w:t>
            </w:r>
          </w:p>
        </w:tc>
        <w:tc>
          <w:tcPr>
            <w:tcW w:w="140" w:type="dxa"/>
            <w:vAlign w:val="bottom"/>
            <w:tcBorders>
              <w:top w:val="single" w:sz="8" w:color="auto"/>
              <w:bottom w:val="single" w:sz="8" w:color="F3F3F3"/>
              <w:right w:val="single" w:sz="8" w:color="auto"/>
            </w:tcBorders>
            <w:shd w:val="clear" w:color="auto" w:fill="F3F3F3"/>
          </w:tcPr>
          <w:p>
            <w:pPr>
              <w:spacing w:after="0"/>
              <w:rPr>
                <w:sz w:val="21"/>
                <w:szCs w:val="21"/>
                <w:color w:val="auto"/>
              </w:rPr>
            </w:pPr>
          </w:p>
        </w:tc>
        <w:tc>
          <w:tcPr>
            <w:tcW w:w="1960" w:type="dxa"/>
            <w:vAlign w:val="bottom"/>
            <w:tcBorders>
              <w:top w:val="single" w:sz="8" w:color="auto"/>
              <w:bottom w:val="single" w:sz="8" w:color="auto"/>
              <w:right w:val="single" w:sz="8" w:color="F3F3F3"/>
            </w:tcBorders>
            <w:shd w:val="clear" w:color="auto" w:fill="F3F3F3"/>
          </w:tcPr>
          <w:p>
            <w:pPr>
              <w:spacing w:after="0"/>
              <w:rPr>
                <w:sz w:val="21"/>
                <w:szCs w:val="21"/>
                <w:color w:val="auto"/>
              </w:rPr>
            </w:pPr>
          </w:p>
        </w:tc>
        <w:tc>
          <w:tcPr>
            <w:tcW w:w="1940" w:type="dxa"/>
            <w:vAlign w:val="bottom"/>
            <w:tcBorders>
              <w:top w:val="single" w:sz="8" w:color="auto"/>
              <w:bottom w:val="single" w:sz="8" w:color="auto"/>
              <w:right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920" w:type="dxa"/>
            <w:vAlign w:val="bottom"/>
            <w:tcBorders>
              <w:top w:val="single" w:sz="8" w:color="auto"/>
              <w:bottom w:val="single" w:sz="8" w:color="auto"/>
              <w:right w:val="single" w:sz="8" w:color="auto"/>
            </w:tcBorders>
            <w:shd w:val="clear" w:color="auto" w:fill="F3F3F3"/>
          </w:tcPr>
          <w:p>
            <w:pPr>
              <w:spacing w:after="0"/>
              <w:rPr>
                <w:sz w:val="21"/>
                <w:szCs w:val="21"/>
                <w:color w:val="auto"/>
              </w:rPr>
            </w:pPr>
          </w:p>
        </w:tc>
        <w:tc>
          <w:tcPr>
            <w:tcW w:w="80" w:type="dxa"/>
            <w:vAlign w:val="bottom"/>
            <w:tcBorders>
              <w:top w:val="single" w:sz="8" w:color="auto"/>
              <w:bottom w:val="single" w:sz="8" w:color="F3F3F3"/>
            </w:tcBorders>
            <w:shd w:val="clear" w:color="auto" w:fill="F3F3F3"/>
          </w:tcPr>
          <w:p>
            <w:pPr>
              <w:spacing w:after="0"/>
              <w:rPr>
                <w:sz w:val="21"/>
                <w:szCs w:val="21"/>
                <w:color w:val="auto"/>
              </w:rPr>
            </w:pPr>
          </w:p>
        </w:tc>
        <w:tc>
          <w:tcPr>
            <w:tcW w:w="172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88"/>
        </w:trPr>
        <w:tc>
          <w:tcPr>
            <w:tcW w:w="3680" w:type="dxa"/>
            <w:vAlign w:val="bottom"/>
            <w:tcBorders>
              <w:left w:val="single" w:sz="8" w:color="auto"/>
            </w:tcBorders>
            <w:gridSpan w:val="2"/>
            <w:vMerge w:val="continue"/>
            <w:shd w:val="clear" w:color="auto" w:fill="F3F3F3"/>
          </w:tcPr>
          <w:p>
            <w:pPr>
              <w:spacing w:after="0"/>
              <w:rPr>
                <w:sz w:val="7"/>
                <w:szCs w:val="7"/>
                <w:color w:val="auto"/>
              </w:rPr>
            </w:pPr>
          </w:p>
        </w:tc>
        <w:tc>
          <w:tcPr>
            <w:tcW w:w="140" w:type="dxa"/>
            <w:vAlign w:val="bottom"/>
            <w:tcBorders>
              <w:right w:val="single" w:sz="8" w:color="auto"/>
            </w:tcBorders>
            <w:shd w:val="clear" w:color="auto" w:fill="F3F3F3"/>
          </w:tcPr>
          <w:p>
            <w:pPr>
              <w:spacing w:after="0"/>
              <w:rPr>
                <w:sz w:val="7"/>
                <w:szCs w:val="7"/>
                <w:color w:val="auto"/>
              </w:rPr>
            </w:pPr>
          </w:p>
        </w:tc>
        <w:tc>
          <w:tcPr>
            <w:tcW w:w="196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94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shd w:val="clear" w:color="auto" w:fill="F3F3F3"/>
          </w:tcPr>
          <w:p>
            <w:pPr>
              <w:spacing w:after="0"/>
              <w:rPr>
                <w:sz w:val="7"/>
                <w:szCs w:val="7"/>
                <w:color w:val="auto"/>
              </w:rPr>
            </w:pPr>
          </w:p>
        </w:tc>
        <w:tc>
          <w:tcPr>
            <w:tcW w:w="1720" w:type="dxa"/>
            <w:vAlign w:val="bottom"/>
            <w:tcBorders>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29"/>
        </w:trPr>
        <w:tc>
          <w:tcPr>
            <w:tcW w:w="420" w:type="dxa"/>
            <w:vAlign w:val="bottom"/>
            <w:tcBorders>
              <w:left w:val="single" w:sz="8" w:color="auto"/>
              <w:bottom w:val="single" w:sz="8" w:color="auto"/>
            </w:tcBorders>
            <w:shd w:val="clear" w:color="auto" w:fill="F3F3F3"/>
          </w:tcPr>
          <w:p>
            <w:pPr>
              <w:spacing w:after="0"/>
              <w:rPr>
                <w:sz w:val="11"/>
                <w:szCs w:val="11"/>
                <w:color w:val="auto"/>
              </w:rPr>
            </w:pPr>
          </w:p>
        </w:tc>
        <w:tc>
          <w:tcPr>
            <w:tcW w:w="3260" w:type="dxa"/>
            <w:vAlign w:val="bottom"/>
            <w:tcBorders>
              <w:bottom w:val="single" w:sz="8" w:color="auto"/>
            </w:tcBorders>
            <w:shd w:val="clear" w:color="auto" w:fill="F3F3F3"/>
          </w:tcPr>
          <w:p>
            <w:pPr>
              <w:spacing w:after="0"/>
              <w:rPr>
                <w:sz w:val="11"/>
                <w:szCs w:val="11"/>
                <w:color w:val="auto"/>
              </w:rPr>
            </w:pPr>
          </w:p>
        </w:tc>
        <w:tc>
          <w:tcPr>
            <w:tcW w:w="140" w:type="dxa"/>
            <w:vAlign w:val="bottom"/>
            <w:tcBorders>
              <w:bottom w:val="single" w:sz="8" w:color="auto"/>
              <w:right w:val="single" w:sz="8" w:color="auto"/>
            </w:tcBorders>
            <w:shd w:val="clear" w:color="auto" w:fill="F3F3F3"/>
          </w:tcPr>
          <w:p>
            <w:pPr>
              <w:spacing w:after="0"/>
              <w:rPr>
                <w:sz w:val="11"/>
                <w:szCs w:val="11"/>
                <w:color w:val="auto"/>
              </w:rPr>
            </w:pPr>
          </w:p>
        </w:tc>
        <w:tc>
          <w:tcPr>
            <w:tcW w:w="196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4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9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80" w:type="dxa"/>
            <w:vAlign w:val="bottom"/>
            <w:tcBorders>
              <w:bottom w:val="single" w:sz="8" w:color="auto"/>
            </w:tcBorders>
            <w:shd w:val="clear" w:color="auto" w:fill="F3F3F3"/>
          </w:tcPr>
          <w:p>
            <w:pPr>
              <w:spacing w:after="0"/>
              <w:rPr>
                <w:sz w:val="11"/>
                <w:szCs w:val="11"/>
                <w:color w:val="auto"/>
              </w:rPr>
            </w:pPr>
          </w:p>
        </w:tc>
        <w:tc>
          <w:tcPr>
            <w:tcW w:w="17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32.</w:t>
            </w:r>
          </w:p>
        </w:tc>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Improve Total Attrition Rate over 2011</w:t>
            </w:r>
          </w:p>
        </w:tc>
        <w:tc>
          <w:tcPr>
            <w:tcW w:w="1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 improvement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 improvement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 improvement</w:t>
            </w: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33.</w:t>
            </w:r>
          </w:p>
        </w:tc>
        <w:tc>
          <w:tcPr>
            <w:tcW w:w="3260" w:type="dxa"/>
            <w:vAlign w:val="bottom"/>
          </w:tcPr>
          <w:p>
            <w:pPr>
              <w:ind w:left="60"/>
              <w:spacing w:after="0" w:line="195" w:lineRule="exact"/>
              <w:rPr>
                <w:sz w:val="20"/>
                <w:szCs w:val="20"/>
                <w:color w:val="auto"/>
              </w:rPr>
            </w:pPr>
            <w:r>
              <w:rPr>
                <w:rFonts w:ascii="Arial" w:cs="Arial" w:eastAsia="Arial" w:hAnsi="Arial"/>
                <w:sz w:val="18"/>
                <w:szCs w:val="18"/>
                <w:color w:val="auto"/>
              </w:rPr>
              <w:t>Attrition Process Management</w:t>
            </w:r>
          </w:p>
        </w:tc>
        <w:tc>
          <w:tcPr>
            <w:tcW w:w="1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 of the</w:t>
            </w:r>
          </w:p>
        </w:tc>
        <w:tc>
          <w:tcPr>
            <w:tcW w:w="80" w:type="dxa"/>
            <w:vAlign w:val="bottom"/>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80" w:type="dxa"/>
            <w:vAlign w:val="bottom"/>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incentive award for our Executive Chairman was determined by the Compensation Committee based 100% on the Company’s performance in meeting the objectives established in the corporate scorecard.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incentive awards for our executive officers other than the Executive Chairman are structured so that compensation opportunities are related to (i) the performance appraisal of the executive officer and (ii) the performance within the business or support unit as expressed on each executive officer’s personal scorecard. For the 2012 service year, the applicable percentage weight assigned to each component of each such executive officer’s incentive compensation is detailed below:</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180" w:type="dxa"/>
            <w:vAlign w:val="bottom"/>
            <w:tcBorders>
              <w:top w:val="single" w:sz="8" w:color="auto"/>
              <w:left w:val="single" w:sz="8" w:color="auto"/>
              <w:right w:val="single" w:sz="8" w:color="auto"/>
            </w:tcBorders>
            <w:shd w:val="clear" w:color="auto" w:fill="F3F3F3"/>
          </w:tcPr>
          <w:p>
            <w:pPr>
              <w:spacing w:after="0"/>
              <w:rPr>
                <w:sz w:val="19"/>
                <w:szCs w:val="19"/>
                <w:color w:val="auto"/>
              </w:rPr>
            </w:pPr>
          </w:p>
        </w:tc>
        <w:tc>
          <w:tcPr>
            <w:tcW w:w="3060" w:type="dxa"/>
            <w:vAlign w:val="bottom"/>
            <w:tcBorders>
              <w:top w:val="single" w:sz="8" w:color="auto"/>
              <w:right w:val="single" w:sz="8" w:color="auto"/>
            </w:tcBorders>
            <w:shd w:val="clear" w:color="auto" w:fill="F3F3F3"/>
          </w:tcPr>
          <w:p>
            <w:pPr>
              <w:ind w:left="620"/>
              <w:spacing w:after="0"/>
              <w:rPr>
                <w:sz w:val="20"/>
                <w:szCs w:val="20"/>
                <w:color w:val="auto"/>
              </w:rPr>
            </w:pPr>
            <w:r>
              <w:rPr>
                <w:rFonts w:ascii="Arial" w:cs="Arial" w:eastAsia="Arial" w:hAnsi="Arial"/>
                <w:sz w:val="18"/>
                <w:szCs w:val="18"/>
                <w:b w:val="1"/>
                <w:bCs w:val="1"/>
                <w:color w:val="auto"/>
              </w:rPr>
              <w:t>Performance Appraisal</w:t>
            </w:r>
          </w:p>
        </w:tc>
        <w:tc>
          <w:tcPr>
            <w:tcW w:w="3180" w:type="dxa"/>
            <w:vAlign w:val="bottom"/>
            <w:tcBorders>
              <w:top w:val="single" w:sz="8" w:color="auto"/>
              <w:right w:val="single" w:sz="8" w:color="auto"/>
            </w:tcBorders>
            <w:shd w:val="clear" w:color="auto" w:fill="F3F3F3"/>
          </w:tcPr>
          <w:p>
            <w:pPr>
              <w:ind w:left="1180"/>
              <w:spacing w:after="0"/>
              <w:rPr>
                <w:sz w:val="20"/>
                <w:szCs w:val="20"/>
                <w:color w:val="auto"/>
              </w:rPr>
            </w:pPr>
            <w:r>
              <w:rPr>
                <w:rFonts w:ascii="Arial" w:cs="Arial" w:eastAsia="Arial" w:hAnsi="Arial"/>
                <w:sz w:val="18"/>
                <w:szCs w:val="18"/>
                <w:b w:val="1"/>
                <w:bCs w:val="1"/>
                <w:color w:val="auto"/>
              </w:rPr>
              <w:t>Scorecard</w:t>
            </w:r>
          </w:p>
        </w:tc>
      </w:tr>
      <w:tr>
        <w:trPr>
          <w:trHeight w:val="241"/>
        </w:trPr>
        <w:tc>
          <w:tcPr>
            <w:tcW w:w="5180" w:type="dxa"/>
            <w:vAlign w:val="bottom"/>
            <w:tcBorders>
              <w:left w:val="single" w:sz="8" w:color="auto"/>
              <w:bottom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Name</w:t>
            </w:r>
          </w:p>
        </w:tc>
        <w:tc>
          <w:tcPr>
            <w:tcW w:w="30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rPr>
              <w:t>(%)</w:t>
            </w:r>
          </w:p>
        </w:tc>
        <w:tc>
          <w:tcPr>
            <w:tcW w:w="31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rPr>
              <w:t>(%)</w:t>
            </w:r>
          </w:p>
        </w:tc>
      </w:tr>
      <w:tr>
        <w:trPr>
          <w:trHeight w:val="216"/>
        </w:trPr>
        <w:tc>
          <w:tcPr>
            <w:tcW w:w="51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Ronald M. Faris</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10"/>
        </w:trPr>
        <w:tc>
          <w:tcPr>
            <w:tcW w:w="51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Paul A. Koches</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10"/>
        </w:trPr>
        <w:tc>
          <w:tcPr>
            <w:tcW w:w="51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V. Britti</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10"/>
        </w:trPr>
        <w:tc>
          <w:tcPr>
            <w:tcW w:w="51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P. Van Vlack</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17"/>
        </w:trPr>
        <w:tc>
          <w:tcPr>
            <w:tcW w:w="51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Kenneth D. Najour</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bl>
    <w:p>
      <w:pPr>
        <w:spacing w:after="0" w:line="20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executive officer’s personal scorecard contains key components of the Company’s strategic initiatives related to the executive’s business or support unit. The weighted value of the various goals in each executive scorecard varies depending upon the relative importance of the goals in and the executive’s relative contribution to the ultimate financial performance of the Company and achievement of the strategic initiatives. Additionally, in developing the goals in the executives’ scorecards, a methodology is used to discourage executives from pursuing short term risks to attain their goals. Within each component of the scorecard, there are three (3) established levels of achievement: Threshold, Target and Outstanding.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results in no compensation to the executive for the associated goal.</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goals and initiatives are further cascaded to all of our other incentive-eligible employees in their personal scorecards. Within this program, all incentive-eligible employees are tied to a personal or business unit scorecard from which to measure performance against goals that are directly linked to corporate profitability and strategy. 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 This incentive compensation structure is intended to align the goals of our executives with the overall success of the company while establishing clear performance standards within their respective business or support units.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40"/>
          </w:cols>
          <w:pgMar w:left="240" w:top="673" w:right="21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personal scorecards for our executive officers other than the Executive Chairman and the corresponding levels of achievement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4913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913630"/>
                    </a:xfrm>
                    <a:prstGeom prst="rect">
                      <a:avLst/>
                    </a:prstGeom>
                    <a:noFill/>
                  </pic:spPr>
                </pic:pic>
              </a:graphicData>
            </a:graphic>
          </wp:anchor>
        </w:drawing>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Scorecards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 w:type="dxa"/>
            <w:vAlign w:val="bottom"/>
            <w:tcBorders>
              <w:top w:val="single" w:sz="8" w:color="auto"/>
            </w:tcBorders>
          </w:tcPr>
          <w:p>
            <w:pPr>
              <w:spacing w:after="0"/>
              <w:rPr>
                <w:sz w:val="24"/>
                <w:szCs w:val="24"/>
                <w:color w:val="auto"/>
              </w:rPr>
            </w:pPr>
          </w:p>
        </w:tc>
        <w:tc>
          <w:tcPr>
            <w:tcW w:w="162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82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3160" w:type="dxa"/>
            <w:vAlign w:val="bottom"/>
            <w:tcBorders>
              <w:top w:val="single" w:sz="8" w:color="auto"/>
              <w:bottom w:val="single" w:sz="8" w:color="F3F3F3"/>
            </w:tcBorders>
            <w:shd w:val="clear" w:color="auto" w:fill="F3F3F3"/>
          </w:tcPr>
          <w:p>
            <w:pPr>
              <w:spacing w:after="0"/>
              <w:rPr>
                <w:sz w:val="24"/>
                <w:szCs w:val="24"/>
                <w:color w:val="auto"/>
              </w:rPr>
            </w:pPr>
          </w:p>
        </w:tc>
        <w:tc>
          <w:tcPr>
            <w:tcW w:w="14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1380" w:type="dxa"/>
            <w:vAlign w:val="bottom"/>
            <w:tcBorders>
              <w:top w:val="single" w:sz="8" w:color="auto"/>
              <w:bottom w:val="single" w:sz="8" w:color="F3F3F3"/>
            </w:tcBorders>
            <w:shd w:val="clear" w:color="auto" w:fill="F3F3F3"/>
          </w:tcPr>
          <w:p>
            <w:pPr>
              <w:spacing w:after="0"/>
              <w:rPr>
                <w:sz w:val="24"/>
                <w:szCs w:val="24"/>
                <w:color w:val="auto"/>
              </w:rPr>
            </w:pPr>
          </w:p>
        </w:tc>
        <w:tc>
          <w:tcPr>
            <w:tcW w:w="1620" w:type="dxa"/>
            <w:vAlign w:val="bottom"/>
            <w:tcBorders>
              <w:top w:val="single" w:sz="8" w:color="auto"/>
              <w:bottom w:val="single" w:sz="8" w:color="F3F3F3"/>
            </w:tcBorders>
            <w:gridSpan w:val="3"/>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42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1220" w:type="dxa"/>
            <w:vAlign w:val="bottom"/>
            <w:tcBorders>
              <w:top w:val="single" w:sz="8" w:color="auto"/>
              <w:bottom w:val="single" w:sz="8" w:color="F3F3F3"/>
            </w:tcBorders>
            <w:shd w:val="clear" w:color="auto" w:fill="F3F3F3"/>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top w:val="single" w:sz="8" w:color="F3F3F3"/>
              <w:right w:val="single" w:sz="8" w:color="auto"/>
            </w:tcBorders>
            <w:shd w:val="clear" w:color="auto" w:fill="F3F3F3"/>
          </w:tcPr>
          <w:p>
            <w:pPr>
              <w:spacing w:after="0"/>
              <w:rPr>
                <w:sz w:val="24"/>
                <w:szCs w:val="24"/>
                <w:color w:val="auto"/>
              </w:rPr>
            </w:pPr>
          </w:p>
        </w:tc>
        <w:tc>
          <w:tcPr>
            <w:tcW w:w="820" w:type="dxa"/>
            <w:vAlign w:val="bottom"/>
            <w:tcBorders>
              <w:top w:val="single" w:sz="8" w:color="F3F3F3"/>
              <w:right w:val="single" w:sz="8" w:color="auto"/>
            </w:tcBorders>
            <w:shd w:val="clear" w:color="auto" w:fill="F3F3F3"/>
          </w:tcPr>
          <w:p>
            <w:pPr>
              <w:spacing w:after="0"/>
              <w:rPr>
                <w:sz w:val="24"/>
                <w:szCs w:val="24"/>
                <w:color w:val="auto"/>
              </w:rPr>
            </w:pPr>
          </w:p>
        </w:tc>
        <w:tc>
          <w:tcPr>
            <w:tcW w:w="3160" w:type="dxa"/>
            <w:vAlign w:val="bottom"/>
            <w:tcBorders>
              <w:top w:val="single" w:sz="8" w:color="F3F3F3"/>
            </w:tcBorders>
            <w:vMerge w:val="restart"/>
            <w:shd w:val="clear" w:color="auto" w:fill="F3F3F3"/>
          </w:tcPr>
          <w:p>
            <w:pPr>
              <w:ind w:left="560"/>
              <w:spacing w:after="0"/>
              <w:rPr>
                <w:sz w:val="20"/>
                <w:szCs w:val="20"/>
                <w:color w:val="auto"/>
              </w:rPr>
            </w:pPr>
            <w:r>
              <w:rPr>
                <w:rFonts w:ascii="Arial" w:cs="Arial" w:eastAsia="Arial" w:hAnsi="Arial"/>
                <w:sz w:val="18"/>
                <w:szCs w:val="18"/>
                <w:b w:val="1"/>
                <w:bCs w:val="1"/>
                <w:color w:val="auto"/>
              </w:rPr>
              <w:t xml:space="preserve">2012 Scorecard Elements </w:t>
            </w:r>
            <w:r>
              <w:rPr>
                <w:rFonts w:ascii="Arial" w:cs="Arial" w:eastAsia="Arial" w:hAnsi="Arial"/>
                <w:sz w:val="30"/>
                <w:szCs w:val="30"/>
                <w:color w:val="auto"/>
                <w:vertAlign w:val="superscript"/>
              </w:rPr>
              <w:t>(1)</w:t>
            </w:r>
          </w:p>
        </w:tc>
        <w:tc>
          <w:tcPr>
            <w:tcW w:w="140" w:type="dxa"/>
            <w:vAlign w:val="bottom"/>
            <w:tcBorders>
              <w:top w:val="single" w:sz="8" w:color="F3F3F3"/>
              <w:right w:val="single" w:sz="8" w:color="auto"/>
            </w:tcBorders>
            <w:shd w:val="clear" w:color="auto" w:fill="F3F3F3"/>
          </w:tcPr>
          <w:p>
            <w:pPr>
              <w:spacing w:after="0"/>
              <w:rPr>
                <w:sz w:val="24"/>
                <w:szCs w:val="24"/>
                <w:color w:val="auto"/>
              </w:rPr>
            </w:pPr>
          </w:p>
        </w:tc>
        <w:tc>
          <w:tcPr>
            <w:tcW w:w="1380" w:type="dxa"/>
            <w:vAlign w:val="bottom"/>
            <w:tcBorders>
              <w:top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00" w:type="dxa"/>
            <w:vAlign w:val="bottom"/>
            <w:tcBorders>
              <w:top w:val="single" w:sz="8" w:color="auto"/>
              <w:right w:val="single" w:sz="8" w:color="auto"/>
            </w:tcBorders>
            <w:shd w:val="clear" w:color="auto" w:fill="F3F3F3"/>
          </w:tcPr>
          <w:p>
            <w:pPr>
              <w:spacing w:after="0"/>
              <w:rPr>
                <w:sz w:val="24"/>
                <w:szCs w:val="24"/>
                <w:color w:val="auto"/>
              </w:rPr>
            </w:pPr>
          </w:p>
        </w:tc>
        <w:tc>
          <w:tcPr>
            <w:tcW w:w="148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40" w:type="dxa"/>
            <w:vAlign w:val="bottom"/>
            <w:tcBorders>
              <w:top w:val="single" w:sz="8" w:color="auto"/>
            </w:tcBorders>
            <w:shd w:val="clear" w:color="auto" w:fill="F3F3F3"/>
          </w:tcPr>
          <w:p>
            <w:pPr>
              <w:spacing w:after="0"/>
              <w:rPr>
                <w:sz w:val="24"/>
                <w:szCs w:val="24"/>
                <w:color w:val="auto"/>
              </w:rPr>
            </w:pPr>
          </w:p>
        </w:tc>
        <w:tc>
          <w:tcPr>
            <w:tcW w:w="142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tcBorders>
              <w:top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20" w:type="dxa"/>
            <w:vAlign w:val="bottom"/>
            <w:tcBorders>
              <w:bottom w:val="single" w:sz="8" w:color="F3F3F3"/>
              <w:right w:val="single" w:sz="8" w:color="auto"/>
            </w:tcBorders>
            <w:shd w:val="clear" w:color="auto" w:fill="F3F3F3"/>
          </w:tcPr>
          <w:p>
            <w:pPr>
              <w:ind w:left="120"/>
              <w:spacing w:after="0"/>
              <w:rPr>
                <w:sz w:val="20"/>
                <w:szCs w:val="20"/>
                <w:color w:val="auto"/>
              </w:rPr>
            </w:pPr>
            <w:r>
              <w:rPr>
                <w:rFonts w:ascii="Arial" w:cs="Arial" w:eastAsia="Arial" w:hAnsi="Arial"/>
                <w:sz w:val="18"/>
                <w:szCs w:val="18"/>
                <w:b w:val="1"/>
                <w:bCs w:val="1"/>
                <w:color w:val="auto"/>
              </w:rPr>
              <w:t>Name</w:t>
            </w:r>
          </w:p>
        </w:tc>
        <w:tc>
          <w:tcPr>
            <w:tcW w:w="82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rPr>
              <w:t>%</w:t>
            </w:r>
          </w:p>
        </w:tc>
        <w:tc>
          <w:tcPr>
            <w:tcW w:w="3160" w:type="dxa"/>
            <w:vAlign w:val="bottom"/>
            <w:tcBorders>
              <w:bottom w:val="single" w:sz="8" w:color="F3F3F3"/>
            </w:tcBorders>
            <w:vMerge w:val="continue"/>
            <w:shd w:val="clear" w:color="auto" w:fill="F3F3F3"/>
          </w:tcPr>
          <w:p>
            <w:pPr>
              <w:spacing w:after="0"/>
              <w:rPr>
                <w:sz w:val="20"/>
                <w:szCs w:val="20"/>
                <w:color w:val="auto"/>
              </w:rPr>
            </w:pPr>
          </w:p>
        </w:tc>
        <w:tc>
          <w:tcPr>
            <w:tcW w:w="140" w:type="dxa"/>
            <w:vAlign w:val="bottom"/>
            <w:tcBorders>
              <w:bottom w:val="single" w:sz="8" w:color="F3F3F3"/>
              <w:right w:val="single" w:sz="8" w:color="auto"/>
            </w:tcBorders>
            <w:shd w:val="clear" w:color="auto" w:fill="F3F3F3"/>
          </w:tcPr>
          <w:p>
            <w:pPr>
              <w:spacing w:after="0"/>
              <w:rPr>
                <w:sz w:val="20"/>
                <w:szCs w:val="20"/>
                <w:color w:val="auto"/>
              </w:rPr>
            </w:pPr>
          </w:p>
        </w:tc>
        <w:tc>
          <w:tcPr>
            <w:tcW w:w="1380" w:type="dxa"/>
            <w:vAlign w:val="bottom"/>
            <w:tcBorders>
              <w:bottom w:val="single" w:sz="8" w:color="F3F3F3"/>
            </w:tcBorders>
            <w:vMerge w:val="continue"/>
            <w:shd w:val="clear" w:color="auto" w:fill="F3F3F3"/>
          </w:tcPr>
          <w:p>
            <w:pPr>
              <w:spacing w:after="0"/>
              <w:rPr>
                <w:sz w:val="20"/>
                <w:szCs w:val="20"/>
                <w:color w:val="auto"/>
              </w:rPr>
            </w:pPr>
          </w:p>
        </w:tc>
        <w:tc>
          <w:tcPr>
            <w:tcW w:w="100" w:type="dxa"/>
            <w:vAlign w:val="bottom"/>
            <w:tcBorders>
              <w:bottom w:val="single" w:sz="8" w:color="F3F3F3"/>
              <w:right w:val="single" w:sz="8" w:color="auto"/>
            </w:tcBorders>
            <w:shd w:val="clear" w:color="auto" w:fill="F3F3F3"/>
          </w:tcPr>
          <w:p>
            <w:pPr>
              <w:spacing w:after="0"/>
              <w:rPr>
                <w:sz w:val="20"/>
                <w:szCs w:val="20"/>
                <w:color w:val="auto"/>
              </w:rPr>
            </w:pPr>
          </w:p>
        </w:tc>
        <w:tc>
          <w:tcPr>
            <w:tcW w:w="1480" w:type="dxa"/>
            <w:vAlign w:val="bottom"/>
            <w:tcBorders>
              <w:bottom w:val="single" w:sz="8" w:color="F3F3F3"/>
              <w:right w:val="single" w:sz="8" w:color="auto"/>
            </w:tcBorders>
            <w:vMerge w:val="continue"/>
            <w:shd w:val="clear" w:color="auto" w:fill="F3F3F3"/>
          </w:tcPr>
          <w:p>
            <w:pPr>
              <w:spacing w:after="0"/>
              <w:rPr>
                <w:sz w:val="20"/>
                <w:szCs w:val="20"/>
                <w:color w:val="auto"/>
              </w:rPr>
            </w:pPr>
          </w:p>
        </w:tc>
        <w:tc>
          <w:tcPr>
            <w:tcW w:w="40" w:type="dxa"/>
            <w:vAlign w:val="bottom"/>
            <w:tcBorders>
              <w:bottom w:val="single" w:sz="8" w:color="F3F3F3"/>
            </w:tcBorders>
            <w:shd w:val="clear" w:color="auto" w:fill="F3F3F3"/>
          </w:tcPr>
          <w:p>
            <w:pPr>
              <w:spacing w:after="0"/>
              <w:rPr>
                <w:sz w:val="20"/>
                <w:szCs w:val="20"/>
                <w:color w:val="auto"/>
              </w:rPr>
            </w:pPr>
          </w:p>
        </w:tc>
        <w:tc>
          <w:tcPr>
            <w:tcW w:w="1420" w:type="dxa"/>
            <w:vAlign w:val="bottom"/>
            <w:tcBorders>
              <w:bottom w:val="single" w:sz="8" w:color="F3F3F3"/>
              <w:right w:val="single" w:sz="8" w:color="auto"/>
            </w:tcBorders>
            <w:vMerge w:val="continue"/>
            <w:shd w:val="clear" w:color="auto" w:fill="F3F3F3"/>
          </w:tcPr>
          <w:p>
            <w:pPr>
              <w:spacing w:after="0"/>
              <w:rPr>
                <w:sz w:val="20"/>
                <w:szCs w:val="20"/>
                <w:color w:val="auto"/>
              </w:rPr>
            </w:pPr>
          </w:p>
        </w:tc>
        <w:tc>
          <w:tcPr>
            <w:tcW w:w="1220" w:type="dxa"/>
            <w:vAlign w:val="bottom"/>
            <w:tcBorders>
              <w:bottom w:val="single" w:sz="8" w:color="F3F3F3"/>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7.5%</w:t>
            </w:r>
          </w:p>
        </w:tc>
        <w:tc>
          <w:tcPr>
            <w:tcW w:w="316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Achieve Earnings Per Share target</w:t>
            </w:r>
          </w:p>
        </w:tc>
        <w:tc>
          <w:tcPr>
            <w:tcW w:w="14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95% of Target =</w:t>
            </w:r>
          </w:p>
        </w:tc>
        <w:tc>
          <w:tcPr>
            <w:tcW w:w="10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w:t>
            </w:r>
          </w:p>
        </w:tc>
        <w:tc>
          <w:tcPr>
            <w:tcW w:w="40" w:type="dxa"/>
            <w:vAlign w:val="bottom"/>
            <w:tcBorders>
              <w:top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105% of Target =</w:t>
            </w:r>
          </w:p>
        </w:tc>
        <w:tc>
          <w:tcPr>
            <w:tcW w:w="1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Ronald M. Faris</w:t>
            </w:r>
          </w:p>
        </w:tc>
        <w:tc>
          <w:tcPr>
            <w:tcW w:w="820" w:type="dxa"/>
            <w:vAlign w:val="bottom"/>
            <w:tcBorders>
              <w:right w:val="single" w:sz="8" w:color="auto"/>
            </w:tcBorders>
            <w:vMerge w:val="continue"/>
          </w:tcPr>
          <w:p>
            <w:pPr>
              <w:spacing w:after="0"/>
              <w:rPr>
                <w:sz w:val="10"/>
                <w:szCs w:val="10"/>
                <w:color w:val="auto"/>
              </w:rPr>
            </w:pPr>
          </w:p>
        </w:tc>
        <w:tc>
          <w:tcPr>
            <w:tcW w:w="31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3"/>
              </w:rPr>
              <w:t>$1.15</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$1.27</w:t>
            </w:r>
          </w:p>
        </w:tc>
        <w:tc>
          <w:tcPr>
            <w:tcW w:w="12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160" w:type="dxa"/>
            <w:vAlign w:val="bottom"/>
          </w:tcPr>
          <w:p>
            <w:pPr>
              <w:ind w:left="80"/>
              <w:spacing w:after="0"/>
              <w:rPr>
                <w:sz w:val="20"/>
                <w:szCs w:val="20"/>
                <w:color w:val="auto"/>
              </w:rPr>
            </w:pPr>
            <w:r>
              <w:rPr>
                <w:rFonts w:ascii="Arial" w:cs="Arial" w:eastAsia="Arial" w:hAnsi="Arial"/>
                <w:sz w:val="18"/>
                <w:szCs w:val="18"/>
                <w:color w:val="auto"/>
              </w:rPr>
              <w:t>Reduce asset intensity by:</w:t>
            </w:r>
          </w:p>
        </w:tc>
        <w:tc>
          <w:tcPr>
            <w:tcW w:w="14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160" w:type="dxa"/>
            <w:vAlign w:val="bottom"/>
            <w:vMerge w:val="restart"/>
          </w:tcPr>
          <w:p>
            <w:pPr>
              <w:ind w:left="100"/>
              <w:spacing w:after="0"/>
              <w:rPr>
                <w:sz w:val="20"/>
                <w:szCs w:val="20"/>
                <w:color w:val="auto"/>
              </w:rPr>
            </w:pPr>
            <w:r>
              <w:rPr>
                <w:rFonts w:ascii="Arial" w:cs="Arial" w:eastAsia="Arial" w:hAnsi="Arial"/>
                <w:sz w:val="18"/>
                <w:szCs w:val="18"/>
                <w:color w:val="auto"/>
                <w:w w:val="91"/>
              </w:rPr>
              <w:t>·   Reducing average days loans spend in</w:t>
            </w:r>
          </w:p>
        </w:tc>
        <w:tc>
          <w:tcPr>
            <w:tcW w:w="140" w:type="dxa"/>
            <w:vAlign w:val="bottom"/>
            <w:tcBorders>
              <w:right w:val="single" w:sz="8" w:color="auto"/>
            </w:tcBorders>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7% reduction</w:t>
            </w: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 reduction</w:t>
            </w:r>
          </w:p>
        </w:tc>
        <w:tc>
          <w:tcPr>
            <w:tcW w:w="40" w:type="dxa"/>
            <w:vAlign w:val="bottom"/>
          </w:tcPr>
          <w:p>
            <w:pPr>
              <w:spacing w:after="0"/>
              <w:rPr>
                <w:sz w:val="24"/>
                <w:szCs w:val="2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 reduction</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16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from 2011</w:t>
            </w: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2011</w:t>
            </w:r>
          </w:p>
        </w:tc>
        <w:tc>
          <w:tcPr>
            <w:tcW w:w="40" w:type="dxa"/>
            <w:vAlign w:val="bottom"/>
          </w:tcPr>
          <w:p>
            <w:pPr>
              <w:spacing w:after="0"/>
              <w:rPr>
                <w:sz w:val="9"/>
                <w:szCs w:val="9"/>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2011</w:t>
            </w:r>
          </w:p>
        </w:tc>
        <w:tc>
          <w:tcPr>
            <w:tcW w:w="12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160" w:type="dxa"/>
            <w:vAlign w:val="bottom"/>
            <w:vMerge w:val="restart"/>
          </w:tcPr>
          <w:p>
            <w:pPr>
              <w:ind w:left="420"/>
              <w:spacing w:after="0"/>
              <w:rPr>
                <w:sz w:val="20"/>
                <w:szCs w:val="20"/>
                <w:color w:val="auto"/>
              </w:rPr>
            </w:pPr>
            <w:r>
              <w:rPr>
                <w:rFonts w:ascii="Arial" w:cs="Arial" w:eastAsia="Arial" w:hAnsi="Arial"/>
                <w:sz w:val="18"/>
                <w:szCs w:val="18"/>
                <w:color w:val="auto"/>
              </w:rPr>
              <w:t>90+ contractual delinquency</w:t>
            </w:r>
          </w:p>
        </w:tc>
        <w:tc>
          <w:tcPr>
            <w:tcW w:w="140" w:type="dxa"/>
            <w:vAlign w:val="bottom"/>
            <w:tcBorders>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7.5%</w:t>
            </w:r>
          </w:p>
        </w:tc>
        <w:tc>
          <w:tcPr>
            <w:tcW w:w="31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ind w:left="10"/>
              <w:spacing w:after="0"/>
              <w:rPr>
                <w:sz w:val="20"/>
                <w:szCs w:val="20"/>
                <w:color w:val="auto"/>
              </w:rPr>
            </w:pPr>
            <w:r>
              <w:rPr>
                <w:rFonts w:ascii="Arial" w:cs="Arial" w:eastAsia="Arial" w:hAnsi="Arial"/>
                <w:sz w:val="18"/>
                <w:szCs w:val="18"/>
                <w:color w:val="auto"/>
                <w:w w:val="86"/>
              </w:rPr>
              <w:t>average</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3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w w:val="95"/>
              </w:rPr>
              <w:t>·   Reducing Gross Advances in relation</w:t>
            </w:r>
          </w:p>
        </w:tc>
        <w:tc>
          <w:tcPr>
            <w:tcW w:w="140" w:type="dxa"/>
            <w:vAlign w:val="bottom"/>
            <w:tcBorders>
              <w:right w:val="single" w:sz="8" w:color="auto"/>
            </w:tcBorders>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19% reduction</w:t>
            </w: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21% reduction</w:t>
            </w:r>
          </w:p>
        </w:tc>
        <w:tc>
          <w:tcPr>
            <w:tcW w:w="40" w:type="dxa"/>
            <w:vAlign w:val="bottom"/>
          </w:tcPr>
          <w:p>
            <w:pPr>
              <w:spacing w:after="0"/>
              <w:rPr>
                <w:sz w:val="24"/>
                <w:szCs w:val="2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23% reduction</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Threshold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160" w:type="dxa"/>
            <w:vAlign w:val="bottom"/>
            <w:vMerge w:val="restart"/>
          </w:tcPr>
          <w:p>
            <w:pPr>
              <w:ind w:left="420"/>
              <w:spacing w:after="0"/>
              <w:rPr>
                <w:sz w:val="20"/>
                <w:szCs w:val="20"/>
                <w:color w:val="auto"/>
              </w:rPr>
            </w:pPr>
            <w:r>
              <w:rPr>
                <w:rFonts w:ascii="Arial" w:cs="Arial" w:eastAsia="Arial" w:hAnsi="Arial"/>
                <w:sz w:val="18"/>
                <w:szCs w:val="18"/>
                <w:color w:val="auto"/>
              </w:rPr>
              <w:t>to unpaid principal balance</w:t>
            </w:r>
          </w:p>
        </w:tc>
        <w:tc>
          <w:tcPr>
            <w:tcW w:w="140" w:type="dxa"/>
            <w:vAlign w:val="bottom"/>
            <w:tcBorders>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31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from 2011</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2011</w:t>
            </w: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2011</w:t>
            </w: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7.5%</w:t>
            </w:r>
          </w:p>
        </w:tc>
        <w:tc>
          <w:tcPr>
            <w:tcW w:w="3160" w:type="dxa"/>
            <w:vAlign w:val="bottom"/>
          </w:tcPr>
          <w:p>
            <w:pPr>
              <w:ind w:left="80"/>
              <w:spacing w:after="0" w:line="195" w:lineRule="exact"/>
              <w:rPr>
                <w:sz w:val="20"/>
                <w:szCs w:val="20"/>
                <w:color w:val="auto"/>
              </w:rPr>
            </w:pPr>
            <w:r>
              <w:rPr>
                <w:rFonts w:ascii="Arial" w:cs="Arial" w:eastAsia="Arial" w:hAnsi="Arial"/>
                <w:sz w:val="18"/>
                <w:szCs w:val="18"/>
                <w:color w:val="auto"/>
              </w:rPr>
              <w:t>Improve the 2012 Average 60+</w:t>
            </w:r>
          </w:p>
        </w:tc>
        <w:tc>
          <w:tcPr>
            <w:tcW w:w="140" w:type="dxa"/>
            <w:vAlign w:val="bottom"/>
            <w:tcBorders>
              <w:right w:val="single" w:sz="8" w:color="auto"/>
            </w:tcBorders>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3"/>
              </w:rPr>
              <w:t>5% reduction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10% reduction</w:t>
            </w:r>
          </w:p>
        </w:tc>
        <w:tc>
          <w:tcPr>
            <w:tcW w:w="40" w:type="dxa"/>
            <w:vAlign w:val="bottom"/>
          </w:tcPr>
          <w:p>
            <w:pPr>
              <w:spacing w:after="0"/>
              <w:rPr>
                <w:sz w:val="16"/>
                <w:szCs w:val="16"/>
                <w:color w:val="auto"/>
              </w:rPr>
            </w:pPr>
          </w:p>
        </w:tc>
        <w:tc>
          <w:tcPr>
            <w:tcW w:w="14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15% reduction</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160" w:type="dxa"/>
            <w:vAlign w:val="bottom"/>
            <w:vMerge w:val="restart"/>
          </w:tcPr>
          <w:p>
            <w:pPr>
              <w:ind w:left="80"/>
              <w:spacing w:after="0"/>
              <w:rPr>
                <w:sz w:val="20"/>
                <w:szCs w:val="20"/>
                <w:color w:val="auto"/>
              </w:rPr>
            </w:pPr>
            <w:r>
              <w:rPr>
                <w:rFonts w:ascii="Arial" w:cs="Arial" w:eastAsia="Arial" w:hAnsi="Arial"/>
                <w:sz w:val="18"/>
                <w:szCs w:val="18"/>
                <w:color w:val="auto"/>
              </w:rPr>
              <w:t>delinquency rate for the static pool</w:t>
            </w: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3"/>
              </w:rPr>
              <w:t>from 12/31/2011</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12/31/2011</w:t>
            </w: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12/31/2011</w:t>
            </w:r>
          </w:p>
        </w:tc>
        <w:tc>
          <w:tcPr>
            <w:tcW w:w="12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1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160" w:type="dxa"/>
            <w:vAlign w:val="bottom"/>
          </w:tcPr>
          <w:p>
            <w:pPr>
              <w:ind w:left="80"/>
              <w:spacing w:after="0"/>
              <w:rPr>
                <w:sz w:val="20"/>
                <w:szCs w:val="20"/>
                <w:color w:val="auto"/>
              </w:rPr>
            </w:pPr>
            <w:r>
              <w:rPr>
                <w:rFonts w:ascii="Arial" w:cs="Arial" w:eastAsia="Arial" w:hAnsi="Arial"/>
                <w:sz w:val="18"/>
                <w:szCs w:val="18"/>
                <w:color w:val="auto"/>
                <w:w w:val="98"/>
              </w:rPr>
              <w:t>Implement Corporate Finance Strategy</w:t>
            </w:r>
          </w:p>
        </w:tc>
        <w:tc>
          <w:tcPr>
            <w:tcW w:w="1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7.5%</w:t>
            </w:r>
          </w:p>
        </w:tc>
        <w:tc>
          <w:tcPr>
            <w:tcW w:w="3160" w:type="dxa"/>
            <w:vAlign w:val="bottom"/>
          </w:tcPr>
          <w:p>
            <w:pPr>
              <w:ind w:left="100"/>
              <w:spacing w:after="0"/>
              <w:rPr>
                <w:sz w:val="20"/>
                <w:szCs w:val="20"/>
                <w:color w:val="auto"/>
              </w:rPr>
            </w:pPr>
            <w:r>
              <w:rPr>
                <w:rFonts w:ascii="Arial" w:cs="Arial" w:eastAsia="Arial" w:hAnsi="Arial"/>
                <w:sz w:val="18"/>
                <w:szCs w:val="18"/>
                <w:color w:val="auto"/>
              </w:rPr>
              <w:t>·   Assets moved to HLSS</w:t>
            </w:r>
          </w:p>
        </w:tc>
        <w:tc>
          <w:tcPr>
            <w:tcW w:w="140" w:type="dxa"/>
            <w:vAlign w:val="bottom"/>
            <w:tcBorders>
              <w:right w:val="single" w:sz="8" w:color="auto"/>
            </w:tcBorders>
          </w:tcPr>
          <w:p>
            <w:pPr>
              <w:spacing w:after="0"/>
              <w:rPr>
                <w:sz w:val="24"/>
                <w:szCs w:val="24"/>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40" w:type="dxa"/>
            <w:vAlign w:val="bottom"/>
          </w:tcPr>
          <w:p>
            <w:pPr>
              <w:spacing w:after="0"/>
              <w:rPr>
                <w:sz w:val="24"/>
                <w:szCs w:val="2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1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2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160" w:type="dxa"/>
            <w:vAlign w:val="bottom"/>
            <w:vMerge w:val="restart"/>
          </w:tcPr>
          <w:p>
            <w:pPr>
              <w:ind w:left="100"/>
              <w:spacing w:after="0"/>
              <w:rPr>
                <w:sz w:val="20"/>
                <w:szCs w:val="20"/>
                <w:color w:val="auto"/>
              </w:rPr>
            </w:pPr>
            <w:r>
              <w:rPr>
                <w:rFonts w:ascii="Arial" w:cs="Arial" w:eastAsia="Arial" w:hAnsi="Arial"/>
                <w:sz w:val="18"/>
                <w:szCs w:val="18"/>
                <w:color w:val="auto"/>
                <w:w w:val="96"/>
              </w:rPr>
              <w:t>·   Effective funding of new transactions</w:t>
            </w:r>
          </w:p>
        </w:tc>
        <w:tc>
          <w:tcPr>
            <w:tcW w:w="140" w:type="dxa"/>
            <w:vAlign w:val="bottom"/>
            <w:tcBorders>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16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New VIII implementation execution</w:t>
            </w:r>
          </w:p>
        </w:tc>
        <w:tc>
          <w:tcPr>
            <w:tcW w:w="1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160" w:type="dxa"/>
            <w:vAlign w:val="bottom"/>
          </w:tcPr>
          <w:p>
            <w:pPr>
              <w:ind w:left="80"/>
              <w:spacing w:after="0"/>
              <w:rPr>
                <w:sz w:val="20"/>
                <w:szCs w:val="20"/>
                <w:color w:val="auto"/>
              </w:rPr>
            </w:pPr>
            <w:r>
              <w:rPr>
                <w:rFonts w:ascii="Arial" w:cs="Arial" w:eastAsia="Arial" w:hAnsi="Arial"/>
                <w:sz w:val="18"/>
                <w:szCs w:val="18"/>
                <w:color w:val="auto"/>
              </w:rPr>
              <w:t>Build long-term capacity for growth</w:t>
            </w:r>
          </w:p>
        </w:tc>
        <w:tc>
          <w:tcPr>
            <w:tcW w:w="14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w w:val="96"/>
              </w:rPr>
              <w:t>·   Flow channel development, including</w:t>
            </w:r>
          </w:p>
        </w:tc>
        <w:tc>
          <w:tcPr>
            <w:tcW w:w="1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7.5%</w:t>
            </w:r>
          </w:p>
        </w:tc>
        <w:tc>
          <w:tcPr>
            <w:tcW w:w="3160" w:type="dxa"/>
            <w:vAlign w:val="bottom"/>
          </w:tcPr>
          <w:p>
            <w:pPr>
              <w:ind w:left="420"/>
              <w:spacing w:after="0"/>
              <w:rPr>
                <w:sz w:val="20"/>
                <w:szCs w:val="20"/>
                <w:color w:val="auto"/>
              </w:rPr>
            </w:pPr>
            <w:r>
              <w:rPr>
                <w:rFonts w:ascii="Arial" w:cs="Arial" w:eastAsia="Arial" w:hAnsi="Arial"/>
                <w:sz w:val="18"/>
                <w:szCs w:val="18"/>
                <w:color w:val="auto"/>
                <w:w w:val="96"/>
              </w:rPr>
              <w:t>HARP 2.0, CorrespondentOne, Co-</w:t>
            </w:r>
          </w:p>
        </w:tc>
        <w:tc>
          <w:tcPr>
            <w:tcW w:w="140" w:type="dxa"/>
            <w:vAlign w:val="bottom"/>
            <w:tcBorders>
              <w:right w:val="single" w:sz="8" w:color="auto"/>
            </w:tcBorders>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40" w:type="dxa"/>
            <w:vAlign w:val="bottom"/>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Target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160" w:type="dxa"/>
            <w:vAlign w:val="bottom"/>
            <w:vMerge w:val="restart"/>
          </w:tcPr>
          <w:p>
            <w:pPr>
              <w:ind w:left="420"/>
              <w:spacing w:after="0"/>
              <w:rPr>
                <w:sz w:val="20"/>
                <w:szCs w:val="20"/>
                <w:color w:val="auto"/>
              </w:rPr>
            </w:pPr>
            <w:r>
              <w:rPr>
                <w:rFonts w:ascii="Arial" w:cs="Arial" w:eastAsia="Arial" w:hAnsi="Arial"/>
                <w:sz w:val="18"/>
                <w:szCs w:val="18"/>
                <w:color w:val="auto"/>
              </w:rPr>
              <w:t>issue and mini-bulk</w:t>
            </w: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2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16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w w:val="99"/>
              </w:rPr>
              <w:t>·   HELOC, Reverse mortgage &amp; other</w:t>
            </w:r>
          </w:p>
        </w:tc>
        <w:tc>
          <w:tcPr>
            <w:tcW w:w="1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new products</w:t>
            </w:r>
          </w:p>
        </w:tc>
        <w:tc>
          <w:tcPr>
            <w:tcW w:w="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62.5%</w:t>
            </w:r>
          </w:p>
        </w:tc>
        <w:tc>
          <w:tcPr>
            <w:tcW w:w="3160" w:type="dxa"/>
            <w:vAlign w:val="bottom"/>
          </w:tcPr>
          <w:p>
            <w:pPr>
              <w:ind w:left="80"/>
              <w:spacing w:after="0" w:line="195" w:lineRule="exact"/>
              <w:rPr>
                <w:sz w:val="20"/>
                <w:szCs w:val="20"/>
                <w:color w:val="auto"/>
              </w:rPr>
            </w:pPr>
            <w:r>
              <w:rPr>
                <w:rFonts w:ascii="Arial" w:cs="Arial" w:eastAsia="Arial" w:hAnsi="Arial"/>
                <w:sz w:val="18"/>
                <w:szCs w:val="18"/>
                <w:color w:val="auto"/>
                <w:w w:val="97"/>
              </w:rPr>
              <w:t>Successfully complete the key strategic</w:t>
            </w:r>
          </w:p>
        </w:tc>
        <w:tc>
          <w:tcPr>
            <w:tcW w:w="140" w:type="dxa"/>
            <w:vAlign w:val="bottom"/>
            <w:tcBorders>
              <w:right w:val="single" w:sz="8" w:color="auto"/>
            </w:tcBorders>
          </w:tcPr>
          <w:p>
            <w:pPr>
              <w:spacing w:after="0"/>
              <w:rPr>
                <w:sz w:val="16"/>
                <w:szCs w:val="16"/>
                <w:color w:val="auto"/>
              </w:rPr>
            </w:pPr>
          </w:p>
        </w:tc>
        <w:tc>
          <w:tcPr>
            <w:tcW w:w="13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40" w:type="dxa"/>
            <w:vAlign w:val="bottom"/>
          </w:tcPr>
          <w:p>
            <w:pPr>
              <w:spacing w:after="0"/>
              <w:rPr>
                <w:sz w:val="16"/>
                <w:szCs w:val="16"/>
                <w:color w:val="auto"/>
              </w:rPr>
            </w:pPr>
          </w:p>
        </w:tc>
        <w:tc>
          <w:tcPr>
            <w:tcW w:w="14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160" w:type="dxa"/>
            <w:vAlign w:val="bottom"/>
            <w:vMerge w:val="restart"/>
          </w:tcPr>
          <w:p>
            <w:pPr>
              <w:ind w:left="80"/>
              <w:spacing w:after="0"/>
              <w:rPr>
                <w:sz w:val="20"/>
                <w:szCs w:val="20"/>
                <w:color w:val="auto"/>
              </w:rPr>
            </w:pPr>
            <w:r>
              <w:rPr>
                <w:rFonts w:ascii="Arial" w:cs="Arial" w:eastAsia="Arial" w:hAnsi="Arial"/>
                <w:sz w:val="18"/>
                <w:szCs w:val="18"/>
                <w:color w:val="auto"/>
              </w:rPr>
              <w:t>initiatives of the Company</w:t>
            </w:r>
          </w:p>
        </w:tc>
        <w:tc>
          <w:tcPr>
            <w:tcW w:w="14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40" w:type="dxa"/>
            <w:vAlign w:val="bottom"/>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2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31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w w:val="79"/>
              </w:rPr>
              <w:t>27</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640" w:type="dxa"/>
            <w:vAlign w:val="bottom"/>
            <w:tcBorders>
              <w:top w:val="single" w:sz="8" w:color="auto"/>
              <w:left w:val="single" w:sz="8" w:color="auto"/>
              <w:bottom w:val="single" w:sz="8" w:color="F3F3F3"/>
              <w:right w:val="single" w:sz="8" w:color="auto"/>
            </w:tcBorders>
            <w:shd w:val="clear" w:color="auto" w:fill="F3F3F3"/>
          </w:tcPr>
          <w:p>
            <w:pPr>
              <w:spacing w:after="0"/>
              <w:rPr>
                <w:sz w:val="24"/>
                <w:szCs w:val="24"/>
                <w:color w:val="auto"/>
              </w:rPr>
            </w:pPr>
          </w:p>
        </w:tc>
        <w:tc>
          <w:tcPr>
            <w:tcW w:w="82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330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1380" w:type="dxa"/>
            <w:vAlign w:val="bottom"/>
            <w:tcBorders>
              <w:top w:val="single" w:sz="8" w:color="auto"/>
              <w:bottom w:val="single" w:sz="8" w:color="F3F3F3"/>
            </w:tcBorders>
            <w:shd w:val="clear" w:color="auto" w:fill="F3F3F3"/>
          </w:tcPr>
          <w:p>
            <w:pPr>
              <w:spacing w:after="0"/>
              <w:rPr>
                <w:sz w:val="24"/>
                <w:szCs w:val="24"/>
                <w:color w:val="auto"/>
              </w:rPr>
            </w:pPr>
          </w:p>
        </w:tc>
        <w:tc>
          <w:tcPr>
            <w:tcW w:w="1640" w:type="dxa"/>
            <w:vAlign w:val="bottom"/>
            <w:tcBorders>
              <w:top w:val="single" w:sz="8" w:color="auto"/>
              <w:bottom w:val="single" w:sz="8" w:color="F3F3F3"/>
            </w:tcBorders>
            <w:gridSpan w:val="3"/>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Achievement Levels</w:t>
            </w:r>
          </w:p>
        </w:tc>
        <w:tc>
          <w:tcPr>
            <w:tcW w:w="140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1240" w:type="dxa"/>
            <w:vAlign w:val="bottom"/>
            <w:tcBorders>
              <w:top w:val="single" w:sz="8" w:color="auto"/>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640" w:type="dxa"/>
            <w:vAlign w:val="bottom"/>
            <w:tcBorders>
              <w:top w:val="single" w:sz="8" w:color="F3F3F3"/>
              <w:left w:val="single" w:sz="8" w:color="auto"/>
              <w:right w:val="single" w:sz="8" w:color="auto"/>
            </w:tcBorders>
            <w:shd w:val="clear" w:color="auto" w:fill="F3F3F3"/>
          </w:tcPr>
          <w:p>
            <w:pPr>
              <w:spacing w:after="0"/>
              <w:rPr>
                <w:sz w:val="24"/>
                <w:szCs w:val="24"/>
                <w:color w:val="auto"/>
              </w:rPr>
            </w:pPr>
          </w:p>
        </w:tc>
        <w:tc>
          <w:tcPr>
            <w:tcW w:w="820" w:type="dxa"/>
            <w:vAlign w:val="bottom"/>
            <w:tcBorders>
              <w:top w:val="single" w:sz="8" w:color="F3F3F3"/>
              <w:right w:val="single" w:sz="8" w:color="auto"/>
            </w:tcBorders>
            <w:shd w:val="clear" w:color="auto" w:fill="F3F3F3"/>
          </w:tcPr>
          <w:p>
            <w:pPr>
              <w:spacing w:after="0"/>
              <w:rPr>
                <w:sz w:val="24"/>
                <w:szCs w:val="24"/>
                <w:color w:val="auto"/>
              </w:rPr>
            </w:pPr>
          </w:p>
        </w:tc>
        <w:tc>
          <w:tcPr>
            <w:tcW w:w="3300" w:type="dxa"/>
            <w:vAlign w:val="bottom"/>
            <w:tcBorders>
              <w:top w:val="single" w:sz="8" w:color="F3F3F3"/>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 xml:space="preserve">2012 Scorecard Elements </w:t>
            </w:r>
            <w:r>
              <w:rPr>
                <w:rFonts w:ascii="Arial" w:cs="Arial" w:eastAsia="Arial" w:hAnsi="Arial"/>
                <w:sz w:val="30"/>
                <w:szCs w:val="30"/>
                <w:color w:val="auto"/>
                <w:w w:val="87"/>
                <w:vertAlign w:val="superscript"/>
              </w:rPr>
              <w:t>(1)</w:t>
            </w:r>
          </w:p>
        </w:tc>
        <w:tc>
          <w:tcPr>
            <w:tcW w:w="1380" w:type="dxa"/>
            <w:vAlign w:val="bottom"/>
            <w:tcBorders>
              <w:top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00" w:type="dxa"/>
            <w:vAlign w:val="bottom"/>
            <w:tcBorders>
              <w:top w:val="single" w:sz="8" w:color="auto"/>
              <w:right w:val="single" w:sz="8" w:color="auto"/>
            </w:tcBorders>
            <w:shd w:val="clear" w:color="auto" w:fill="F3F3F3"/>
          </w:tcPr>
          <w:p>
            <w:pPr>
              <w:spacing w:after="0"/>
              <w:rPr>
                <w:sz w:val="24"/>
                <w:szCs w:val="24"/>
                <w:color w:val="auto"/>
              </w:rPr>
            </w:pPr>
          </w:p>
        </w:tc>
        <w:tc>
          <w:tcPr>
            <w:tcW w:w="148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60" w:type="dxa"/>
            <w:vAlign w:val="bottom"/>
            <w:tcBorders>
              <w:top w:val="single" w:sz="8" w:color="auto"/>
            </w:tcBorders>
            <w:shd w:val="clear" w:color="auto" w:fill="F3F3F3"/>
          </w:tcPr>
          <w:p>
            <w:pPr>
              <w:spacing w:after="0"/>
              <w:rPr>
                <w:sz w:val="24"/>
                <w:szCs w:val="24"/>
                <w:color w:val="auto"/>
              </w:rPr>
            </w:pPr>
          </w:p>
        </w:tc>
        <w:tc>
          <w:tcPr>
            <w:tcW w:w="140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Borders>
              <w:top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1640" w:type="dxa"/>
            <w:vAlign w:val="bottom"/>
            <w:tcBorders>
              <w:left w:val="single" w:sz="8" w:color="auto"/>
              <w:bottom w:val="single" w:sz="8" w:color="F3F3F3"/>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Name</w:t>
            </w:r>
          </w:p>
        </w:tc>
        <w:tc>
          <w:tcPr>
            <w:tcW w:w="82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rPr>
              <w:t>%</w:t>
            </w:r>
          </w:p>
        </w:tc>
        <w:tc>
          <w:tcPr>
            <w:tcW w:w="3300" w:type="dxa"/>
            <w:vAlign w:val="bottom"/>
            <w:tcBorders>
              <w:bottom w:val="single" w:sz="8" w:color="F3F3F3"/>
              <w:right w:val="single" w:sz="8" w:color="auto"/>
            </w:tcBorders>
            <w:vMerge w:val="continue"/>
            <w:shd w:val="clear" w:color="auto" w:fill="F3F3F3"/>
          </w:tcPr>
          <w:p>
            <w:pPr>
              <w:spacing w:after="0"/>
              <w:rPr>
                <w:sz w:val="20"/>
                <w:szCs w:val="20"/>
                <w:color w:val="auto"/>
              </w:rPr>
            </w:pPr>
          </w:p>
        </w:tc>
        <w:tc>
          <w:tcPr>
            <w:tcW w:w="1380" w:type="dxa"/>
            <w:vAlign w:val="bottom"/>
            <w:tcBorders>
              <w:bottom w:val="single" w:sz="8" w:color="F3F3F3"/>
            </w:tcBorders>
            <w:vMerge w:val="continue"/>
            <w:shd w:val="clear" w:color="auto" w:fill="F3F3F3"/>
          </w:tcPr>
          <w:p>
            <w:pPr>
              <w:spacing w:after="0"/>
              <w:rPr>
                <w:sz w:val="20"/>
                <w:szCs w:val="20"/>
                <w:color w:val="auto"/>
              </w:rPr>
            </w:pPr>
          </w:p>
        </w:tc>
        <w:tc>
          <w:tcPr>
            <w:tcW w:w="100" w:type="dxa"/>
            <w:vAlign w:val="bottom"/>
            <w:tcBorders>
              <w:bottom w:val="single" w:sz="8" w:color="F3F3F3"/>
              <w:right w:val="single" w:sz="8" w:color="auto"/>
            </w:tcBorders>
            <w:shd w:val="clear" w:color="auto" w:fill="F3F3F3"/>
          </w:tcPr>
          <w:p>
            <w:pPr>
              <w:spacing w:after="0"/>
              <w:rPr>
                <w:sz w:val="20"/>
                <w:szCs w:val="20"/>
                <w:color w:val="auto"/>
              </w:rPr>
            </w:pPr>
          </w:p>
        </w:tc>
        <w:tc>
          <w:tcPr>
            <w:tcW w:w="1480" w:type="dxa"/>
            <w:vAlign w:val="bottom"/>
            <w:tcBorders>
              <w:bottom w:val="single" w:sz="8" w:color="F3F3F3"/>
              <w:right w:val="single" w:sz="8" w:color="auto"/>
            </w:tcBorders>
            <w:vMerge w:val="continue"/>
            <w:shd w:val="clear" w:color="auto" w:fill="F3F3F3"/>
          </w:tcPr>
          <w:p>
            <w:pPr>
              <w:spacing w:after="0"/>
              <w:rPr>
                <w:sz w:val="20"/>
                <w:szCs w:val="20"/>
                <w:color w:val="auto"/>
              </w:rPr>
            </w:pPr>
          </w:p>
        </w:tc>
        <w:tc>
          <w:tcPr>
            <w:tcW w:w="60" w:type="dxa"/>
            <w:vAlign w:val="bottom"/>
            <w:tcBorders>
              <w:bottom w:val="single" w:sz="8" w:color="F3F3F3"/>
            </w:tcBorders>
            <w:shd w:val="clear" w:color="auto" w:fill="F3F3F3"/>
          </w:tcPr>
          <w:p>
            <w:pPr>
              <w:spacing w:after="0"/>
              <w:rPr>
                <w:sz w:val="20"/>
                <w:szCs w:val="20"/>
                <w:color w:val="auto"/>
              </w:rPr>
            </w:pPr>
          </w:p>
        </w:tc>
        <w:tc>
          <w:tcPr>
            <w:tcW w:w="1400" w:type="dxa"/>
            <w:vAlign w:val="bottom"/>
            <w:tcBorders>
              <w:bottom w:val="single" w:sz="8" w:color="F3F3F3"/>
              <w:right w:val="single" w:sz="8" w:color="auto"/>
            </w:tcBorders>
            <w:vMerge w:val="continue"/>
            <w:shd w:val="clear" w:color="auto" w:fill="F3F3F3"/>
          </w:tcPr>
          <w:p>
            <w:pPr>
              <w:spacing w:after="0"/>
              <w:rPr>
                <w:sz w:val="20"/>
                <w:szCs w:val="20"/>
                <w:color w:val="auto"/>
              </w:rPr>
            </w:pPr>
          </w:p>
        </w:tc>
        <w:tc>
          <w:tcPr>
            <w:tcW w:w="124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0" w:type="dxa"/>
            <w:vAlign w:val="bottom"/>
          </w:tcPr>
          <w:p>
            <w:pPr>
              <w:spacing w:after="0"/>
              <w:rPr>
                <w:sz w:val="1"/>
                <w:szCs w:val="1"/>
                <w:color w:val="auto"/>
              </w:rPr>
            </w:pPr>
          </w:p>
        </w:tc>
      </w:tr>
      <w:tr>
        <w:trPr>
          <w:trHeight w:val="202"/>
        </w:trPr>
        <w:tc>
          <w:tcPr>
            <w:tcW w:w="1640" w:type="dxa"/>
            <w:vAlign w:val="bottom"/>
            <w:tcBorders>
              <w:top w:val="single" w:sz="8" w:color="auto"/>
              <w:left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18.75%</w:t>
            </w:r>
          </w:p>
        </w:tc>
        <w:tc>
          <w:tcPr>
            <w:tcW w:w="33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Achieve Earnings Per Share target</w:t>
            </w:r>
          </w:p>
        </w:tc>
        <w:tc>
          <w:tcPr>
            <w:tcW w:w="138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90"/>
              </w:rPr>
              <w:t>95% of Target =</w:t>
            </w:r>
          </w:p>
        </w:tc>
        <w:tc>
          <w:tcPr>
            <w:tcW w:w="10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w:t>
            </w:r>
          </w:p>
        </w:tc>
        <w:tc>
          <w:tcPr>
            <w:tcW w:w="60" w:type="dxa"/>
            <w:vAlign w:val="bottom"/>
            <w:tcBorders>
              <w:top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105% of Target</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Paul A. Koches</w:t>
            </w: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3"/>
              </w:rPr>
              <w:t>$1.15</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 $1.27</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Implement Corporate Finance Strategy</w:t>
            </w: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18.75%</w:t>
            </w: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Assets moved to HLSS</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24"/>
                <w:szCs w:val="2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Effective funding of new transactions</w:t>
            </w: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New VIII implementation execution</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62.5%</w:t>
            </w:r>
          </w:p>
        </w:tc>
        <w:tc>
          <w:tcPr>
            <w:tcW w:w="33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Successfully complete the key strategic</w:t>
            </w:r>
          </w:p>
        </w:tc>
        <w:tc>
          <w:tcPr>
            <w:tcW w:w="13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16"/>
                <w:szCs w:val="16"/>
                <w:color w:val="auto"/>
              </w:rPr>
            </w:pP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initiatives of the Company</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12.5%</w:t>
            </w:r>
          </w:p>
        </w:tc>
        <w:tc>
          <w:tcPr>
            <w:tcW w:w="3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Achieve Earnings Per Share target</w:t>
            </w: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1"/>
              </w:rPr>
              <w:t>95% of Target =</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w:t>
            </w:r>
          </w:p>
        </w:tc>
        <w:tc>
          <w:tcPr>
            <w:tcW w:w="60" w:type="dxa"/>
            <w:vAlign w:val="bottom"/>
          </w:tcPr>
          <w:p>
            <w:pPr>
              <w:spacing w:after="0"/>
              <w:rPr>
                <w:sz w:val="16"/>
                <w:szCs w:val="16"/>
                <w:color w:val="auto"/>
              </w:rPr>
            </w:pP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105% of Target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John V. Britti</w:t>
            </w: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3"/>
              </w:rPr>
              <w:t>$1.15</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 $1.27</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Implement Corporate Finance Strategy</w:t>
            </w: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12.5%</w:t>
            </w: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Assets moved to HLSS</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24"/>
                <w:szCs w:val="2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Effective funding of new transactions</w:t>
            </w: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New VIII implementation execution</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Build long-term capacity for growth</w:t>
            </w:r>
          </w:p>
        </w:tc>
        <w:tc>
          <w:tcPr>
            <w:tcW w:w="13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   Flow channel development, including</w:t>
            </w: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12.5%</w:t>
            </w:r>
          </w:p>
        </w:tc>
        <w:tc>
          <w:tcPr>
            <w:tcW w:w="33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HARP 2.0, CorrespondentOne, Co-</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8"/>
                <w:szCs w:val="18"/>
                <w:color w:val="auto"/>
              </w:rPr>
              <w:t>issue and mini-bulk</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300" w:type="dxa"/>
            <w:vAlign w:val="bottom"/>
            <w:tcBorders>
              <w:right w:val="single" w:sz="8" w:color="auto"/>
            </w:tcBorders>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6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HELOC, Reverse mortgage &amp; other</w:t>
            </w:r>
          </w:p>
        </w:tc>
        <w:tc>
          <w:tcPr>
            <w:tcW w:w="1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new products</w:t>
            </w: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62.5%</w:t>
            </w:r>
          </w:p>
        </w:tc>
        <w:tc>
          <w:tcPr>
            <w:tcW w:w="33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Successfully complete the key strategic</w:t>
            </w:r>
          </w:p>
        </w:tc>
        <w:tc>
          <w:tcPr>
            <w:tcW w:w="13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16"/>
                <w:szCs w:val="16"/>
                <w:color w:val="auto"/>
              </w:rPr>
            </w:pP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initiatives of the Company</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37.5%</w:t>
            </w:r>
          </w:p>
        </w:tc>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Implement Corporate Finance Strategy</w:t>
            </w:r>
          </w:p>
        </w:tc>
        <w:tc>
          <w:tcPr>
            <w:tcW w:w="13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16"/>
                <w:szCs w:val="16"/>
                <w:color w:val="auto"/>
              </w:rPr>
            </w:pP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w w:val="98"/>
              </w:rPr>
              <w:t>Kenneth D. Najour</w:t>
            </w: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62.5%</w:t>
            </w:r>
          </w:p>
        </w:tc>
        <w:tc>
          <w:tcPr>
            <w:tcW w:w="3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Successfully complete the key strategic</w:t>
            </w:r>
          </w:p>
        </w:tc>
        <w:tc>
          <w:tcPr>
            <w:tcW w:w="13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At the discretion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60" w:type="dxa"/>
            <w:vAlign w:val="bottom"/>
          </w:tcPr>
          <w:p>
            <w:pPr>
              <w:spacing w:after="0"/>
              <w:rPr>
                <w:sz w:val="16"/>
                <w:szCs w:val="16"/>
                <w:color w:val="auto"/>
              </w:rPr>
            </w:pP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At the discretion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initiatives of the Company</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the Board</w:t>
            </w:r>
          </w:p>
        </w:tc>
        <w:tc>
          <w:tcPr>
            <w:tcW w:w="6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of the Board</w:t>
            </w: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20" w:right="3700" w:hanging="5612"/>
        <w:spacing w:after="0" w:line="489" w:lineRule="auto"/>
        <w:tabs>
          <w:tab w:leader="none" w:pos="217"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Please note that scorecard elements were not established for 2012 prior to John Van Vlack’s resignation.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0" w:name="page31"/>
    <w:bookmarkEnd w:id="30"/>
    <w:p>
      <w:pPr>
        <w:jc w:val="both"/>
        <w:spacing w:after="0" w:line="302" w:lineRule="auto"/>
        <w:rPr>
          <w:sz w:val="20"/>
          <w:szCs w:val="20"/>
          <w:color w:val="auto"/>
        </w:rPr>
      </w:pPr>
      <w:r>
        <w:rPr>
          <w:rFonts w:ascii="Arial" w:cs="Arial" w:eastAsia="Arial" w:hAnsi="Arial"/>
          <w:sz w:val="16"/>
          <w:szCs w:val="16"/>
          <w:color w:val="auto"/>
        </w:rPr>
        <w:t>The Executive Chairman presents the performance appraisal scores, personal scorecard performance and recommendations as to the incentive compensation for each executive officer to the Compensation Committee. The Compensation Committee evaluates the recommendations and determines the final incentive compensation awards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11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Executive Chairman, Chief Executive Officer and other executive officers for that fiscal year. Key performance indicators for the Company for 2013 have been developed.</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Compensation Committee has approved the 2013 corporate scorecard which includes achieving an earnings per share target, reducing gross advances associated with the servicing business and continuing to build long-term capacity for growth. In addition, the Compensation Committee approved a component of the corporate scorecard that provides for successful completion of key strategic initiatives established to enhance long-term corporate and shareholder value.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2013 corporate strategic initiatives relate to:</w:t>
      </w:r>
    </w:p>
    <w:p>
      <w:pPr>
        <w:spacing w:after="0" w:line="18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integration of new acquisitions;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Securing sustainable growth both organically and through further acquisitions;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Continuing to lower operating costs by implementing a new data strategy, introducing process and technology improvements and implementing borrower self-service capabilities;</w:t>
      </w:r>
    </w:p>
    <w:p>
      <w:pPr>
        <w:ind w:left="660" w:right="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Improving quality of servicing and improving customer service, especially by improving loss mitigation and finding non-foreclosure alternatives for borrowers;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Implementing infrastructure improvements and deploying a strategic growth management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finance strategies to lower risk and funding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From time to time, the Company will conduct benchmarking on Executive Chairman, President and Chief Executive Officer and other executive officer compensation among peer companies of comparable size, industry, location and similar attributes that compete with Ocwen for qualified management. A benchmarking analysis was last conducted in 2012 for the Executive Chairman and Chief Executive Officer using peer companies such as: First Horizon National Corp., First Niagara Financial Group, Inc., Flagstar Bancorp, Inc., Highwood Properties, Inc., Hudson Pacific Properties, Inc, Nationstar Mortgage Holdings, Inc., Provident Financial Servicing, Inc., Stewart Information Services Corporation, and Wright Express Corporation.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industry. It provides a fair representation of the competitive arena for executive talent and serves the goals of retention, succession planning and other relevant considerations.</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believes our executive compensation programs are effectively designed, are in alignment with the interests of our shareholders and are instrumental to achieving our business strategy. In determining executive compensation for fiscal year 2012, the Compensation Committee considered the overwhelming shareholder support that the “Say-on-Pay” proposal received at our May 9, 2012 Annual Meeting of Shareholders. As a result, the Compensation Committee continued to apply the same effective principles and philosophy it has used in previous years in determining executive compensation levels and will continue to consider shareholder concerns and feedback in the future. In light of the voting results with respect to the frequency of stockholder votes on executive compensation at our May 9, 2012 Annual Meeting of Shareholders, the Board decided that the Company will hold an advisory vote on the compensation of named executive officers at each annual meeting of shareholders until the next required vote on the frequency of shareholder votes on executive compensation.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1" w:name="page32"/>
    <w:bookmarkEnd w:id="31"/>
    <w:p>
      <w:pPr>
        <w:ind w:right="280"/>
        <w:spacing w:after="0" w:line="312" w:lineRule="auto"/>
        <w:rPr>
          <w:sz w:val="20"/>
          <w:szCs w:val="20"/>
          <w:color w:val="auto"/>
        </w:rPr>
      </w:pPr>
      <w:r>
        <w:rPr>
          <w:rFonts w:ascii="Arial" w:cs="Arial" w:eastAsia="Arial" w:hAnsi="Arial"/>
          <w:sz w:val="16"/>
          <w:szCs w:val="16"/>
          <w:color w:val="auto"/>
        </w:rPr>
        <w:t>Based on benchmarking, performance, retention and other the relevant considerations, the Compensation Committee reviews recommendations and determines appropriate base salary and annual incentive compensation targets for the Executive Chairman and other executive officers. The Compensation Committee generally makes its determinations during the second quarter of the year; however, they may make adjustments at other times as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2007 Equity Incentive Plan is administered by the Compensation Committee and authorizes the grant of restricted stock, options, stock appreciation rights, stock purchase rights or other equity-based awards to our employees. The Compensation Committee, in cooperation with senior management, implemented the 2007 Equity Incentive Plan to motivate employees to make extraordinary efforts to achieve significant improvements to shareholder value, boost retention of key employees and align the interests of our employees with the interests of our shareholders. Options granted under the plan may be either “incentive stock options” as defined in Section 422 of the Internal Revenue Code of 1986, as amended, (the “Code”) or nonqualified stock options as determined by the Compensation Committee.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the Company considered potential opportunities to restructure its businesses to increase shareholder value in 2008, the Compensation Committee sought a method of increasing the incentive for executives to make extraordinary efforts to achieve significant improvements to shareholder value. As a result, in 2008 the Compensation Committee recommended and the Board of Directors approved the Senior Management Equity Incentive Program as a highly shareholder-aligned incentive award opportunity for key members of senior management to receive long-term equity compensation based on share-value performance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OMS Preferred Stock Plan</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2013 Preferred Stock Plan of OMS authorizes the grant of preferred stock to OMS employees. On March 1, 2013, the board of directors of OMS authorized the issuance of 100 shares of Class A Preferred Stock to Mr. Erbey and 100 shares of Class B Preferred Stock to Mr. Najour. In addition, OMS declared a dividend of $7,250 per share of Class A Preferred Stock and $1,030 per share of Class B Preferred Stock, payable on March 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Although we do not have stock ownership requirements, our philosophy is that equity ownership by our Directors and executives is important to attract, motivate and retain Directors and executives as well as to align their interests with the interests of our shareholders. The Compensation Committee believes that the Company’s equity incentive plan is adequate to achieve this philosophy. We maintain an insider trading policy and a management directive detailing our window period policy governing the timing of transactions in securities of the Company by Directors and executives.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Aviation Service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2012, Ocwen formed OMS, under the laws of the United States Virgin Islands, as part of an initiative to consolidate the ownership and management of all of our global servicing assets and operations under a single entity and cost-effectively expand our U.S.-based servicing activities. As part of this initiative, Ocwen’s Executive Chairman William C. Erbey relocated to St. Croix in August 2012 to serve as Chairman and CEO of OMS. In connection with Mr. Erbey’s relocation to St. Croix, the Board of Directors approved the engagement of a private aviation service for Mr. Erbey safe and efficient business travel.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we have no employment agreements with our executive officers other than the restrictive covenants noted below, we handle each termination as appropriate in light of the circumstances. Without any special agreement related to termination, an executive officer would typically receive his or her base salary and applicable employee benefit plans and programs through the date of termination as well as a severance payment of two (2) months base salary for each year of service with the Company capped at six (6) months. In addition, the executive officer would typically retain any vested portion of prior equity awards granted through the 1998 Annual Incentive Plan, the 1991 Non-Qualified Stock Option Plan, the 2007 Equity Incentive Plan and the 2008 Senior Management Equity Incentive Program. For termination not due to death, disability or retirement, the executive officer has six (6) months within which to exercise stock options pursuant to our stock option agreements. Any portion of an equity award not vested will be forfeited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167"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options agreements permitting accelerated vesting of options upon a change in control were designed to provide the executives with the same opportunities as shareholders, who are free to sell their equity at the time of the change in control event and thereby realize the value created at the time of the transaction. In addition, we believe that this vesting provision supports the compelling business need to retain key employees during the uncertain times preceding a change in control.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2012, upon his retirement, disability, death, termination by the Company without “cause” or termination by Mr. Erbey for “good reason,” Mr. Erbey would receive $5,105,000 from the accelerated vesting of options. Upon a “change in control,” Mr. Erbey would receive $8,930,916 from the accelerated vesting of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upon a “change in control,” Mr. Faris would receive $4,614,307 from the accelerated vesting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upon a “change in control,” Mr. Koches would receive $2,307,153 from the accelerated vesting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upon his retirement, disability or death, Mr. Britti would receive $345,375 from the accelerated vesting of options.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a lump sum of two (2) months salary for each year of service to the Company up to a maximum of six (6) months salary in exchange for a separation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Tax Considerations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timing of compensation decisions is driven by a variety of tax considerations. Under Section 162(m) of the Code, tax deductibility by corporate taxpayers is limited with respect to compensation of certain executive officers to $1,000,000 per covered executive unless such compensation is based upon the attainment of performance objectives meeting certain regulatory criteria or is otherwise excluded from the limitation. We obtained shareholder approval of the 2007 Equity Incentive Plan and all amendments thereto in order to qualify awards under such plans as performance-based compensation under Section 162(m) of the Code. It is the Compensation Committee’s intention to qualify all compensation for performance-based deductibility under Section 162(m), except in situations where qualifying compensation for the exclusion would be inconsistent with our overall best interest.</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order to satisfy the deductibility requirements under Section 162(m) of the Code, performance objectives must be established in the first ninety (90) days of the performance period and the outcome of said objectives is still uncertain. For annual incentive awards, this generally means performance objectives must be established no later than the end of March of each year. In addition, in order to avoid being considered deferred compensation under Section 409A of the Code and to be deductible for the prior tax year, our annual incentive awards with respect to the prior year must be paid by March 15 of each year. All members of our Compensation Committee members qualify as “outside directors” under 162(m) of the Code.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compensation received by our current Chief Executive Officer, Chief Financial Officer, former Chief Financial Officer and three (3) other most highly compensated executive officers for fiscal years 2012, 2011 and 2010.</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640" w:type="dxa"/>
            <w:vAlign w:val="bottom"/>
            <w:tcBorders>
              <w:top w:val="single" w:sz="8" w:color="auto"/>
              <w:left w:val="single" w:sz="8" w:color="auto"/>
              <w:right w:val="single" w:sz="8" w:color="auto"/>
            </w:tcBorders>
            <w:shd w:val="clear" w:color="auto" w:fill="F3F3F3"/>
          </w:tcPr>
          <w:p>
            <w:pPr>
              <w:spacing w:after="0"/>
              <w:rPr>
                <w:sz w:val="19"/>
                <w:szCs w:val="19"/>
                <w:color w:val="auto"/>
              </w:rPr>
            </w:pPr>
          </w:p>
        </w:tc>
        <w:tc>
          <w:tcPr>
            <w:tcW w:w="680" w:type="dxa"/>
            <w:vAlign w:val="bottom"/>
            <w:tcBorders>
              <w:top w:val="single" w:sz="8" w:color="auto"/>
              <w:right w:val="single" w:sz="8" w:color="auto"/>
            </w:tcBorders>
            <w:shd w:val="clear" w:color="auto" w:fill="F3F3F3"/>
          </w:tcPr>
          <w:p>
            <w:pPr>
              <w:spacing w:after="0"/>
              <w:rPr>
                <w:sz w:val="19"/>
                <w:szCs w:val="19"/>
                <w:color w:val="auto"/>
              </w:rPr>
            </w:pPr>
          </w:p>
        </w:tc>
        <w:tc>
          <w:tcPr>
            <w:tcW w:w="1240" w:type="dxa"/>
            <w:vAlign w:val="bottom"/>
            <w:tcBorders>
              <w:top w:val="single" w:sz="8" w:color="auto"/>
              <w:right w:val="single" w:sz="8" w:color="auto"/>
            </w:tcBorders>
            <w:shd w:val="clear" w:color="auto" w:fill="F3F3F3"/>
          </w:tcPr>
          <w:p>
            <w:pPr>
              <w:spacing w:after="0"/>
              <w:rPr>
                <w:sz w:val="19"/>
                <w:szCs w:val="19"/>
                <w:color w:val="auto"/>
              </w:rPr>
            </w:pPr>
          </w:p>
        </w:tc>
        <w:tc>
          <w:tcPr>
            <w:tcW w:w="1000" w:type="dxa"/>
            <w:vAlign w:val="bottom"/>
            <w:tcBorders>
              <w:top w:val="single" w:sz="8" w:color="auto"/>
            </w:tcBorders>
            <w:shd w:val="clear" w:color="auto" w:fill="F3F3F3"/>
          </w:tcPr>
          <w:p>
            <w:pPr>
              <w:jc w:val="right"/>
              <w:ind w:right="131"/>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top w:val="single" w:sz="8" w:color="auto"/>
              <w:right w:val="single" w:sz="8" w:color="auto"/>
            </w:tcBorders>
            <w:shd w:val="clear" w:color="auto" w:fill="F3F3F3"/>
          </w:tcPr>
          <w:p>
            <w:pPr>
              <w:spacing w:after="0"/>
              <w:rPr>
                <w:sz w:val="19"/>
                <w:szCs w:val="19"/>
                <w:color w:val="auto"/>
              </w:rPr>
            </w:pPr>
          </w:p>
        </w:tc>
        <w:tc>
          <w:tcPr>
            <w:tcW w:w="1360" w:type="dxa"/>
            <w:vAlign w:val="bottom"/>
            <w:tcBorders>
              <w:top w:val="single" w:sz="8" w:color="auto"/>
              <w:right w:val="single" w:sz="8" w:color="auto"/>
            </w:tcBorders>
            <w:shd w:val="clear" w:color="auto" w:fill="F3F3F3"/>
          </w:tcPr>
          <w:p>
            <w:pPr>
              <w:spacing w:after="0"/>
              <w:rPr>
                <w:sz w:val="19"/>
                <w:szCs w:val="19"/>
                <w:color w:val="auto"/>
              </w:rPr>
            </w:pPr>
          </w:p>
        </w:tc>
        <w:tc>
          <w:tcPr>
            <w:tcW w:w="160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500" w:type="dxa"/>
            <w:vAlign w:val="bottom"/>
            <w:tcBorders>
              <w:top w:val="single" w:sz="8" w:color="auto"/>
              <w:right w:val="single" w:sz="8" w:color="auto"/>
            </w:tcBorders>
            <w:shd w:val="clear" w:color="auto" w:fill="F3F3F3"/>
          </w:tcPr>
          <w:p>
            <w:pPr>
              <w:spacing w:after="0"/>
              <w:rPr>
                <w:sz w:val="19"/>
                <w:szCs w:val="19"/>
                <w:color w:val="auto"/>
              </w:rPr>
            </w:pPr>
          </w:p>
        </w:tc>
        <w:tc>
          <w:tcPr>
            <w:tcW w:w="1260" w:type="dxa"/>
            <w:vAlign w:val="bottom"/>
            <w:tcBorders>
              <w:top w:val="single" w:sz="8" w:color="auto"/>
              <w:right w:val="single" w:sz="8" w:color="auto"/>
            </w:tcBorders>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auto"/>
              <w:right w:val="single" w:sz="8" w:color="auto"/>
            </w:tcBorders>
            <w:shd w:val="clear" w:color="auto" w:fill="F3F3F3"/>
          </w:tcPr>
          <w:p>
            <w:pPr>
              <w:spacing w:after="0"/>
              <w:rPr>
                <w:sz w:val="20"/>
                <w:szCs w:val="20"/>
                <w:color w:val="auto"/>
              </w:rPr>
            </w:pPr>
          </w:p>
        </w:tc>
        <w:tc>
          <w:tcPr>
            <w:tcW w:w="680" w:type="dxa"/>
            <w:vAlign w:val="bottom"/>
            <w:tcBorders>
              <w:right w:val="single" w:sz="8" w:color="auto"/>
            </w:tcBorders>
            <w:shd w:val="clear" w:color="auto" w:fill="F3F3F3"/>
          </w:tcPr>
          <w:p>
            <w:pPr>
              <w:spacing w:after="0"/>
              <w:rPr>
                <w:sz w:val="20"/>
                <w:szCs w:val="20"/>
                <w:color w:val="auto"/>
              </w:rPr>
            </w:pPr>
          </w:p>
        </w:tc>
        <w:tc>
          <w:tcPr>
            <w:tcW w:w="1240" w:type="dxa"/>
            <w:vAlign w:val="bottom"/>
            <w:tcBorders>
              <w:right w:val="single" w:sz="8" w:color="auto"/>
            </w:tcBorders>
            <w:vMerge w:val="restart"/>
            <w:shd w:val="clear" w:color="auto" w:fill="F3F3F3"/>
          </w:tcPr>
          <w:p>
            <w:pPr>
              <w:ind w:left="280"/>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30"/>
                <w:szCs w:val="30"/>
                <w:color w:val="auto"/>
                <w:vertAlign w:val="superscript"/>
              </w:rPr>
              <w:t>(1)</w:t>
            </w:r>
          </w:p>
        </w:tc>
        <w:tc>
          <w:tcPr>
            <w:tcW w:w="1000" w:type="dxa"/>
            <w:vAlign w:val="bottom"/>
            <w:shd w:val="clear" w:color="auto" w:fill="F3F3F3"/>
          </w:tcPr>
          <w:p>
            <w:pPr>
              <w:jc w:val="right"/>
              <w:spacing w:after="0" w:line="235" w:lineRule="exact"/>
              <w:rPr>
                <w:sz w:val="20"/>
                <w:szCs w:val="20"/>
                <w:color w:val="auto"/>
              </w:rPr>
            </w:pPr>
            <w:r>
              <w:rPr>
                <w:rFonts w:ascii="Arial" w:cs="Arial" w:eastAsia="Arial" w:hAnsi="Arial"/>
                <w:sz w:val="17"/>
                <w:szCs w:val="17"/>
                <w:b w:val="1"/>
                <w:bCs w:val="1"/>
                <w:color w:val="auto"/>
              </w:rPr>
              <w:t>Awards</w:t>
            </w:r>
            <w:r>
              <w:rPr>
                <w:rFonts w:ascii="Arial" w:cs="Arial" w:eastAsia="Arial" w:hAnsi="Arial"/>
                <w:sz w:val="27"/>
                <w:szCs w:val="27"/>
                <w:color w:val="auto"/>
                <w:vertAlign w:val="superscript"/>
              </w:rPr>
              <w:t>(2)</w:t>
            </w:r>
          </w:p>
        </w:tc>
        <w:tc>
          <w:tcPr>
            <w:tcW w:w="140" w:type="dxa"/>
            <w:vAlign w:val="bottom"/>
            <w:tcBorders>
              <w:right w:val="single" w:sz="8" w:color="auto"/>
            </w:tcBorders>
            <w:shd w:val="clear" w:color="auto" w:fill="F3F3F3"/>
          </w:tcPr>
          <w:p>
            <w:pPr>
              <w:spacing w:after="0"/>
              <w:rPr>
                <w:sz w:val="20"/>
                <w:szCs w:val="20"/>
                <w:color w:val="auto"/>
              </w:rPr>
            </w:pPr>
          </w:p>
        </w:tc>
        <w:tc>
          <w:tcPr>
            <w:tcW w:w="13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60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50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260" w:type="dxa"/>
            <w:vAlign w:val="bottom"/>
            <w:tcBorders>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640" w:type="dxa"/>
            <w:vAlign w:val="bottom"/>
            <w:tcBorders>
              <w:left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Name and</w:t>
            </w:r>
          </w:p>
        </w:tc>
        <w:tc>
          <w:tcPr>
            <w:tcW w:w="680" w:type="dxa"/>
            <w:vAlign w:val="bottom"/>
            <w:tcBorders>
              <w:right w:val="single" w:sz="8" w:color="auto"/>
            </w:tcBorders>
            <w:shd w:val="clear" w:color="auto" w:fill="F3F3F3"/>
          </w:tcPr>
          <w:p>
            <w:pPr>
              <w:spacing w:after="0"/>
              <w:rPr>
                <w:sz w:val="20"/>
                <w:szCs w:val="20"/>
                <w:color w:val="auto"/>
              </w:rPr>
            </w:pPr>
          </w:p>
        </w:tc>
        <w:tc>
          <w:tcPr>
            <w:tcW w:w="1240" w:type="dxa"/>
            <w:vAlign w:val="bottom"/>
            <w:tcBorders>
              <w:right w:val="single" w:sz="8" w:color="auto"/>
            </w:tcBorders>
            <w:vMerge w:val="continue"/>
            <w:shd w:val="clear" w:color="auto" w:fill="F3F3F3"/>
          </w:tcPr>
          <w:p>
            <w:pPr>
              <w:spacing w:after="0"/>
              <w:rPr>
                <w:sz w:val="20"/>
                <w:szCs w:val="20"/>
                <w:color w:val="auto"/>
              </w:rPr>
            </w:pPr>
          </w:p>
        </w:tc>
        <w:tc>
          <w:tcPr>
            <w:tcW w:w="1000" w:type="dxa"/>
            <w:vAlign w:val="bottom"/>
            <w:shd w:val="clear" w:color="auto" w:fill="F3F3F3"/>
          </w:tcPr>
          <w:p>
            <w:pPr>
              <w:jc w:val="right"/>
              <w:ind w:right="271"/>
              <w:spacing w:after="0"/>
              <w:rPr>
                <w:sz w:val="20"/>
                <w:szCs w:val="20"/>
                <w:color w:val="auto"/>
              </w:rPr>
            </w:pPr>
            <w:r>
              <w:rPr>
                <w:rFonts w:ascii="Arial" w:cs="Arial" w:eastAsia="Arial" w:hAnsi="Arial"/>
                <w:sz w:val="15"/>
                <w:szCs w:val="15"/>
                <w:color w:val="auto"/>
              </w:rPr>
              <w:t>(3)</w:t>
            </w:r>
          </w:p>
        </w:tc>
        <w:tc>
          <w:tcPr>
            <w:tcW w:w="140" w:type="dxa"/>
            <w:vAlign w:val="bottom"/>
            <w:tcBorders>
              <w:right w:val="single" w:sz="8" w:color="auto"/>
            </w:tcBorders>
            <w:shd w:val="clear" w:color="auto" w:fill="F3F3F3"/>
          </w:tcPr>
          <w:p>
            <w:pPr>
              <w:spacing w:after="0"/>
              <w:rPr>
                <w:sz w:val="20"/>
                <w:szCs w:val="20"/>
                <w:color w:val="auto"/>
              </w:rPr>
            </w:pPr>
          </w:p>
        </w:tc>
        <w:tc>
          <w:tcPr>
            <w:tcW w:w="1360" w:type="dxa"/>
            <w:vAlign w:val="bottom"/>
            <w:tcBorders>
              <w:right w:val="single" w:sz="8" w:color="auto"/>
            </w:tcBorders>
            <w:shd w:val="clear" w:color="auto" w:fill="F3F3F3"/>
          </w:tcPr>
          <w:p>
            <w:pPr>
              <w:jc w:val="center"/>
              <w:spacing w:after="0" w:line="239" w:lineRule="exact"/>
              <w:rPr>
                <w:sz w:val="20"/>
                <w:szCs w:val="20"/>
                <w:color w:val="auto"/>
              </w:rPr>
            </w:pPr>
            <w:r>
              <w:rPr>
                <w:rFonts w:ascii="Arial" w:cs="Arial" w:eastAsia="Arial" w:hAnsi="Arial"/>
                <w:sz w:val="27"/>
                <w:szCs w:val="27"/>
                <w:b w:val="1"/>
                <w:bCs w:val="1"/>
                <w:color w:val="auto"/>
                <w:w w:val="97"/>
                <w:vertAlign w:val="subscript"/>
              </w:rPr>
              <w:t>Awards</w:t>
            </w:r>
            <w:r>
              <w:rPr>
                <w:rFonts w:ascii="Arial" w:cs="Arial" w:eastAsia="Arial" w:hAnsi="Arial"/>
                <w:sz w:val="13"/>
                <w:szCs w:val="13"/>
                <w:color w:val="auto"/>
                <w:w w:val="97"/>
              </w:rPr>
              <w:t>(2)(3)</w:t>
            </w:r>
          </w:p>
        </w:tc>
        <w:tc>
          <w:tcPr>
            <w:tcW w:w="1600" w:type="dxa"/>
            <w:vAlign w:val="bottom"/>
            <w:tcBorders>
              <w:right w:val="single" w:sz="8" w:color="auto"/>
            </w:tcBorders>
            <w:shd w:val="clear" w:color="auto" w:fill="F3F3F3"/>
          </w:tcPr>
          <w:p>
            <w:pPr>
              <w:jc w:val="center"/>
              <w:spacing w:after="0" w:line="239" w:lineRule="exact"/>
              <w:rPr>
                <w:sz w:val="20"/>
                <w:szCs w:val="20"/>
                <w:color w:val="auto"/>
              </w:rPr>
            </w:pPr>
            <w:r>
              <w:rPr>
                <w:rFonts w:ascii="Arial" w:cs="Arial" w:eastAsia="Arial" w:hAnsi="Arial"/>
                <w:sz w:val="17"/>
                <w:szCs w:val="17"/>
                <w:b w:val="1"/>
                <w:bCs w:val="1"/>
                <w:color w:val="auto"/>
                <w:w w:val="92"/>
              </w:rPr>
              <w:t>Compensation</w:t>
            </w:r>
            <w:r>
              <w:rPr>
                <w:rFonts w:ascii="Arial" w:cs="Arial" w:eastAsia="Arial" w:hAnsi="Arial"/>
                <w:sz w:val="27"/>
                <w:szCs w:val="27"/>
                <w:color w:val="auto"/>
                <w:w w:val="92"/>
                <w:vertAlign w:val="superscript"/>
              </w:rPr>
              <w:t>(4)</w:t>
            </w:r>
          </w:p>
        </w:tc>
        <w:tc>
          <w:tcPr>
            <w:tcW w:w="1500" w:type="dxa"/>
            <w:vAlign w:val="bottom"/>
            <w:tcBorders>
              <w:right w:val="single" w:sz="8" w:color="auto"/>
            </w:tcBorders>
            <w:shd w:val="clear" w:color="auto" w:fill="F3F3F3"/>
          </w:tcPr>
          <w:p>
            <w:pPr>
              <w:jc w:val="center"/>
              <w:spacing w:after="0" w:line="239" w:lineRule="exact"/>
              <w:rPr>
                <w:sz w:val="20"/>
                <w:szCs w:val="20"/>
                <w:color w:val="auto"/>
              </w:rPr>
            </w:pPr>
            <w:r>
              <w:rPr>
                <w:rFonts w:ascii="Arial" w:cs="Arial" w:eastAsia="Arial" w:hAnsi="Arial"/>
                <w:sz w:val="17"/>
                <w:szCs w:val="17"/>
                <w:b w:val="1"/>
                <w:bCs w:val="1"/>
                <w:color w:val="auto"/>
                <w:w w:val="91"/>
              </w:rPr>
              <w:t>Compensation</w:t>
            </w:r>
            <w:r>
              <w:rPr>
                <w:rFonts w:ascii="Arial" w:cs="Arial" w:eastAsia="Arial" w:hAnsi="Arial"/>
                <w:sz w:val="27"/>
                <w:szCs w:val="27"/>
                <w:color w:val="auto"/>
                <w:w w:val="91"/>
                <w:vertAlign w:val="superscript"/>
              </w:rPr>
              <w:t>(5)</w:t>
            </w:r>
          </w:p>
        </w:tc>
        <w:tc>
          <w:tcPr>
            <w:tcW w:w="1260" w:type="dxa"/>
            <w:vAlign w:val="bottom"/>
            <w:tcBorders>
              <w:right w:val="single" w:sz="8" w:color="auto"/>
            </w:tcBorders>
            <w:shd w:val="clear" w:color="auto" w:fill="F3F3F3"/>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640" w:type="dxa"/>
            <w:vAlign w:val="bottom"/>
            <w:tcBorders>
              <w:left w:val="single" w:sz="8" w:color="auto"/>
              <w:bottom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8"/>
                <w:szCs w:val="18"/>
                <w:b w:val="1"/>
                <w:bCs w:val="1"/>
                <w:color w:val="auto"/>
              </w:rPr>
              <w:t>Principal Position</w:t>
            </w:r>
          </w:p>
        </w:tc>
        <w:tc>
          <w:tcPr>
            <w:tcW w:w="680" w:type="dxa"/>
            <w:vAlign w:val="bottom"/>
            <w:tcBorders>
              <w:bottom w:val="single" w:sz="8" w:color="auto"/>
              <w:right w:val="single" w:sz="8" w:color="auto"/>
            </w:tcBorders>
            <w:shd w:val="clear" w:color="auto" w:fill="F3F3F3"/>
          </w:tcPr>
          <w:p>
            <w:pPr>
              <w:ind w:left="160"/>
              <w:spacing w:after="0"/>
              <w:rPr>
                <w:sz w:val="20"/>
                <w:szCs w:val="20"/>
                <w:color w:val="auto"/>
              </w:rPr>
            </w:pPr>
            <w:r>
              <w:rPr>
                <w:rFonts w:ascii="Arial" w:cs="Arial" w:eastAsia="Arial" w:hAnsi="Arial"/>
                <w:sz w:val="18"/>
                <w:szCs w:val="18"/>
                <w:b w:val="1"/>
                <w:bCs w:val="1"/>
                <w:color w:val="auto"/>
              </w:rPr>
              <w:t>Year</w:t>
            </w:r>
          </w:p>
        </w:tc>
        <w:tc>
          <w:tcPr>
            <w:tcW w:w="1240" w:type="dxa"/>
            <w:vAlign w:val="bottom"/>
            <w:tcBorders>
              <w:bottom w:val="single" w:sz="8" w:color="auto"/>
              <w:right w:val="single" w:sz="8" w:color="auto"/>
            </w:tcBorders>
            <w:shd w:val="clear" w:color="auto" w:fill="F3F3F3"/>
          </w:tcPr>
          <w:p>
            <w:pPr>
              <w:jc w:val="right"/>
              <w:ind w:right="43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F3F3F3"/>
          </w:tcPr>
          <w:p>
            <w:pPr>
              <w:jc w:val="right"/>
              <w:ind w:right="251"/>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right w:val="single" w:sz="8" w:color="auto"/>
            </w:tcBorders>
            <w:shd w:val="clear" w:color="auto" w:fill="F3F3F3"/>
          </w:tcPr>
          <w:p>
            <w:pPr>
              <w:spacing w:after="0"/>
              <w:rPr>
                <w:sz w:val="20"/>
                <w:szCs w:val="20"/>
                <w:color w:val="auto"/>
              </w:rPr>
            </w:pP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right w:val="single" w:sz="8" w:color="auto"/>
            </w:tcBorders>
            <w:shd w:val="clear" w:color="auto" w:fill="F3F3F3"/>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1"/>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William C. Erbey</w:t>
            </w: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2012</w:t>
            </w:r>
          </w:p>
        </w:tc>
        <w:tc>
          <w:tcPr>
            <w:tcW w:w="1240" w:type="dxa"/>
            <w:vAlign w:val="bottom"/>
            <w:tcBorders>
              <w:bottom w:val="single" w:sz="8" w:color="auto"/>
              <w:right w:val="single" w:sz="8" w:color="auto"/>
            </w:tcBorders>
          </w:tcPr>
          <w:p>
            <w:pPr>
              <w:ind w:left="280"/>
              <w:spacing w:after="0" w:line="311" w:lineRule="exact"/>
              <w:rPr>
                <w:sz w:val="20"/>
                <w:szCs w:val="20"/>
                <w:color w:val="auto"/>
              </w:rPr>
            </w:pPr>
            <w:r>
              <w:rPr>
                <w:rFonts w:ascii="Arial" w:cs="Arial" w:eastAsia="Arial" w:hAnsi="Arial"/>
                <w:sz w:val="18"/>
                <w:szCs w:val="18"/>
                <w:color w:val="auto"/>
                <w:w w:val="92"/>
              </w:rPr>
              <w:t>$569,231</w:t>
            </w:r>
            <w:r>
              <w:rPr>
                <w:rFonts w:ascii="Arial" w:cs="Arial" w:eastAsia="Arial" w:hAnsi="Arial"/>
                <w:sz w:val="30"/>
                <w:szCs w:val="30"/>
                <w:color w:val="auto"/>
                <w:w w:val="92"/>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rPr>
              <w:t>$17,915,000</w:t>
            </w:r>
          </w:p>
        </w:tc>
        <w:tc>
          <w:tcPr>
            <w:tcW w:w="1600" w:type="dxa"/>
            <w:vAlign w:val="bottom"/>
            <w:tcBorders>
              <w:bottom w:val="single" w:sz="8" w:color="auto"/>
              <w:right w:val="single" w:sz="8" w:color="auto"/>
            </w:tcBorders>
          </w:tcPr>
          <w:p>
            <w:pPr>
              <w:ind w:left="600"/>
              <w:spacing w:after="0" w:line="311" w:lineRule="exact"/>
              <w:rPr>
                <w:sz w:val="20"/>
                <w:szCs w:val="20"/>
                <w:color w:val="auto"/>
              </w:rPr>
            </w:pPr>
            <w:r>
              <w:rPr>
                <w:rFonts w:ascii="Arial" w:cs="Arial" w:eastAsia="Arial" w:hAnsi="Arial"/>
                <w:sz w:val="18"/>
                <w:szCs w:val="18"/>
                <w:color w:val="auto"/>
                <w:w w:val="96"/>
              </w:rPr>
              <w:t>$873,454</w:t>
            </w:r>
            <w:r>
              <w:rPr>
                <w:rFonts w:ascii="Arial" w:cs="Arial" w:eastAsia="Arial" w:hAnsi="Arial"/>
                <w:sz w:val="30"/>
                <w:szCs w:val="30"/>
                <w:color w:val="auto"/>
                <w:w w:val="96"/>
                <w:vertAlign w:val="superscript"/>
              </w:rPr>
              <w:t>(7)</w:t>
            </w:r>
          </w:p>
        </w:tc>
        <w:tc>
          <w:tcPr>
            <w:tcW w:w="1500" w:type="dxa"/>
            <w:vAlign w:val="bottom"/>
            <w:tcBorders>
              <w:bottom w:val="single" w:sz="8" w:color="auto"/>
              <w:right w:val="single" w:sz="8" w:color="auto"/>
            </w:tcBorders>
          </w:tcPr>
          <w:p>
            <w:pPr>
              <w:jc w:val="right"/>
              <w:ind w:right="111"/>
              <w:spacing w:after="0" w:line="311" w:lineRule="exact"/>
              <w:rPr>
                <w:sz w:val="20"/>
                <w:szCs w:val="20"/>
                <w:color w:val="auto"/>
              </w:rPr>
            </w:pPr>
            <w:r>
              <w:rPr>
                <w:rFonts w:ascii="Arial" w:cs="Arial" w:eastAsia="Arial" w:hAnsi="Arial"/>
                <w:sz w:val="18"/>
                <w:szCs w:val="18"/>
                <w:color w:val="auto"/>
              </w:rPr>
              <w:t>$264,201</w:t>
            </w:r>
            <w:r>
              <w:rPr>
                <w:rFonts w:ascii="Arial" w:cs="Arial" w:eastAsia="Arial" w:hAnsi="Arial"/>
                <w:sz w:val="30"/>
                <w:szCs w:val="30"/>
                <w:color w:val="auto"/>
                <w:vertAlign w:val="superscript"/>
              </w:rPr>
              <w:t>(8)</w:t>
            </w:r>
          </w:p>
        </w:tc>
        <w:tc>
          <w:tcPr>
            <w:tcW w:w="12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87"/>
              </w:rPr>
              <w:t>$19,621,886</w:t>
            </w:r>
          </w:p>
        </w:tc>
        <w:tc>
          <w:tcPr>
            <w:tcW w:w="0" w:type="dxa"/>
            <w:vAlign w:val="bottom"/>
          </w:tcPr>
          <w:p>
            <w:pPr>
              <w:spacing w:after="0"/>
              <w:rPr>
                <w:sz w:val="1"/>
                <w:szCs w:val="1"/>
                <w:color w:val="auto"/>
              </w:rPr>
            </w:pPr>
          </w:p>
        </w:tc>
      </w:tr>
      <w:tr>
        <w:trPr>
          <w:trHeight w:val="87"/>
        </w:trPr>
        <w:tc>
          <w:tcPr>
            <w:tcW w:w="264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2011</w:t>
            </w:r>
          </w:p>
        </w:tc>
        <w:tc>
          <w:tcPr>
            <w:tcW w:w="124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color w:val="auto"/>
              </w:rPr>
              <w:t>$500,000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restart"/>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$1,369,644</w:t>
            </w:r>
          </w:p>
        </w:tc>
        <w:tc>
          <w:tcPr>
            <w:tcW w:w="1500" w:type="dxa"/>
            <w:vAlign w:val="bottom"/>
            <w:tcBorders>
              <w:right w:val="single" w:sz="8" w:color="auto"/>
            </w:tcBorders>
            <w:vMerge w:val="restart"/>
          </w:tcPr>
          <w:p>
            <w:pPr>
              <w:jc w:val="right"/>
              <w:ind w:right="291"/>
              <w:spacing w:after="0"/>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7"/>
              </w:rPr>
              <w:t>$1,874,544</w:t>
            </w:r>
          </w:p>
        </w:tc>
        <w:tc>
          <w:tcPr>
            <w:tcW w:w="0" w:type="dxa"/>
            <w:vAlign w:val="bottom"/>
          </w:tcPr>
          <w:p>
            <w:pPr>
              <w:spacing w:after="0"/>
              <w:rPr>
                <w:sz w:val="1"/>
                <w:szCs w:val="1"/>
                <w:color w:val="auto"/>
              </w:rPr>
            </w:pPr>
          </w:p>
        </w:tc>
      </w:tr>
      <w:tr>
        <w:trPr>
          <w:trHeight w:val="137"/>
        </w:trPr>
        <w:tc>
          <w:tcPr>
            <w:tcW w:w="2640" w:type="dxa"/>
            <w:vAlign w:val="bottom"/>
            <w:tcBorders>
              <w:left w:val="single" w:sz="8" w:color="auto"/>
              <w:right w:val="single" w:sz="8" w:color="auto"/>
            </w:tcBorders>
            <w:vMerge w:val="restart"/>
          </w:tcPr>
          <w:p>
            <w:pPr>
              <w:ind w:left="140"/>
              <w:spacing w:after="0" w:line="157" w:lineRule="exact"/>
              <w:rPr>
                <w:sz w:val="20"/>
                <w:szCs w:val="20"/>
                <w:color w:val="auto"/>
              </w:rPr>
            </w:pPr>
            <w:r>
              <w:rPr>
                <w:rFonts w:ascii="Arial" w:cs="Arial" w:eastAsia="Arial" w:hAnsi="Arial"/>
                <w:sz w:val="18"/>
                <w:szCs w:val="18"/>
                <w:color w:val="auto"/>
              </w:rPr>
              <w:t>Executive Chairman</w:t>
            </w:r>
          </w:p>
        </w:tc>
        <w:tc>
          <w:tcPr>
            <w:tcW w:w="68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640" w:type="dxa"/>
            <w:vAlign w:val="bottom"/>
            <w:tcBorders>
              <w:left w:val="single" w:sz="8" w:color="auto"/>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2010</w:t>
            </w:r>
          </w:p>
        </w:tc>
        <w:tc>
          <w:tcPr>
            <w:tcW w:w="124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$500,000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$1,358,038</w:t>
            </w:r>
          </w:p>
        </w:tc>
        <w:tc>
          <w:tcPr>
            <w:tcW w:w="1500" w:type="dxa"/>
            <w:vAlign w:val="bottom"/>
            <w:tcBorders>
              <w:right w:val="single" w:sz="8" w:color="auto"/>
            </w:tcBorders>
          </w:tcPr>
          <w:p>
            <w:pPr>
              <w:jc w:val="right"/>
              <w:ind w:right="291"/>
              <w:spacing w:after="0"/>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$1,862,938</w:t>
            </w:r>
          </w:p>
        </w:tc>
        <w:tc>
          <w:tcPr>
            <w:tcW w:w="0" w:type="dxa"/>
            <w:vAlign w:val="bottom"/>
          </w:tcPr>
          <w:p>
            <w:pPr>
              <w:spacing w:after="0"/>
              <w:rPr>
                <w:sz w:val="1"/>
                <w:szCs w:val="1"/>
                <w:color w:val="auto"/>
              </w:rPr>
            </w:pP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Ronald M. Faris</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2012</w:t>
            </w:r>
          </w:p>
        </w:tc>
        <w:tc>
          <w:tcPr>
            <w:tcW w:w="1240" w:type="dxa"/>
            <w:vAlign w:val="bottom"/>
            <w:tcBorders>
              <w:right w:val="single" w:sz="8" w:color="auto"/>
            </w:tcBorders>
          </w:tcPr>
          <w:p>
            <w:pPr>
              <w:ind w:left="280"/>
              <w:spacing w:after="0" w:line="222" w:lineRule="exact"/>
              <w:rPr>
                <w:sz w:val="20"/>
                <w:szCs w:val="20"/>
                <w:color w:val="auto"/>
              </w:rPr>
            </w:pPr>
            <w:r>
              <w:rPr>
                <w:rFonts w:ascii="Arial" w:cs="Arial" w:eastAsia="Arial" w:hAnsi="Arial"/>
                <w:sz w:val="16"/>
                <w:szCs w:val="16"/>
                <w:color w:val="auto"/>
              </w:rPr>
              <w:t>$477,692</w:t>
            </w:r>
            <w:r>
              <w:rPr>
                <w:rFonts w:ascii="Arial" w:cs="Arial" w:eastAsia="Arial" w:hAnsi="Arial"/>
                <w:sz w:val="25"/>
                <w:szCs w:val="25"/>
                <w:color w:val="auto"/>
                <w:vertAlign w:val="superscript"/>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$1,036,800</w:t>
            </w:r>
          </w:p>
        </w:tc>
        <w:tc>
          <w:tcPr>
            <w:tcW w:w="1500" w:type="dxa"/>
            <w:vAlign w:val="bottom"/>
            <w:tcBorders>
              <w:right w:val="single" w:sz="8" w:color="auto"/>
            </w:tcBorders>
          </w:tcPr>
          <w:p>
            <w:pPr>
              <w:jc w:val="right"/>
              <w:ind w:right="291"/>
              <w:spacing w:after="0"/>
              <w:rPr>
                <w:sz w:val="20"/>
                <w:szCs w:val="20"/>
                <w:color w:val="auto"/>
              </w:rPr>
            </w:pPr>
            <w:r>
              <w:rPr>
                <w:rFonts w:ascii="Arial" w:cs="Arial" w:eastAsia="Arial" w:hAnsi="Arial"/>
                <w:sz w:val="18"/>
                <w:szCs w:val="18"/>
                <w:color w:val="auto"/>
              </w:rPr>
              <w:t>$5,000</w:t>
            </w: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$1,519,492</w:t>
            </w:r>
          </w:p>
        </w:tc>
        <w:tc>
          <w:tcPr>
            <w:tcW w:w="0" w:type="dxa"/>
            <w:vAlign w:val="bottom"/>
          </w:tcPr>
          <w:p>
            <w:pPr>
              <w:spacing w:after="0"/>
              <w:rPr>
                <w:sz w:val="1"/>
                <w:szCs w:val="1"/>
                <w:color w:val="auto"/>
              </w:rPr>
            </w:pPr>
          </w:p>
        </w:tc>
      </w:tr>
      <w:tr>
        <w:trPr>
          <w:trHeight w:val="28"/>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President and Chief Executive</w:t>
            </w:r>
          </w:p>
        </w:tc>
        <w:tc>
          <w:tcPr>
            <w:tcW w:w="6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6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2011</w:t>
            </w:r>
          </w:p>
        </w:tc>
        <w:tc>
          <w:tcPr>
            <w:tcW w:w="1240" w:type="dxa"/>
            <w:vAlign w:val="bottom"/>
            <w:tcBorders>
              <w:right w:val="single" w:sz="8" w:color="auto"/>
            </w:tcBorders>
          </w:tcPr>
          <w:p>
            <w:pPr>
              <w:jc w:val="right"/>
              <w:ind w:right="232"/>
              <w:spacing w:after="0" w:line="169" w:lineRule="exact"/>
              <w:rPr>
                <w:sz w:val="20"/>
                <w:szCs w:val="20"/>
                <w:color w:val="auto"/>
              </w:rPr>
            </w:pPr>
            <w:r>
              <w:rPr>
                <w:rFonts w:ascii="Arial" w:cs="Arial" w:eastAsia="Arial" w:hAnsi="Arial"/>
                <w:sz w:val="18"/>
                <w:szCs w:val="18"/>
                <w:color w:val="auto"/>
              </w:rPr>
              <w:t>$449,999</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11"/>
              <w:spacing w:after="0" w:line="169"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51"/>
              <w:spacing w:after="0" w:line="169" w:lineRule="exact"/>
              <w:rPr>
                <w:sz w:val="20"/>
                <w:szCs w:val="20"/>
                <w:color w:val="auto"/>
              </w:rPr>
            </w:pPr>
            <w:r>
              <w:rPr>
                <w:rFonts w:ascii="Arial" w:cs="Arial" w:eastAsia="Arial" w:hAnsi="Arial"/>
                <w:sz w:val="18"/>
                <w:szCs w:val="18"/>
                <w:color w:val="auto"/>
              </w:rPr>
              <w:t>$985,500</w:t>
            </w:r>
          </w:p>
        </w:tc>
        <w:tc>
          <w:tcPr>
            <w:tcW w:w="1500" w:type="dxa"/>
            <w:vAlign w:val="bottom"/>
            <w:tcBorders>
              <w:right w:val="single" w:sz="8" w:color="auto"/>
            </w:tcBorders>
          </w:tcPr>
          <w:p>
            <w:pPr>
              <w:jc w:val="right"/>
              <w:ind w:right="291"/>
              <w:spacing w:after="0" w:line="169" w:lineRule="exact"/>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w w:val="97"/>
              </w:rPr>
              <w:t>$1,440,399</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Officer</w:t>
            </w:r>
          </w:p>
        </w:tc>
        <w:tc>
          <w:tcPr>
            <w:tcW w:w="6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$449,999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$742,770</w:t>
            </w:r>
          </w:p>
        </w:tc>
        <w:tc>
          <w:tcPr>
            <w:tcW w:w="15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$4,900</w:t>
            </w:r>
          </w:p>
        </w:tc>
        <w:tc>
          <w:tcPr>
            <w:tcW w:w="12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$1,197,669</w:t>
            </w: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Paul A. Koches</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2012</w:t>
            </w:r>
          </w:p>
        </w:tc>
        <w:tc>
          <w:tcPr>
            <w:tcW w:w="1240" w:type="dxa"/>
            <w:vAlign w:val="bottom"/>
            <w:tcBorders>
              <w:right w:val="single" w:sz="8" w:color="auto"/>
            </w:tcBorders>
          </w:tcPr>
          <w:p>
            <w:pPr>
              <w:ind w:left="260"/>
              <w:spacing w:after="0" w:line="222" w:lineRule="exact"/>
              <w:rPr>
                <w:sz w:val="20"/>
                <w:szCs w:val="20"/>
                <w:color w:val="auto"/>
              </w:rPr>
            </w:pPr>
            <w:r>
              <w:rPr>
                <w:rFonts w:ascii="Arial" w:cs="Arial" w:eastAsia="Arial" w:hAnsi="Arial"/>
                <w:sz w:val="16"/>
                <w:szCs w:val="16"/>
                <w:color w:val="auto"/>
                <w:w w:val="97"/>
              </w:rPr>
              <w:t>$358,065</w:t>
            </w:r>
            <w:r>
              <w:rPr>
                <w:rFonts w:ascii="Arial" w:cs="Arial" w:eastAsia="Arial" w:hAnsi="Arial"/>
                <w:sz w:val="25"/>
                <w:szCs w:val="25"/>
                <w:color w:val="auto"/>
                <w:w w:val="97"/>
                <w:vertAlign w:val="superscript"/>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$635,100</w:t>
            </w:r>
          </w:p>
        </w:tc>
        <w:tc>
          <w:tcPr>
            <w:tcW w:w="1500" w:type="dxa"/>
            <w:vAlign w:val="bottom"/>
            <w:tcBorders>
              <w:right w:val="single" w:sz="8" w:color="auto"/>
            </w:tcBorders>
          </w:tcPr>
          <w:p>
            <w:pPr>
              <w:jc w:val="right"/>
              <w:ind w:right="291"/>
              <w:spacing w:after="0"/>
              <w:rPr>
                <w:sz w:val="20"/>
                <w:szCs w:val="20"/>
                <w:color w:val="auto"/>
              </w:rPr>
            </w:pPr>
            <w:r>
              <w:rPr>
                <w:rFonts w:ascii="Arial" w:cs="Arial" w:eastAsia="Arial" w:hAnsi="Arial"/>
                <w:sz w:val="18"/>
                <w:szCs w:val="18"/>
                <w:color w:val="auto"/>
              </w:rPr>
              <w:t>$5,000</w:t>
            </w: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$ 998,165</w:t>
            </w:r>
          </w:p>
        </w:tc>
        <w:tc>
          <w:tcPr>
            <w:tcW w:w="0" w:type="dxa"/>
            <w:vAlign w:val="bottom"/>
          </w:tcPr>
          <w:p>
            <w:pPr>
              <w:spacing w:after="0"/>
              <w:rPr>
                <w:sz w:val="1"/>
                <w:szCs w:val="1"/>
                <w:color w:val="auto"/>
              </w:rPr>
            </w:pPr>
          </w:p>
        </w:tc>
      </w:tr>
      <w:tr>
        <w:trPr>
          <w:trHeight w:val="28"/>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Executive Vice President,</w:t>
            </w:r>
          </w:p>
        </w:tc>
        <w:tc>
          <w:tcPr>
            <w:tcW w:w="6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6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2011</w:t>
            </w:r>
          </w:p>
        </w:tc>
        <w:tc>
          <w:tcPr>
            <w:tcW w:w="1240" w:type="dxa"/>
            <w:vAlign w:val="bottom"/>
            <w:tcBorders>
              <w:right w:val="single" w:sz="8" w:color="auto"/>
            </w:tcBorders>
          </w:tcPr>
          <w:p>
            <w:pPr>
              <w:jc w:val="right"/>
              <w:ind w:right="232"/>
              <w:spacing w:after="0" w:line="169" w:lineRule="exact"/>
              <w:rPr>
                <w:sz w:val="20"/>
                <w:szCs w:val="20"/>
                <w:color w:val="auto"/>
              </w:rPr>
            </w:pPr>
            <w:r>
              <w:rPr>
                <w:rFonts w:ascii="Arial" w:cs="Arial" w:eastAsia="Arial" w:hAnsi="Arial"/>
                <w:sz w:val="18"/>
                <w:szCs w:val="18"/>
                <w:color w:val="auto"/>
              </w:rPr>
              <w:t>$358,065</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11"/>
              <w:spacing w:after="0" w:line="169"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51"/>
              <w:spacing w:after="0" w:line="169" w:lineRule="exact"/>
              <w:rPr>
                <w:sz w:val="20"/>
                <w:szCs w:val="20"/>
                <w:color w:val="auto"/>
              </w:rPr>
            </w:pPr>
            <w:r>
              <w:rPr>
                <w:rFonts w:ascii="Arial" w:cs="Arial" w:eastAsia="Arial" w:hAnsi="Arial"/>
                <w:sz w:val="18"/>
                <w:szCs w:val="18"/>
                <w:color w:val="auto"/>
              </w:rPr>
              <w:t>$497,153</w:t>
            </w:r>
          </w:p>
        </w:tc>
        <w:tc>
          <w:tcPr>
            <w:tcW w:w="1500" w:type="dxa"/>
            <w:vAlign w:val="bottom"/>
            <w:tcBorders>
              <w:right w:val="single" w:sz="8" w:color="auto"/>
            </w:tcBorders>
          </w:tcPr>
          <w:p>
            <w:pPr>
              <w:jc w:val="right"/>
              <w:ind w:right="291"/>
              <w:spacing w:after="0" w:line="169" w:lineRule="exact"/>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$860,118</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w w:val="97"/>
              </w:rPr>
              <w:t>General Counsel and Secretary</w:t>
            </w:r>
          </w:p>
        </w:tc>
        <w:tc>
          <w:tcPr>
            <w:tcW w:w="6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$358,065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$468,269</w:t>
            </w:r>
          </w:p>
        </w:tc>
        <w:tc>
          <w:tcPr>
            <w:tcW w:w="15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$4,900</w:t>
            </w:r>
          </w:p>
        </w:tc>
        <w:tc>
          <w:tcPr>
            <w:tcW w:w="12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$831,234</w:t>
            </w: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John V. Britti</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2012</w:t>
            </w:r>
          </w:p>
        </w:tc>
        <w:tc>
          <w:tcPr>
            <w:tcW w:w="1240" w:type="dxa"/>
            <w:vAlign w:val="bottom"/>
            <w:tcBorders>
              <w:right w:val="single" w:sz="8" w:color="auto"/>
            </w:tcBorders>
          </w:tcPr>
          <w:p>
            <w:pPr>
              <w:ind w:left="260"/>
              <w:spacing w:after="0" w:line="222" w:lineRule="exact"/>
              <w:rPr>
                <w:sz w:val="20"/>
                <w:szCs w:val="20"/>
                <w:color w:val="auto"/>
              </w:rPr>
            </w:pPr>
            <w:r>
              <w:rPr>
                <w:rFonts w:ascii="Arial" w:cs="Arial" w:eastAsia="Arial" w:hAnsi="Arial"/>
                <w:sz w:val="16"/>
                <w:szCs w:val="16"/>
                <w:color w:val="auto"/>
                <w:w w:val="97"/>
              </w:rPr>
              <w:t>$385,000</w:t>
            </w:r>
            <w:r>
              <w:rPr>
                <w:rFonts w:ascii="Arial" w:cs="Arial" w:eastAsia="Arial" w:hAnsi="Arial"/>
                <w:sz w:val="25"/>
                <w:szCs w:val="25"/>
                <w:color w:val="auto"/>
                <w:w w:val="97"/>
                <w:vertAlign w:val="superscript"/>
              </w:rPr>
              <w:t>(11)</w:t>
            </w:r>
          </w:p>
        </w:tc>
        <w:tc>
          <w:tcPr>
            <w:tcW w:w="1000" w:type="dxa"/>
            <w:vAlign w:val="bottom"/>
          </w:tcPr>
          <w:p>
            <w:pPr>
              <w:jc w:val="right"/>
              <w:spacing w:after="0"/>
              <w:rPr>
                <w:sz w:val="20"/>
                <w:szCs w:val="20"/>
                <w:color w:val="auto"/>
              </w:rPr>
            </w:pPr>
            <w:r>
              <w:rPr>
                <w:rFonts w:ascii="Arial" w:cs="Arial" w:eastAsia="Arial" w:hAnsi="Arial"/>
                <w:sz w:val="18"/>
                <w:szCs w:val="18"/>
                <w:color w:val="auto"/>
              </w:rPr>
              <w:t>$591,060</w:t>
            </w:r>
          </w:p>
        </w:tc>
        <w:tc>
          <w:tcPr>
            <w:tcW w:w="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$596,500</w:t>
            </w:r>
          </w:p>
        </w:tc>
        <w:tc>
          <w:tcPr>
            <w:tcW w:w="160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$443,058</w:t>
            </w:r>
          </w:p>
        </w:tc>
        <w:tc>
          <w:tcPr>
            <w:tcW w:w="1500" w:type="dxa"/>
            <w:vAlign w:val="bottom"/>
            <w:tcBorders>
              <w:right w:val="single" w:sz="8" w:color="auto"/>
            </w:tcBorders>
          </w:tcPr>
          <w:p>
            <w:pPr>
              <w:jc w:val="right"/>
              <w:ind w:right="71"/>
              <w:spacing w:after="0" w:line="222" w:lineRule="exact"/>
              <w:rPr>
                <w:sz w:val="20"/>
                <w:szCs w:val="20"/>
                <w:color w:val="auto"/>
              </w:rPr>
            </w:pPr>
            <w:r>
              <w:rPr>
                <w:rFonts w:ascii="Arial" w:cs="Arial" w:eastAsia="Arial" w:hAnsi="Arial"/>
                <w:sz w:val="16"/>
                <w:szCs w:val="16"/>
                <w:color w:val="auto"/>
              </w:rPr>
              <w:t>$52,593</w:t>
            </w:r>
            <w:r>
              <w:rPr>
                <w:rFonts w:ascii="Arial" w:cs="Arial" w:eastAsia="Arial" w:hAnsi="Arial"/>
                <w:sz w:val="25"/>
                <w:szCs w:val="25"/>
                <w:color w:val="auto"/>
                <w:vertAlign w:val="superscript"/>
              </w:rPr>
              <w:t>(12)</w:t>
            </w: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$2,068,211</w:t>
            </w:r>
          </w:p>
        </w:tc>
        <w:tc>
          <w:tcPr>
            <w:tcW w:w="0" w:type="dxa"/>
            <w:vAlign w:val="bottom"/>
          </w:tcPr>
          <w:p>
            <w:pPr>
              <w:spacing w:after="0"/>
              <w:rPr>
                <w:sz w:val="1"/>
                <w:szCs w:val="1"/>
                <w:color w:val="auto"/>
              </w:rPr>
            </w:pPr>
          </w:p>
        </w:tc>
      </w:tr>
      <w:tr>
        <w:trPr>
          <w:trHeight w:val="28"/>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Executive Vice President and</w:t>
            </w:r>
          </w:p>
        </w:tc>
        <w:tc>
          <w:tcPr>
            <w:tcW w:w="6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6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2011</w:t>
            </w:r>
          </w:p>
        </w:tc>
        <w:tc>
          <w:tcPr>
            <w:tcW w:w="1240" w:type="dxa"/>
            <w:vAlign w:val="bottom"/>
            <w:tcBorders>
              <w:right w:val="single" w:sz="8" w:color="auto"/>
            </w:tcBorders>
          </w:tcPr>
          <w:p>
            <w:pPr>
              <w:jc w:val="right"/>
              <w:ind w:right="232"/>
              <w:spacing w:after="0" w:line="169" w:lineRule="exact"/>
              <w:rPr>
                <w:sz w:val="20"/>
                <w:szCs w:val="20"/>
                <w:color w:val="auto"/>
              </w:rPr>
            </w:pPr>
            <w:r>
              <w:rPr>
                <w:rFonts w:ascii="Arial" w:cs="Arial" w:eastAsia="Arial" w:hAnsi="Arial"/>
                <w:sz w:val="18"/>
                <w:szCs w:val="18"/>
                <w:color w:val="auto"/>
              </w:rPr>
              <w:t>$347,981</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11"/>
              <w:spacing w:after="0" w:line="169"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51"/>
              <w:spacing w:after="0" w:line="169" w:lineRule="exact"/>
              <w:rPr>
                <w:sz w:val="20"/>
                <w:szCs w:val="20"/>
                <w:color w:val="auto"/>
              </w:rPr>
            </w:pPr>
            <w:r>
              <w:rPr>
                <w:rFonts w:ascii="Arial" w:cs="Arial" w:eastAsia="Arial" w:hAnsi="Arial"/>
                <w:sz w:val="18"/>
                <w:szCs w:val="18"/>
                <w:color w:val="auto"/>
              </w:rPr>
              <w:t>$513,230</w:t>
            </w:r>
          </w:p>
        </w:tc>
        <w:tc>
          <w:tcPr>
            <w:tcW w:w="1500" w:type="dxa"/>
            <w:vAlign w:val="bottom"/>
            <w:tcBorders>
              <w:right w:val="single" w:sz="8" w:color="auto"/>
            </w:tcBorders>
          </w:tcPr>
          <w:p>
            <w:pPr>
              <w:jc w:val="right"/>
              <w:ind w:right="291"/>
              <w:spacing w:after="0" w:line="169" w:lineRule="exact"/>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$866,111</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Chief Financial Officer</w:t>
            </w:r>
          </w:p>
        </w:tc>
        <w:tc>
          <w:tcPr>
            <w:tcW w:w="6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John P. Van Vlack</w:t>
            </w: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2012</w:t>
            </w:r>
          </w:p>
        </w:tc>
        <w:tc>
          <w:tcPr>
            <w:tcW w:w="124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color w:val="auto"/>
              </w:rPr>
              <w:t>$55,769</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vMerge w:val="restart"/>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right"/>
              <w:ind w:right="291"/>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vMerge w:val="restart"/>
          </w:tcPr>
          <w:p>
            <w:pPr>
              <w:jc w:val="right"/>
              <w:ind w:right="29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center"/>
              <w:ind w:left="130"/>
              <w:spacing w:after="0"/>
              <w:rPr>
                <w:sz w:val="20"/>
                <w:szCs w:val="20"/>
                <w:color w:val="auto"/>
              </w:rPr>
            </w:pPr>
            <w:r>
              <w:rPr>
                <w:rFonts w:ascii="Arial" w:cs="Arial" w:eastAsia="Arial" w:hAnsi="Arial"/>
                <w:sz w:val="18"/>
                <w:szCs w:val="18"/>
                <w:color w:val="auto"/>
                <w:w w:val="83"/>
              </w:rPr>
              <w:t>$55,769</w:t>
            </w:r>
            <w:r>
              <w:rPr>
                <w:rFonts w:ascii="Arial" w:cs="Arial" w:eastAsia="Arial" w:hAnsi="Arial"/>
                <w:sz w:val="30"/>
                <w:szCs w:val="30"/>
                <w:color w:val="auto"/>
                <w:w w:val="83"/>
                <w:vertAlign w:val="superscript"/>
              </w:rPr>
              <w:t>(13)</w:t>
            </w:r>
          </w:p>
        </w:tc>
        <w:tc>
          <w:tcPr>
            <w:tcW w:w="0" w:type="dxa"/>
            <w:vAlign w:val="bottom"/>
          </w:tcPr>
          <w:p>
            <w:pPr>
              <w:spacing w:after="0"/>
              <w:rPr>
                <w:sz w:val="1"/>
                <w:szCs w:val="1"/>
                <w:color w:val="auto"/>
              </w:rPr>
            </w:pPr>
          </w:p>
        </w:tc>
      </w:tr>
      <w:tr>
        <w:trPr>
          <w:trHeight w:val="190"/>
        </w:trPr>
        <w:tc>
          <w:tcPr>
            <w:tcW w:w="2640" w:type="dxa"/>
            <w:vAlign w:val="bottom"/>
            <w:tcBorders>
              <w:left w:val="single" w:sz="8" w:color="auto"/>
              <w:right w:val="single" w:sz="8" w:color="auto"/>
            </w:tcBorders>
          </w:tcPr>
          <w:p>
            <w:pPr>
              <w:ind w:left="140"/>
              <w:spacing w:after="0" w:line="190" w:lineRule="exact"/>
              <w:rPr>
                <w:sz w:val="20"/>
                <w:szCs w:val="20"/>
                <w:color w:val="auto"/>
              </w:rPr>
            </w:pPr>
            <w:r>
              <w:rPr>
                <w:rFonts w:ascii="Arial" w:cs="Arial" w:eastAsia="Arial" w:hAnsi="Arial"/>
                <w:sz w:val="18"/>
                <w:szCs w:val="18"/>
                <w:color w:val="auto"/>
              </w:rPr>
              <w:t>Former Executive Vice</w:t>
            </w: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1240" w:type="dxa"/>
            <w:vAlign w:val="bottom"/>
            <w:tcBorders>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150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President, Chief Financial</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2011</w:t>
            </w:r>
          </w:p>
        </w:tc>
        <w:tc>
          <w:tcPr>
            <w:tcW w:w="124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$290,000</w:t>
            </w:r>
          </w:p>
        </w:tc>
        <w:tc>
          <w:tcPr>
            <w:tcW w:w="10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$2,577,850</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$500,500</w:t>
            </w:r>
          </w:p>
        </w:tc>
        <w:tc>
          <w:tcPr>
            <w:tcW w:w="1500" w:type="dxa"/>
            <w:vAlign w:val="bottom"/>
            <w:tcBorders>
              <w:right w:val="single" w:sz="8" w:color="auto"/>
            </w:tcBorders>
          </w:tcPr>
          <w:p>
            <w:pPr>
              <w:jc w:val="right"/>
              <w:ind w:right="291"/>
              <w:spacing w:after="0"/>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$3,373,250</w:t>
            </w:r>
          </w:p>
        </w:tc>
        <w:tc>
          <w:tcPr>
            <w:tcW w:w="0" w:type="dxa"/>
            <w:vAlign w:val="bottom"/>
          </w:tcPr>
          <w:p>
            <w:pPr>
              <w:spacing w:after="0"/>
              <w:rPr>
                <w:sz w:val="1"/>
                <w:szCs w:val="1"/>
                <w:color w:val="auto"/>
              </w:rPr>
            </w:pPr>
          </w:p>
        </w:tc>
      </w:tr>
      <w:tr>
        <w:trPr>
          <w:trHeight w:val="95"/>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Officer and Chief Accounting</w:t>
            </w:r>
          </w:p>
        </w:tc>
        <w:tc>
          <w:tcPr>
            <w:tcW w:w="6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4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2010</w:t>
            </w:r>
          </w:p>
        </w:tc>
        <w:tc>
          <w:tcPr>
            <w:tcW w:w="124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color w:val="auto"/>
              </w:rPr>
              <w:t>$260,769</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restart"/>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$365,438</w:t>
            </w:r>
          </w:p>
        </w:tc>
        <w:tc>
          <w:tcPr>
            <w:tcW w:w="1500" w:type="dxa"/>
            <w:vAlign w:val="bottom"/>
            <w:tcBorders>
              <w:right w:val="single" w:sz="8" w:color="auto"/>
            </w:tcBorders>
            <w:vMerge w:val="restart"/>
          </w:tcPr>
          <w:p>
            <w:pPr>
              <w:jc w:val="right"/>
              <w:ind w:right="291"/>
              <w:spacing w:after="0"/>
              <w:rPr>
                <w:sz w:val="20"/>
                <w:szCs w:val="20"/>
                <w:color w:val="auto"/>
              </w:rPr>
            </w:pPr>
            <w:r>
              <w:rPr>
                <w:rFonts w:ascii="Arial" w:cs="Arial" w:eastAsia="Arial" w:hAnsi="Arial"/>
                <w:sz w:val="18"/>
                <w:szCs w:val="18"/>
                <w:color w:val="auto"/>
              </w:rPr>
              <w:t>$4,900</w:t>
            </w:r>
          </w:p>
        </w:tc>
        <w:tc>
          <w:tcPr>
            <w:tcW w:w="12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$631,107</w:t>
            </w:r>
          </w:p>
        </w:tc>
        <w:tc>
          <w:tcPr>
            <w:tcW w:w="0" w:type="dxa"/>
            <w:vAlign w:val="bottom"/>
          </w:tcPr>
          <w:p>
            <w:pPr>
              <w:spacing w:after="0"/>
              <w:rPr>
                <w:sz w:val="1"/>
                <w:szCs w:val="1"/>
                <w:color w:val="auto"/>
              </w:rPr>
            </w:pPr>
          </w:p>
        </w:tc>
      </w:tr>
      <w:tr>
        <w:trPr>
          <w:trHeight w:val="163"/>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Officer</w:t>
            </w:r>
          </w:p>
        </w:tc>
        <w:tc>
          <w:tcPr>
            <w:tcW w:w="68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Kenneth D. Najour</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2012</w:t>
            </w:r>
          </w:p>
        </w:tc>
        <w:tc>
          <w:tcPr>
            <w:tcW w:w="1240" w:type="dxa"/>
            <w:vAlign w:val="bottom"/>
            <w:tcBorders>
              <w:right w:val="single" w:sz="8" w:color="auto"/>
            </w:tcBorders>
          </w:tcPr>
          <w:p>
            <w:pPr>
              <w:ind w:left="260"/>
              <w:spacing w:after="0" w:line="222" w:lineRule="exact"/>
              <w:rPr>
                <w:sz w:val="20"/>
                <w:szCs w:val="20"/>
                <w:color w:val="auto"/>
              </w:rPr>
            </w:pPr>
            <w:r>
              <w:rPr>
                <w:rFonts w:ascii="Arial" w:cs="Arial" w:eastAsia="Arial" w:hAnsi="Arial"/>
                <w:sz w:val="16"/>
                <w:szCs w:val="16"/>
                <w:color w:val="auto"/>
                <w:w w:val="97"/>
              </w:rPr>
              <w:t>$213,036</w:t>
            </w:r>
            <w:r>
              <w:rPr>
                <w:rFonts w:ascii="Arial" w:cs="Arial" w:eastAsia="Arial" w:hAnsi="Arial"/>
                <w:sz w:val="25"/>
                <w:szCs w:val="25"/>
                <w:color w:val="auto"/>
                <w:w w:val="97"/>
                <w:vertAlign w:val="superscript"/>
              </w:rPr>
              <w:t>(14)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spacing w:after="0" w:line="222" w:lineRule="exact"/>
              <w:rPr>
                <w:sz w:val="20"/>
                <w:szCs w:val="20"/>
                <w:color w:val="auto"/>
              </w:rPr>
            </w:pPr>
            <w:r>
              <w:rPr>
                <w:rFonts w:ascii="Arial" w:cs="Arial" w:eastAsia="Arial" w:hAnsi="Arial"/>
                <w:sz w:val="16"/>
                <w:szCs w:val="16"/>
                <w:color w:val="auto"/>
              </w:rPr>
              <w:t>88,394</w:t>
            </w:r>
            <w:r>
              <w:rPr>
                <w:rFonts w:ascii="Arial" w:cs="Arial" w:eastAsia="Arial" w:hAnsi="Arial"/>
                <w:sz w:val="25"/>
                <w:szCs w:val="25"/>
                <w:color w:val="auto"/>
                <w:vertAlign w:val="superscript"/>
              </w:rPr>
              <w:t>(15)</w:t>
            </w:r>
          </w:p>
        </w:tc>
        <w:tc>
          <w:tcPr>
            <w:tcW w:w="1500" w:type="dxa"/>
            <w:vAlign w:val="bottom"/>
            <w:tcBorders>
              <w:right w:val="single" w:sz="8" w:color="auto"/>
            </w:tcBorders>
          </w:tcPr>
          <w:p>
            <w:pPr>
              <w:jc w:val="right"/>
              <w:ind w:right="31"/>
              <w:spacing w:after="0" w:line="222" w:lineRule="exact"/>
              <w:rPr>
                <w:sz w:val="20"/>
                <w:szCs w:val="20"/>
                <w:color w:val="auto"/>
              </w:rPr>
            </w:pPr>
            <w:r>
              <w:rPr>
                <w:rFonts w:ascii="Arial" w:cs="Arial" w:eastAsia="Arial" w:hAnsi="Arial"/>
                <w:sz w:val="16"/>
                <w:szCs w:val="16"/>
                <w:color w:val="auto"/>
              </w:rPr>
              <w:t>$73,651</w:t>
            </w:r>
            <w:r>
              <w:rPr>
                <w:rFonts w:ascii="Arial" w:cs="Arial" w:eastAsia="Arial" w:hAnsi="Arial"/>
                <w:sz w:val="25"/>
                <w:szCs w:val="25"/>
                <w:color w:val="auto"/>
                <w:vertAlign w:val="superscript"/>
              </w:rPr>
              <w:t>(16)</w:t>
            </w:r>
          </w:p>
        </w:tc>
        <w:tc>
          <w:tcPr>
            <w:tcW w:w="12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$375,081</w:t>
            </w:r>
          </w:p>
        </w:tc>
        <w:tc>
          <w:tcPr>
            <w:tcW w:w="0" w:type="dxa"/>
            <w:vAlign w:val="bottom"/>
          </w:tcPr>
          <w:p>
            <w:pPr>
              <w:spacing w:after="0"/>
              <w:rPr>
                <w:sz w:val="1"/>
                <w:szCs w:val="1"/>
                <w:color w:val="auto"/>
              </w:rPr>
            </w:pPr>
          </w:p>
        </w:tc>
      </w:tr>
      <w:tr>
        <w:trPr>
          <w:trHeight w:val="28"/>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w w:val="94"/>
              </w:rPr>
              <w:t>Former Vice President and Chief</w:t>
            </w:r>
          </w:p>
        </w:tc>
        <w:tc>
          <w:tcPr>
            <w:tcW w:w="6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6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2011</w:t>
            </w:r>
          </w:p>
        </w:tc>
        <w:tc>
          <w:tcPr>
            <w:tcW w:w="1240" w:type="dxa"/>
            <w:vAlign w:val="bottom"/>
            <w:tcBorders>
              <w:right w:val="single" w:sz="8" w:color="auto"/>
            </w:tcBorders>
          </w:tcPr>
          <w:p>
            <w:pPr>
              <w:jc w:val="right"/>
              <w:ind w:right="292"/>
              <w:spacing w:after="0" w:line="16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11"/>
              <w:spacing w:after="0" w:line="169"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291"/>
              <w:spacing w:after="0" w:line="169"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291"/>
              <w:spacing w:after="0" w:line="169"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center"/>
              <w:ind w:left="150"/>
              <w:spacing w:after="0" w:line="16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Accounting Officer</w:t>
            </w:r>
          </w:p>
        </w:tc>
        <w:tc>
          <w:tcPr>
            <w:tcW w:w="6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1171"/>
              <w:spacing w:after="0"/>
              <w:rPr>
                <w:sz w:val="20"/>
                <w:szCs w:val="20"/>
                <w:color w:val="auto"/>
              </w:rPr>
            </w:pPr>
            <w:r>
              <w:rPr>
                <w:rFonts w:ascii="Arial" w:cs="Arial" w:eastAsia="Arial" w:hAnsi="Arial"/>
                <w:sz w:val="18"/>
                <w:szCs w:val="18"/>
                <w:color w:val="auto"/>
              </w:rPr>
              <w:t>33</w:t>
            </w:r>
          </w:p>
        </w:tc>
        <w:tc>
          <w:tcPr>
            <w:tcW w:w="1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5" w:name="page36"/>
    <w:bookmarkEnd w:id="35"/>
    <w:p>
      <w:pPr>
        <w:ind w:left="332" w:hanging="332"/>
        <w:spacing w:after="0"/>
        <w:tabs>
          <w:tab w:leader="none" w:pos="33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Represents amounts earned in corresponding year.</w:t>
      </w:r>
    </w:p>
    <w:p>
      <w:pPr>
        <w:spacing w:after="0" w:line="150" w:lineRule="exact"/>
        <w:rPr>
          <w:rFonts w:ascii="Arial" w:cs="Arial" w:eastAsia="Arial" w:hAnsi="Arial"/>
          <w:sz w:val="30"/>
          <w:szCs w:val="30"/>
          <w:color w:val="auto"/>
          <w:vertAlign w:val="superscript"/>
        </w:rPr>
      </w:pPr>
    </w:p>
    <w:p>
      <w:pPr>
        <w:ind w:left="332" w:right="140" w:hanging="332"/>
        <w:spacing w:after="0" w:line="187" w:lineRule="auto"/>
        <w:tabs>
          <w:tab w:leader="none" w:pos="33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Represents the aggregate grant date fair value of stock options and stock awards. These amounts do not represent the actual amounts paid to or realized by the executive.</w:t>
      </w:r>
    </w:p>
    <w:p>
      <w:pPr>
        <w:spacing w:after="0" w:line="134" w:lineRule="exact"/>
        <w:rPr>
          <w:rFonts w:ascii="Arial" w:cs="Arial" w:eastAsia="Arial" w:hAnsi="Arial"/>
          <w:sz w:val="30"/>
          <w:szCs w:val="30"/>
          <w:color w:val="auto"/>
          <w:vertAlign w:val="superscript"/>
        </w:rPr>
      </w:pPr>
    </w:p>
    <w:p>
      <w:pPr>
        <w:ind w:left="332" w:right="60" w:hanging="332"/>
        <w:spacing w:after="0" w:line="218" w:lineRule="auto"/>
        <w:tabs>
          <w:tab w:leader="none" w:pos="33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 xml:space="preserve">For awards of options, the amount disclosed represents the aggregate grant date fair value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auto"/>
        </w:rPr>
        <w:t>ASC”) Topic 718. We based the grant date fair value of stock awards on the closing price of our common stock. We estimated the grant date fair value of stock option awards using a Black-Scholes option-pricing model and a binomial option pricing model utilizing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189230</wp:posOffset>
            </wp:positionV>
            <wp:extent cx="6877685" cy="1783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1783715"/>
                    </a:xfrm>
                    <a:prstGeom prst="rect">
                      <a:avLst/>
                    </a:prstGeom>
                    <a:noFill/>
                  </pic:spPr>
                </pic:pic>
              </a:graphicData>
            </a:graphic>
          </wp:anchor>
        </w:drawing>
      </w:r>
    </w:p>
    <w:p>
      <w:pPr>
        <w:spacing w:after="0" w:line="28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7" w:lineRule="exact"/>
        <w:rPr>
          <w:sz w:val="20"/>
          <w:szCs w:val="20"/>
          <w:color w:val="auto"/>
        </w:rPr>
      </w:pPr>
    </w:p>
    <w:tbl>
      <w:tblPr>
        <w:tblLayout w:type="fixed"/>
        <w:tblInd w:w="332" w:type="dxa"/>
        <w:tblCellMar>
          <w:top w:w="0" w:type="dxa"/>
          <w:left w:w="0" w:type="dxa"/>
          <w:bottom w:w="0" w:type="dxa"/>
          <w:right w:w="0" w:type="dxa"/>
        </w:tblCellMar>
      </w:tblPr>
      <w:tr>
        <w:trPr>
          <w:trHeight w:val="205"/>
        </w:trPr>
        <w:tc>
          <w:tcPr>
            <w:tcW w:w="14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Performance</w:t>
            </w:r>
          </w:p>
        </w:tc>
        <w:tc>
          <w:tcPr>
            <w:tcW w:w="2040" w:type="dxa"/>
            <w:vAlign w:val="bottom"/>
            <w:tcBorders>
              <w:top w:val="single" w:sz="8" w:color="auto"/>
              <w:right w:val="single" w:sz="8" w:color="auto"/>
            </w:tcBorders>
          </w:tcPr>
          <w:p>
            <w:pPr>
              <w:ind w:left="280"/>
              <w:spacing w:after="0" w:line="205" w:lineRule="exact"/>
              <w:rPr>
                <w:sz w:val="20"/>
                <w:szCs w:val="20"/>
                <w:color w:val="auto"/>
              </w:rPr>
            </w:pPr>
            <w:r>
              <w:rPr>
                <w:rFonts w:ascii="Arial" w:cs="Arial" w:eastAsia="Arial" w:hAnsi="Arial"/>
                <w:sz w:val="18"/>
                <w:szCs w:val="18"/>
                <w:b w:val="1"/>
                <w:bCs w:val="1"/>
                <w:color w:val="auto"/>
              </w:rPr>
              <w:t>Expected Volatility</w:t>
            </w:r>
          </w:p>
        </w:tc>
        <w:tc>
          <w:tcPr>
            <w:tcW w:w="18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Expected Dividend</w:t>
            </w:r>
          </w:p>
        </w:tc>
        <w:tc>
          <w:tcPr>
            <w:tcW w:w="1840" w:type="dxa"/>
            <w:vAlign w:val="bottom"/>
            <w:tcBorders>
              <w:top w:val="single" w:sz="8" w:color="auto"/>
              <w:right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rPr>
              <w:t>Exercise Price</w:t>
            </w:r>
          </w:p>
        </w:tc>
        <w:tc>
          <w:tcPr>
            <w:tcW w:w="18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Risk-Free Interest</w:t>
            </w:r>
          </w:p>
        </w:tc>
        <w:tc>
          <w:tcPr>
            <w:tcW w:w="18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Expected Term in</w:t>
            </w:r>
          </w:p>
        </w:tc>
      </w:tr>
      <w:tr>
        <w:trPr>
          <w:trHeight w:val="241"/>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 (%)</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Rate (%)</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$1.87</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2.73%</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3.25%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$6.57</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3.61%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4.35%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$11.88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4.78%</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3.48%</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$10.67</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1.57%</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6.5</w:t>
            </w:r>
          </w:p>
        </w:tc>
      </w:tr>
      <w:tr>
        <w:trPr>
          <w:trHeight w:val="217"/>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 - 42%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$15.27 – $24.38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 - 1.60%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51435</wp:posOffset>
            </wp:positionV>
            <wp:extent cx="6877685" cy="1080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1080770"/>
                    </a:xfrm>
                    <a:prstGeom prst="rect">
                      <a:avLst/>
                    </a:prstGeom>
                    <a:noFill/>
                  </pic:spPr>
                </pic:pic>
              </a:graphicData>
            </a:graphic>
          </wp:anchor>
        </w:drawing>
      </w:r>
    </w:p>
    <w:p>
      <w:pPr>
        <w:spacing w:after="0" w:line="70"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Market Condition Awards - Binomial Option Pricing Model</w:t>
      </w:r>
    </w:p>
    <w:p>
      <w:pPr>
        <w:spacing w:after="0" w:line="27" w:lineRule="exact"/>
        <w:rPr>
          <w:sz w:val="20"/>
          <w:szCs w:val="20"/>
          <w:color w:val="auto"/>
        </w:rPr>
      </w:pPr>
    </w:p>
    <w:tbl>
      <w:tblPr>
        <w:tblLayout w:type="fixed"/>
        <w:tblInd w:w="332" w:type="dxa"/>
        <w:tblCellMar>
          <w:top w:w="0" w:type="dxa"/>
          <w:left w:w="0" w:type="dxa"/>
          <w:bottom w:w="0" w:type="dxa"/>
          <w:right w:w="0" w:type="dxa"/>
        </w:tblCellMar>
      </w:tblPr>
      <w:tr>
        <w:trPr>
          <w:trHeight w:val="205"/>
        </w:trPr>
        <w:tc>
          <w:tcPr>
            <w:tcW w:w="14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Performance</w:t>
            </w:r>
          </w:p>
        </w:tc>
        <w:tc>
          <w:tcPr>
            <w:tcW w:w="2040" w:type="dxa"/>
            <w:vAlign w:val="bottom"/>
            <w:tcBorders>
              <w:top w:val="single" w:sz="8" w:color="auto"/>
              <w:right w:val="single" w:sz="8" w:color="auto"/>
            </w:tcBorders>
          </w:tcPr>
          <w:p>
            <w:pPr>
              <w:ind w:left="280"/>
              <w:spacing w:after="0" w:line="205" w:lineRule="exact"/>
              <w:rPr>
                <w:sz w:val="20"/>
                <w:szCs w:val="20"/>
                <w:color w:val="auto"/>
              </w:rPr>
            </w:pPr>
            <w:r>
              <w:rPr>
                <w:rFonts w:ascii="Arial" w:cs="Arial" w:eastAsia="Arial" w:hAnsi="Arial"/>
                <w:sz w:val="18"/>
                <w:szCs w:val="18"/>
                <w:b w:val="1"/>
                <w:bCs w:val="1"/>
                <w:color w:val="auto"/>
              </w:rPr>
              <w:t>Expected Volatility</w:t>
            </w:r>
          </w:p>
        </w:tc>
        <w:tc>
          <w:tcPr>
            <w:tcW w:w="18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Expected Dividend</w:t>
            </w:r>
          </w:p>
        </w:tc>
        <w:tc>
          <w:tcPr>
            <w:tcW w:w="1840" w:type="dxa"/>
            <w:vAlign w:val="bottom"/>
            <w:tcBorders>
              <w:top w:val="single" w:sz="8" w:color="auto"/>
              <w:right w:val="single" w:sz="8" w:color="auto"/>
            </w:tcBorders>
          </w:tcPr>
          <w:p>
            <w:pPr>
              <w:ind w:left="360"/>
              <w:spacing w:after="0" w:line="205" w:lineRule="exact"/>
              <w:rPr>
                <w:sz w:val="20"/>
                <w:szCs w:val="20"/>
                <w:color w:val="auto"/>
              </w:rPr>
            </w:pPr>
            <w:r>
              <w:rPr>
                <w:rFonts w:ascii="Arial" w:cs="Arial" w:eastAsia="Arial" w:hAnsi="Arial"/>
                <w:sz w:val="18"/>
                <w:szCs w:val="18"/>
                <w:b w:val="1"/>
                <w:bCs w:val="1"/>
                <w:color w:val="auto"/>
              </w:rPr>
              <w:t>Exercise Price</w:t>
            </w:r>
          </w:p>
        </w:tc>
        <w:tc>
          <w:tcPr>
            <w:tcW w:w="18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Risk-Free Interest</w:t>
            </w:r>
          </w:p>
        </w:tc>
        <w:tc>
          <w:tcPr>
            <w:tcW w:w="18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Contract Term in</w:t>
            </w:r>
          </w:p>
        </w:tc>
      </w:tr>
      <w:tr>
        <w:trPr>
          <w:trHeight w:val="241"/>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 (%)</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Rate (%)</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23"/>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38% - 46%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2.15% - 4.28%</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r>
        <w:trPr>
          <w:trHeight w:val="223"/>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38% - 46%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$10.67</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0.38% - 3.94%</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r>
        <w:trPr>
          <w:trHeight w:val="223"/>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 – 41%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0.35% - 2.74%</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r>
        <w:trPr>
          <w:trHeight w:val="223"/>
        </w:trPr>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 - 41.86%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$15.27 - $24.38</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0.70% - 3.06%</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bl>
    <w:p>
      <w:pPr>
        <w:spacing w:after="0" w:line="295" w:lineRule="exact"/>
        <w:rPr>
          <w:sz w:val="20"/>
          <w:szCs w:val="20"/>
          <w:color w:val="auto"/>
        </w:rPr>
      </w:pPr>
    </w:p>
    <w:p>
      <w:pPr>
        <w:ind w:left="332" w:hanging="332"/>
        <w:spacing w:after="0"/>
        <w:tabs>
          <w:tab w:leader="none" w:pos="332"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Consists of the cash portion of incentive compensation bonus awarded in the first quarter of the year following the year in which services are rendered.</w:t>
      </w:r>
    </w:p>
    <w:p>
      <w:pPr>
        <w:spacing w:after="0" w:line="150" w:lineRule="exact"/>
        <w:rPr>
          <w:rFonts w:ascii="Arial" w:cs="Arial" w:eastAsia="Arial" w:hAnsi="Arial"/>
          <w:sz w:val="26"/>
          <w:szCs w:val="26"/>
          <w:color w:val="auto"/>
          <w:vertAlign w:val="superscript"/>
        </w:rPr>
      </w:pPr>
    </w:p>
    <w:p>
      <w:pPr>
        <w:ind w:left="332" w:hanging="332"/>
        <w:spacing w:after="0" w:line="186" w:lineRule="auto"/>
        <w:tabs>
          <w:tab w:leader="none" w:pos="332"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Consists of contributions by Ocwen pursuant to Ocwen’s 401(k) Savings Plan, salary adjustments and any relocation expenses.</w:t>
      </w:r>
    </w:p>
    <w:p>
      <w:pPr>
        <w:spacing w:after="0" w:line="150" w:lineRule="exact"/>
        <w:rPr>
          <w:rFonts w:ascii="Arial" w:cs="Arial" w:eastAsia="Arial" w:hAnsi="Arial"/>
          <w:sz w:val="24"/>
          <w:szCs w:val="24"/>
          <w:color w:val="auto"/>
          <w:vertAlign w:val="superscript"/>
        </w:rPr>
      </w:pPr>
    </w:p>
    <w:p>
      <w:pPr>
        <w:ind w:left="332" w:hanging="332"/>
        <w:spacing w:after="0" w:line="186" w:lineRule="auto"/>
        <w:tabs>
          <w:tab w:leader="none" w:pos="332"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Consists of the base salary received by Mr. Erbey of $269,231 from OLS and $300,000 from OMS.</w:t>
      </w:r>
    </w:p>
    <w:p>
      <w:pPr>
        <w:spacing w:after="0" w:line="164" w:lineRule="exact"/>
        <w:rPr>
          <w:rFonts w:ascii="Arial" w:cs="Arial" w:eastAsia="Arial" w:hAnsi="Arial"/>
          <w:sz w:val="24"/>
          <w:szCs w:val="24"/>
          <w:color w:val="auto"/>
          <w:vertAlign w:val="superscript"/>
        </w:rPr>
      </w:pPr>
    </w:p>
    <w:p>
      <w:pPr>
        <w:ind w:left="332" w:hanging="332"/>
        <w:spacing w:after="0" w:line="186" w:lineRule="auto"/>
        <w:tabs>
          <w:tab w:leader="none" w:pos="33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Consists of the cash portion of incentive compensation bonus awarded to Mr. Erbey from OMS.</w:t>
      </w:r>
    </w:p>
    <w:p>
      <w:pPr>
        <w:spacing w:after="0" w:line="203" w:lineRule="exact"/>
        <w:rPr>
          <w:rFonts w:ascii="Arial" w:cs="Arial" w:eastAsia="Arial" w:hAnsi="Arial"/>
          <w:sz w:val="30"/>
          <w:szCs w:val="30"/>
          <w:color w:val="auto"/>
          <w:vertAlign w:val="superscript"/>
        </w:rPr>
      </w:pPr>
    </w:p>
    <w:p>
      <w:pPr>
        <w:ind w:left="332" w:hanging="332"/>
        <w:spacing w:after="0" w:line="230" w:lineRule="auto"/>
        <w:tabs>
          <w:tab w:leader="none" w:pos="33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(i) the aggregate incremental cost to Ocwen for Mr. Erbey’s use of the private aviation service of $63,552 related to flights taken by Mr. Erbey for business travel; and (ii) $195,648 for expenses associated with Mr. Erbey’s relocation from his home in Atlanta, Georgia to St. Croix for OMS. Also, in order to facilitate Mr. Erbey’s relocation to St. Croix, the Board of Directors approved Ocwen’s purchase of Mr. Erbey’s residence in Atlanta, Georgia at an amount approved by the Board, consistent with Ocwen’s standard senior executive relocation policy and practice. For more information about this transaction, see “Business Relationships and Related Transactions.” The aggregate incremental cost for use of the private aviation service for commuting and for personal travel not directly related to Ocwen business is the full cost as charged to Ocwen by the charter company to charter the private plane for such uses.</w:t>
      </w:r>
    </w:p>
    <w:p>
      <w:pPr>
        <w:spacing w:after="0" w:line="20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52"/>
          </w:cols>
          <w:pgMar w:left="248" w:top="632" w:right="299" w:bottom="1440" w:gutter="0" w:footer="0" w:header="0"/>
        </w:sectPr>
      </w:pPr>
    </w:p>
    <w:bookmarkStart w:id="36" w:name="page37"/>
    <w:bookmarkEnd w:id="36"/>
    <w:p>
      <w:pPr>
        <w:ind w:left="340" w:hanging="332"/>
        <w:spacing w:after="0"/>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base salary received by Mr. Faris of $353,077 from OLS.</w:t>
      </w:r>
    </w:p>
    <w:p>
      <w:pPr>
        <w:spacing w:after="0" w:line="125" w:lineRule="exact"/>
        <w:rPr>
          <w:rFonts w:ascii="Arial" w:cs="Arial" w:eastAsia="Arial" w:hAnsi="Arial"/>
          <w:sz w:val="27"/>
          <w:szCs w:val="27"/>
          <w:color w:val="auto"/>
          <w:vertAlign w:val="superscript"/>
        </w:rPr>
      </w:pPr>
    </w:p>
    <w:p>
      <w:pPr>
        <w:ind w:left="340" w:hanging="332"/>
        <w:spacing w:after="0" w:line="236"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base salary received by Mr. Koches of $275,435 from OLS.</w:t>
      </w:r>
    </w:p>
    <w:p>
      <w:pPr>
        <w:spacing w:after="0" w:line="126" w:lineRule="exact"/>
        <w:rPr>
          <w:rFonts w:ascii="Arial" w:cs="Arial" w:eastAsia="Arial" w:hAnsi="Arial"/>
          <w:sz w:val="27"/>
          <w:szCs w:val="27"/>
          <w:color w:val="auto"/>
          <w:vertAlign w:val="superscript"/>
        </w:rPr>
      </w:pPr>
    </w:p>
    <w:p>
      <w:pPr>
        <w:ind w:left="340" w:hanging="332"/>
        <w:spacing w:after="0" w:line="236"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base salary received by Mr. Britti of $296,154 from OLS.</w:t>
      </w:r>
    </w:p>
    <w:p>
      <w:pPr>
        <w:spacing w:after="0" w:line="126" w:lineRule="exact"/>
        <w:rPr>
          <w:rFonts w:ascii="Arial" w:cs="Arial" w:eastAsia="Arial" w:hAnsi="Arial"/>
          <w:sz w:val="27"/>
          <w:szCs w:val="27"/>
          <w:color w:val="auto"/>
          <w:vertAlign w:val="superscript"/>
        </w:rPr>
      </w:pPr>
    </w:p>
    <w:p>
      <w:pPr>
        <w:ind w:left="340" w:hanging="332"/>
        <w:spacing w:after="0" w:line="236"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$48,742 from OLS for expenses associated with Mr. Britti’s relocation.</w:t>
      </w:r>
    </w:p>
    <w:p>
      <w:pPr>
        <w:spacing w:after="0" w:line="126" w:lineRule="exact"/>
        <w:rPr>
          <w:rFonts w:ascii="Arial" w:cs="Arial" w:eastAsia="Arial" w:hAnsi="Arial"/>
          <w:sz w:val="27"/>
          <w:szCs w:val="27"/>
          <w:color w:val="auto"/>
          <w:vertAlign w:val="superscript"/>
        </w:rPr>
      </w:pPr>
    </w:p>
    <w:p>
      <w:pPr>
        <w:ind w:left="340" w:hanging="332"/>
        <w:spacing w:after="0" w:line="215"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Mr. Van Vlack resigned from the Company on March 5, 2012.</w:t>
      </w:r>
    </w:p>
    <w:p>
      <w:pPr>
        <w:spacing w:after="0" w:line="127" w:lineRule="exact"/>
        <w:rPr>
          <w:rFonts w:ascii="Arial" w:cs="Arial" w:eastAsia="Arial" w:hAnsi="Arial"/>
          <w:sz w:val="27"/>
          <w:szCs w:val="27"/>
          <w:color w:val="auto"/>
          <w:vertAlign w:val="superscript"/>
        </w:rPr>
      </w:pPr>
    </w:p>
    <w:p>
      <w:pPr>
        <w:ind w:left="340" w:hanging="332"/>
        <w:spacing w:after="0" w:line="215"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Consists of the base salary received by Mr. Najour of $141,885 from OLS and $71,151 from OMS.</w:t>
      </w:r>
    </w:p>
    <w:p>
      <w:pPr>
        <w:spacing w:after="0" w:line="127" w:lineRule="exact"/>
        <w:rPr>
          <w:rFonts w:ascii="Arial" w:cs="Arial" w:eastAsia="Arial" w:hAnsi="Arial"/>
          <w:sz w:val="27"/>
          <w:szCs w:val="27"/>
          <w:color w:val="auto"/>
          <w:vertAlign w:val="superscript"/>
        </w:rPr>
      </w:pPr>
    </w:p>
    <w:p>
      <w:pPr>
        <w:ind w:left="340" w:hanging="332"/>
        <w:spacing w:after="0" w:line="236"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Consists of the cash portion of incentive compensation bonus awarded to Mr. Najour from OMS.</w:t>
      </w:r>
    </w:p>
    <w:p>
      <w:pPr>
        <w:spacing w:after="0" w:line="126" w:lineRule="exact"/>
        <w:rPr>
          <w:rFonts w:ascii="Arial" w:cs="Arial" w:eastAsia="Arial" w:hAnsi="Arial"/>
          <w:sz w:val="27"/>
          <w:szCs w:val="27"/>
          <w:color w:val="auto"/>
          <w:vertAlign w:val="superscript"/>
        </w:rPr>
      </w:pPr>
    </w:p>
    <w:p>
      <w:pPr>
        <w:ind w:left="340" w:hanging="332"/>
        <w:spacing w:after="0" w:line="236"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$21,803 and $48,818, from OLS and OMS, respectively, for expenses associated with Mr. Najour’s relocation.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2012</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provides information related to compensation pursuant to our annual incentive plan for services rendered in fiscal year 2012 by the individuals named in the Summary Compensation Table.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right w:val="single" w:sz="8" w:color="auto"/>
            </w:tcBorders>
            <w:shd w:val="clear" w:color="auto" w:fill="F3F3F3"/>
          </w:tcPr>
          <w:p>
            <w:pPr>
              <w:spacing w:after="0"/>
              <w:rPr>
                <w:sz w:val="19"/>
                <w:szCs w:val="19"/>
                <w:color w:val="auto"/>
              </w:rPr>
            </w:pPr>
          </w:p>
        </w:tc>
        <w:tc>
          <w:tcPr>
            <w:tcW w:w="1040" w:type="dxa"/>
            <w:vAlign w:val="bottom"/>
            <w:tcBorders>
              <w:top w:val="single" w:sz="8" w:color="auto"/>
              <w:right w:val="single" w:sz="8" w:color="auto"/>
            </w:tcBorders>
            <w:shd w:val="clear" w:color="auto" w:fill="F3F3F3"/>
          </w:tcPr>
          <w:p>
            <w:pPr>
              <w:spacing w:after="0"/>
              <w:rPr>
                <w:sz w:val="19"/>
                <w:szCs w:val="19"/>
                <w:color w:val="auto"/>
              </w:rPr>
            </w:pPr>
          </w:p>
        </w:tc>
        <w:tc>
          <w:tcPr>
            <w:tcW w:w="1140" w:type="dxa"/>
            <w:vAlign w:val="bottom"/>
            <w:tcBorders>
              <w:top w:val="single" w:sz="8" w:color="auto"/>
              <w:right w:val="single" w:sz="8" w:color="F3F3F3"/>
            </w:tcBorders>
            <w:shd w:val="clear" w:color="auto" w:fill="F3F3F3"/>
          </w:tcPr>
          <w:p>
            <w:pPr>
              <w:spacing w:after="0"/>
              <w:rPr>
                <w:sz w:val="19"/>
                <w:szCs w:val="19"/>
                <w:color w:val="auto"/>
              </w:rPr>
            </w:pPr>
          </w:p>
        </w:tc>
        <w:tc>
          <w:tcPr>
            <w:tcW w:w="1140" w:type="dxa"/>
            <w:vAlign w:val="bottom"/>
            <w:tcBorders>
              <w:top w:val="single" w:sz="8" w:color="auto"/>
              <w:right w:val="single" w:sz="8" w:color="F3F3F3"/>
            </w:tcBorders>
            <w:shd w:val="clear" w:color="auto" w:fill="F3F3F3"/>
          </w:tcPr>
          <w:p>
            <w:pPr>
              <w:spacing w:after="0"/>
              <w:rPr>
                <w:sz w:val="19"/>
                <w:szCs w:val="19"/>
                <w:color w:val="auto"/>
              </w:rPr>
            </w:pPr>
          </w:p>
        </w:tc>
        <w:tc>
          <w:tcPr>
            <w:tcW w:w="160" w:type="dxa"/>
            <w:vAlign w:val="bottom"/>
            <w:tcBorders>
              <w:top w:val="single" w:sz="8" w:color="auto"/>
            </w:tcBorders>
            <w:shd w:val="clear" w:color="auto" w:fill="F3F3F3"/>
          </w:tcPr>
          <w:p>
            <w:pPr>
              <w:spacing w:after="0"/>
              <w:rPr>
                <w:sz w:val="19"/>
                <w:szCs w:val="19"/>
                <w:color w:val="auto"/>
              </w:rPr>
            </w:pPr>
          </w:p>
        </w:tc>
        <w:tc>
          <w:tcPr>
            <w:tcW w:w="1000" w:type="dxa"/>
            <w:vAlign w:val="bottom"/>
            <w:tcBorders>
              <w:top w:val="single" w:sz="8" w:color="auto"/>
              <w:right w:val="single" w:sz="8" w:color="auto"/>
            </w:tcBorders>
            <w:shd w:val="clear" w:color="auto" w:fill="F3F3F3"/>
          </w:tcPr>
          <w:p>
            <w:pPr>
              <w:spacing w:after="0"/>
              <w:rPr>
                <w:sz w:val="19"/>
                <w:szCs w:val="19"/>
                <w:color w:val="auto"/>
              </w:rPr>
            </w:pPr>
          </w:p>
        </w:tc>
        <w:tc>
          <w:tcPr>
            <w:tcW w:w="1560" w:type="dxa"/>
            <w:vAlign w:val="bottom"/>
            <w:tcBorders>
              <w:top w:val="single" w:sz="8" w:color="auto"/>
            </w:tcBorders>
            <w:shd w:val="clear" w:color="auto" w:fill="F3F3F3"/>
          </w:tcPr>
          <w:p>
            <w:pPr>
              <w:jc w:val="center"/>
              <w:ind w:left="130"/>
              <w:spacing w:after="0"/>
              <w:rPr>
                <w:sz w:val="20"/>
                <w:szCs w:val="20"/>
                <w:color w:val="auto"/>
              </w:rPr>
            </w:pPr>
            <w:r>
              <w:rPr>
                <w:rFonts w:ascii="Arial" w:cs="Arial" w:eastAsia="Arial" w:hAnsi="Arial"/>
                <w:sz w:val="18"/>
                <w:szCs w:val="18"/>
                <w:b w:val="1"/>
                <w:bCs w:val="1"/>
                <w:color w:val="auto"/>
                <w:w w:val="90"/>
              </w:rPr>
              <w:t>Estimated</w:t>
            </w:r>
          </w:p>
        </w:tc>
        <w:tc>
          <w:tcPr>
            <w:tcW w:w="260" w:type="dxa"/>
            <w:vAlign w:val="bottom"/>
            <w:tcBorders>
              <w:top w:val="single" w:sz="8" w:color="auto"/>
              <w:right w:val="single" w:sz="8" w:color="auto"/>
            </w:tcBorders>
            <w:shd w:val="clear" w:color="auto" w:fill="F3F3F3"/>
          </w:tcPr>
          <w:p>
            <w:pPr>
              <w:spacing w:after="0"/>
              <w:rPr>
                <w:sz w:val="19"/>
                <w:szCs w:val="19"/>
                <w:color w:val="auto"/>
              </w:rPr>
            </w:pPr>
          </w:p>
        </w:tc>
        <w:tc>
          <w:tcPr>
            <w:tcW w:w="100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020" w:type="dxa"/>
            <w:vAlign w:val="bottom"/>
            <w:tcBorders>
              <w:top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1020" w:type="dxa"/>
            <w:vAlign w:val="bottom"/>
            <w:tcBorders>
              <w:top w:val="single" w:sz="8" w:color="auto"/>
              <w:right w:val="single" w:sz="8" w:color="auto"/>
            </w:tcBorders>
            <w:shd w:val="clear" w:color="auto" w:fill="F3F3F3"/>
          </w:tcPr>
          <w:p>
            <w:pPr>
              <w:spacing w:after="0"/>
              <w:rPr>
                <w:sz w:val="19"/>
                <w:szCs w:val="19"/>
                <w:color w:val="auto"/>
              </w:rPr>
            </w:pPr>
          </w:p>
        </w:tc>
        <w:tc>
          <w:tcPr>
            <w:tcW w:w="1120" w:type="dxa"/>
            <w:vAlign w:val="bottom"/>
            <w:tcBorders>
              <w:top w:val="single" w:sz="8" w:color="auto"/>
              <w:right w:val="single" w:sz="8" w:color="auto"/>
            </w:tcBorders>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shd w:val="clear" w:color="auto" w:fill="F3F3F3"/>
          </w:tcPr>
          <w:p>
            <w:pPr>
              <w:spacing w:after="0"/>
              <w:rPr>
                <w:sz w:val="18"/>
                <w:szCs w:val="18"/>
                <w:color w:val="auto"/>
              </w:rPr>
            </w:pPr>
          </w:p>
        </w:tc>
        <w:tc>
          <w:tcPr>
            <w:tcW w:w="1040" w:type="dxa"/>
            <w:vAlign w:val="bottom"/>
            <w:tcBorders>
              <w:right w:val="single" w:sz="8" w:color="auto"/>
            </w:tcBorders>
            <w:shd w:val="clear" w:color="auto" w:fill="F3F3F3"/>
          </w:tcPr>
          <w:p>
            <w:pPr>
              <w:spacing w:after="0"/>
              <w:rPr>
                <w:sz w:val="18"/>
                <w:szCs w:val="18"/>
                <w:color w:val="auto"/>
              </w:rPr>
            </w:pPr>
          </w:p>
        </w:tc>
        <w:tc>
          <w:tcPr>
            <w:tcW w:w="3440" w:type="dxa"/>
            <w:vAlign w:val="bottom"/>
            <w:tcBorders>
              <w:right w:val="single" w:sz="8" w:color="auto"/>
            </w:tcBorders>
            <w:gridSpan w:val="4"/>
            <w:vMerge w:val="restart"/>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Estimated Future Payouts</w:t>
            </w:r>
          </w:p>
        </w:tc>
        <w:tc>
          <w:tcPr>
            <w:tcW w:w="1560" w:type="dxa"/>
            <w:vAlign w:val="bottom"/>
            <w:shd w:val="clear" w:color="auto" w:fill="F3F3F3"/>
          </w:tcPr>
          <w:p>
            <w:pPr>
              <w:jc w:val="center"/>
              <w:ind w:left="130"/>
              <w:spacing w:after="0"/>
              <w:rPr>
                <w:sz w:val="20"/>
                <w:szCs w:val="20"/>
                <w:color w:val="auto"/>
              </w:rPr>
            </w:pPr>
            <w:r>
              <w:rPr>
                <w:rFonts w:ascii="Arial" w:cs="Arial" w:eastAsia="Arial" w:hAnsi="Arial"/>
                <w:sz w:val="18"/>
                <w:szCs w:val="18"/>
                <w:b w:val="1"/>
                <w:bCs w:val="1"/>
                <w:color w:val="auto"/>
                <w:w w:val="90"/>
              </w:rPr>
              <w:t>Future Payouts</w:t>
            </w:r>
          </w:p>
        </w:tc>
        <w:tc>
          <w:tcPr>
            <w:tcW w:w="260" w:type="dxa"/>
            <w:vAlign w:val="bottom"/>
            <w:tcBorders>
              <w:right w:val="single" w:sz="8" w:color="auto"/>
            </w:tcBorders>
            <w:shd w:val="clear" w:color="auto" w:fill="F3F3F3"/>
          </w:tcPr>
          <w:p>
            <w:pPr>
              <w:spacing w:after="0"/>
              <w:rPr>
                <w:sz w:val="18"/>
                <w:szCs w:val="18"/>
                <w:color w:val="auto"/>
              </w:rPr>
            </w:pPr>
          </w:p>
        </w:tc>
        <w:tc>
          <w:tcPr>
            <w:tcW w:w="100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tcBorders>
              <w:right w:val="single" w:sz="8" w:color="auto"/>
            </w:tcBorders>
            <w:shd w:val="clear" w:color="auto" w:fill="F3F3F3"/>
          </w:tcPr>
          <w:p>
            <w:pPr>
              <w:spacing w:after="0"/>
              <w:rPr>
                <w:sz w:val="18"/>
                <w:szCs w:val="18"/>
                <w:color w:val="auto"/>
              </w:rPr>
            </w:pPr>
          </w:p>
        </w:tc>
        <w:tc>
          <w:tcPr>
            <w:tcW w:w="1120" w:type="dxa"/>
            <w:vAlign w:val="bottom"/>
            <w:tcBorders>
              <w:right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right w:val="single" w:sz="8" w:color="auto"/>
            </w:tcBorders>
            <w:shd w:val="clear" w:color="auto" w:fill="F3F3F3"/>
          </w:tcPr>
          <w:p>
            <w:pPr>
              <w:spacing w:after="0"/>
              <w:rPr>
                <w:sz w:val="19"/>
                <w:szCs w:val="19"/>
                <w:color w:val="auto"/>
              </w:rPr>
            </w:pPr>
          </w:p>
        </w:tc>
        <w:tc>
          <w:tcPr>
            <w:tcW w:w="1040" w:type="dxa"/>
            <w:vAlign w:val="bottom"/>
            <w:tcBorders>
              <w:right w:val="single" w:sz="8" w:color="auto"/>
            </w:tcBorders>
            <w:shd w:val="clear" w:color="auto" w:fill="F3F3F3"/>
          </w:tcPr>
          <w:p>
            <w:pPr>
              <w:spacing w:after="0"/>
              <w:rPr>
                <w:sz w:val="19"/>
                <w:szCs w:val="19"/>
                <w:color w:val="auto"/>
              </w:rPr>
            </w:pPr>
          </w:p>
        </w:tc>
        <w:tc>
          <w:tcPr>
            <w:tcW w:w="3440" w:type="dxa"/>
            <w:vAlign w:val="bottom"/>
            <w:tcBorders>
              <w:right w:val="single" w:sz="8" w:color="auto"/>
            </w:tcBorders>
            <w:gridSpan w:val="4"/>
            <w:vMerge w:val="continue"/>
            <w:shd w:val="clear" w:color="auto" w:fill="F3F3F3"/>
          </w:tcPr>
          <w:p>
            <w:pPr>
              <w:spacing w:after="0"/>
              <w:rPr>
                <w:sz w:val="19"/>
                <w:szCs w:val="19"/>
                <w:color w:val="auto"/>
              </w:rPr>
            </w:pPr>
          </w:p>
        </w:tc>
        <w:tc>
          <w:tcPr>
            <w:tcW w:w="1560" w:type="dxa"/>
            <w:vAlign w:val="bottom"/>
            <w:shd w:val="clear" w:color="auto" w:fill="F3F3F3"/>
          </w:tcPr>
          <w:p>
            <w:pPr>
              <w:jc w:val="center"/>
              <w:ind w:left="130"/>
              <w:spacing w:after="0"/>
              <w:rPr>
                <w:sz w:val="20"/>
                <w:szCs w:val="20"/>
                <w:color w:val="auto"/>
              </w:rPr>
            </w:pPr>
            <w:r>
              <w:rPr>
                <w:rFonts w:ascii="Arial" w:cs="Arial" w:eastAsia="Arial" w:hAnsi="Arial"/>
                <w:sz w:val="18"/>
                <w:szCs w:val="18"/>
                <w:b w:val="1"/>
                <w:bCs w:val="1"/>
                <w:color w:val="auto"/>
                <w:w w:val="94"/>
              </w:rPr>
              <w:t>Under Equity</w:t>
            </w:r>
          </w:p>
        </w:tc>
        <w:tc>
          <w:tcPr>
            <w:tcW w:w="260" w:type="dxa"/>
            <w:vAlign w:val="bottom"/>
            <w:tcBorders>
              <w:right w:val="single" w:sz="8" w:color="auto"/>
            </w:tcBorders>
            <w:shd w:val="clear" w:color="auto" w:fill="F3F3F3"/>
          </w:tcPr>
          <w:p>
            <w:pPr>
              <w:spacing w:after="0"/>
              <w:rPr>
                <w:sz w:val="19"/>
                <w:szCs w:val="19"/>
                <w:color w:val="auto"/>
              </w:rPr>
            </w:pPr>
          </w:p>
        </w:tc>
        <w:tc>
          <w:tcPr>
            <w:tcW w:w="100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tcBorders>
              <w:right w:val="single" w:sz="8" w:color="auto"/>
            </w:tcBorders>
            <w:shd w:val="clear" w:color="auto" w:fill="F3F3F3"/>
          </w:tcPr>
          <w:p>
            <w:pPr>
              <w:spacing w:after="0"/>
              <w:rPr>
                <w:sz w:val="19"/>
                <w:szCs w:val="19"/>
                <w:color w:val="auto"/>
              </w:rPr>
            </w:pPr>
          </w:p>
        </w:tc>
        <w:tc>
          <w:tcPr>
            <w:tcW w:w="11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shd w:val="clear" w:color="auto" w:fill="F3F3F3"/>
          </w:tcPr>
          <w:p>
            <w:pPr>
              <w:spacing w:after="0"/>
              <w:rPr>
                <w:sz w:val="18"/>
                <w:szCs w:val="18"/>
                <w:color w:val="auto"/>
              </w:rPr>
            </w:pPr>
          </w:p>
        </w:tc>
        <w:tc>
          <w:tcPr>
            <w:tcW w:w="1040" w:type="dxa"/>
            <w:vAlign w:val="bottom"/>
            <w:tcBorders>
              <w:right w:val="single" w:sz="8" w:color="auto"/>
            </w:tcBorders>
            <w:shd w:val="clear" w:color="auto" w:fill="F3F3F3"/>
          </w:tcPr>
          <w:p>
            <w:pPr>
              <w:spacing w:after="0"/>
              <w:rPr>
                <w:sz w:val="18"/>
                <w:szCs w:val="18"/>
                <w:color w:val="auto"/>
              </w:rPr>
            </w:pPr>
          </w:p>
        </w:tc>
        <w:tc>
          <w:tcPr>
            <w:tcW w:w="2440" w:type="dxa"/>
            <w:vAlign w:val="bottom"/>
            <w:gridSpan w:val="3"/>
            <w:shd w:val="clear" w:color="auto" w:fill="F3F3F3"/>
          </w:tcPr>
          <w:p>
            <w:pPr>
              <w:jc w:val="center"/>
              <w:ind w:left="871"/>
              <w:spacing w:after="0"/>
              <w:rPr>
                <w:sz w:val="20"/>
                <w:szCs w:val="20"/>
                <w:color w:val="auto"/>
              </w:rPr>
            </w:pPr>
            <w:r>
              <w:rPr>
                <w:rFonts w:ascii="Arial" w:cs="Arial" w:eastAsia="Arial" w:hAnsi="Arial"/>
                <w:sz w:val="18"/>
                <w:szCs w:val="18"/>
                <w:b w:val="1"/>
                <w:bCs w:val="1"/>
                <w:color w:val="auto"/>
                <w:w w:val="94"/>
              </w:rPr>
              <w:t>Under Non-Equity</w:t>
            </w:r>
          </w:p>
        </w:tc>
        <w:tc>
          <w:tcPr>
            <w:tcW w:w="1000" w:type="dxa"/>
            <w:vAlign w:val="bottom"/>
            <w:tcBorders>
              <w:right w:val="single" w:sz="8" w:color="auto"/>
            </w:tcBorders>
            <w:shd w:val="clear" w:color="auto" w:fill="F3F3F3"/>
          </w:tcPr>
          <w:p>
            <w:pPr>
              <w:spacing w:after="0"/>
              <w:rPr>
                <w:sz w:val="18"/>
                <w:szCs w:val="18"/>
                <w:color w:val="auto"/>
              </w:rPr>
            </w:pPr>
          </w:p>
        </w:tc>
        <w:tc>
          <w:tcPr>
            <w:tcW w:w="1560" w:type="dxa"/>
            <w:vAlign w:val="bottom"/>
            <w:shd w:val="clear" w:color="auto" w:fill="F3F3F3"/>
          </w:tcPr>
          <w:p>
            <w:pPr>
              <w:jc w:val="center"/>
              <w:ind w:left="130"/>
              <w:spacing w:after="0"/>
              <w:rPr>
                <w:sz w:val="20"/>
                <w:szCs w:val="20"/>
                <w:color w:val="auto"/>
              </w:rPr>
            </w:pPr>
            <w:r>
              <w:rPr>
                <w:rFonts w:ascii="Arial" w:cs="Arial" w:eastAsia="Arial" w:hAnsi="Arial"/>
                <w:sz w:val="18"/>
                <w:szCs w:val="18"/>
                <w:b w:val="1"/>
                <w:bCs w:val="1"/>
                <w:color w:val="auto"/>
                <w:w w:val="90"/>
              </w:rPr>
              <w:t>Incentive Plan</w:t>
            </w:r>
          </w:p>
        </w:tc>
        <w:tc>
          <w:tcPr>
            <w:tcW w:w="260" w:type="dxa"/>
            <w:vAlign w:val="bottom"/>
            <w:tcBorders>
              <w:right w:val="single" w:sz="8" w:color="auto"/>
            </w:tcBorders>
            <w:shd w:val="clear" w:color="auto" w:fill="F3F3F3"/>
          </w:tcPr>
          <w:p>
            <w:pPr>
              <w:spacing w:after="0"/>
              <w:rPr>
                <w:sz w:val="18"/>
                <w:szCs w:val="18"/>
                <w:color w:val="auto"/>
              </w:rPr>
            </w:pPr>
          </w:p>
        </w:tc>
        <w:tc>
          <w:tcPr>
            <w:tcW w:w="100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Exercise or</w:t>
            </w:r>
          </w:p>
        </w:tc>
        <w:tc>
          <w:tcPr>
            <w:tcW w:w="11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F3F3F3"/>
              <w:right w:val="single" w:sz="8" w:color="auto"/>
            </w:tcBorders>
            <w:shd w:val="clear" w:color="auto" w:fill="F3F3F3"/>
          </w:tcPr>
          <w:p>
            <w:pPr>
              <w:spacing w:after="0"/>
              <w:rPr>
                <w:sz w:val="20"/>
                <w:szCs w:val="20"/>
                <w:color w:val="auto"/>
              </w:rPr>
            </w:pPr>
          </w:p>
        </w:tc>
        <w:tc>
          <w:tcPr>
            <w:tcW w:w="1040" w:type="dxa"/>
            <w:vAlign w:val="bottom"/>
            <w:tcBorders>
              <w:bottom w:val="single" w:sz="8" w:color="F3F3F3"/>
              <w:right w:val="single" w:sz="8" w:color="auto"/>
            </w:tcBorders>
            <w:shd w:val="clear" w:color="auto" w:fill="F3F3F3"/>
          </w:tcPr>
          <w:p>
            <w:pPr>
              <w:spacing w:after="0"/>
              <w:rPr>
                <w:sz w:val="20"/>
                <w:szCs w:val="20"/>
                <w:color w:val="auto"/>
              </w:rPr>
            </w:pPr>
          </w:p>
        </w:tc>
        <w:tc>
          <w:tcPr>
            <w:tcW w:w="3440" w:type="dxa"/>
            <w:vAlign w:val="bottom"/>
            <w:tcBorders>
              <w:bottom w:val="single" w:sz="8" w:color="auto"/>
              <w:right w:val="single" w:sz="8" w:color="auto"/>
            </w:tcBorders>
            <w:gridSpan w:val="4"/>
            <w:shd w:val="clear" w:color="auto" w:fill="F3F3F3"/>
          </w:tcPr>
          <w:p>
            <w:pPr>
              <w:jc w:val="center"/>
              <w:spacing w:after="0" w:line="230" w:lineRule="exact"/>
              <w:rPr>
                <w:sz w:val="20"/>
                <w:szCs w:val="20"/>
                <w:color w:val="auto"/>
              </w:rPr>
            </w:pPr>
            <w:r>
              <w:rPr>
                <w:rFonts w:ascii="Arial" w:cs="Arial" w:eastAsia="Arial" w:hAnsi="Arial"/>
                <w:sz w:val="16"/>
                <w:szCs w:val="16"/>
                <w:b w:val="1"/>
                <w:bCs w:val="1"/>
                <w:color w:val="auto"/>
              </w:rPr>
              <w:t>Incentive Plan Awards</w:t>
            </w:r>
            <w:r>
              <w:rPr>
                <w:rFonts w:ascii="Arial" w:cs="Arial" w:eastAsia="Arial" w:hAnsi="Arial"/>
                <w:sz w:val="26"/>
                <w:szCs w:val="26"/>
                <w:color w:val="auto"/>
                <w:vertAlign w:val="superscript"/>
              </w:rPr>
              <w:t>(1)</w:t>
            </w:r>
          </w:p>
        </w:tc>
        <w:tc>
          <w:tcPr>
            <w:tcW w:w="1560" w:type="dxa"/>
            <w:vAlign w:val="bottom"/>
            <w:tcBorders>
              <w:bottom w:val="single" w:sz="8" w:color="auto"/>
            </w:tcBorders>
            <w:shd w:val="clear" w:color="auto" w:fill="F3F3F3"/>
          </w:tcPr>
          <w:p>
            <w:pPr>
              <w:jc w:val="center"/>
              <w:ind w:left="130"/>
              <w:spacing w:after="0"/>
              <w:rPr>
                <w:sz w:val="20"/>
                <w:szCs w:val="20"/>
                <w:color w:val="auto"/>
              </w:rPr>
            </w:pPr>
            <w:r>
              <w:rPr>
                <w:rFonts w:ascii="Arial" w:cs="Arial" w:eastAsia="Arial" w:hAnsi="Arial"/>
                <w:sz w:val="18"/>
                <w:szCs w:val="18"/>
                <w:b w:val="1"/>
                <w:bCs w:val="1"/>
                <w:color w:val="auto"/>
                <w:w w:val="89"/>
              </w:rPr>
              <w:t>Awards</w:t>
            </w:r>
          </w:p>
        </w:tc>
        <w:tc>
          <w:tcPr>
            <w:tcW w:w="260" w:type="dxa"/>
            <w:vAlign w:val="bottom"/>
            <w:tcBorders>
              <w:bottom w:val="single" w:sz="8" w:color="auto"/>
              <w:right w:val="single" w:sz="8" w:color="auto"/>
            </w:tcBorders>
            <w:shd w:val="clear" w:color="auto" w:fill="F3F3F3"/>
          </w:tcPr>
          <w:p>
            <w:pPr>
              <w:spacing w:after="0"/>
              <w:rPr>
                <w:sz w:val="20"/>
                <w:szCs w:val="20"/>
                <w:color w:val="auto"/>
              </w:rPr>
            </w:pPr>
          </w:p>
        </w:tc>
        <w:tc>
          <w:tcPr>
            <w:tcW w:w="100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02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02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6"/>
              </w:rPr>
              <w:t>Base Price</w:t>
            </w:r>
          </w:p>
        </w:tc>
        <w:tc>
          <w:tcPr>
            <w:tcW w:w="112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Stock and</w:t>
            </w:r>
          </w:p>
        </w:tc>
        <w:tc>
          <w:tcPr>
            <w:tcW w:w="0" w:type="dxa"/>
            <w:vAlign w:val="bottom"/>
          </w:tcPr>
          <w:p>
            <w:pPr>
              <w:spacing w:after="0"/>
              <w:rPr>
                <w:sz w:val="1"/>
                <w:szCs w:val="1"/>
                <w:color w:val="auto"/>
              </w:rPr>
            </w:pPr>
          </w:p>
        </w:tc>
      </w:tr>
      <w:tr>
        <w:trPr>
          <w:trHeight w:val="176"/>
        </w:trPr>
        <w:tc>
          <w:tcPr>
            <w:tcW w:w="960" w:type="dxa"/>
            <w:vAlign w:val="bottom"/>
            <w:tcBorders>
              <w:left w:val="single" w:sz="8" w:color="auto"/>
              <w:right w:val="single" w:sz="8" w:color="auto"/>
            </w:tcBorders>
            <w:shd w:val="clear" w:color="auto" w:fill="F3F3F3"/>
          </w:tcPr>
          <w:p>
            <w:pPr>
              <w:spacing w:after="0"/>
              <w:rPr>
                <w:sz w:val="15"/>
                <w:szCs w:val="15"/>
                <w:color w:val="auto"/>
              </w:rPr>
            </w:pPr>
          </w:p>
        </w:tc>
        <w:tc>
          <w:tcPr>
            <w:tcW w:w="1040" w:type="dxa"/>
            <w:vAlign w:val="bottom"/>
            <w:tcBorders>
              <w:right w:val="single" w:sz="8" w:color="auto"/>
            </w:tcBorders>
            <w:shd w:val="clear" w:color="auto" w:fill="F3F3F3"/>
          </w:tcPr>
          <w:p>
            <w:pPr>
              <w:jc w:val="right"/>
              <w:ind w:right="10"/>
              <w:spacing w:after="0" w:line="176" w:lineRule="exact"/>
              <w:rPr>
                <w:sz w:val="20"/>
                <w:szCs w:val="20"/>
                <w:color w:val="auto"/>
              </w:rPr>
            </w:pPr>
            <w:r>
              <w:rPr>
                <w:rFonts w:ascii="Arial" w:cs="Arial" w:eastAsia="Arial" w:hAnsi="Arial"/>
                <w:sz w:val="18"/>
                <w:szCs w:val="18"/>
                <w:b w:val="1"/>
                <w:bCs w:val="1"/>
                <w:color w:val="auto"/>
                <w:w w:val="99"/>
              </w:rPr>
              <w:t>Grant Date</w:t>
            </w:r>
          </w:p>
        </w:tc>
        <w:tc>
          <w:tcPr>
            <w:tcW w:w="1140" w:type="dxa"/>
            <w:vAlign w:val="bottom"/>
            <w:tcBorders>
              <w:right w:val="single" w:sz="8" w:color="auto"/>
            </w:tcBorders>
            <w:shd w:val="clear" w:color="auto" w:fill="F3F3F3"/>
          </w:tcPr>
          <w:p>
            <w:pPr>
              <w:spacing w:after="0"/>
              <w:rPr>
                <w:sz w:val="15"/>
                <w:szCs w:val="15"/>
                <w:color w:val="auto"/>
              </w:rPr>
            </w:pPr>
          </w:p>
        </w:tc>
        <w:tc>
          <w:tcPr>
            <w:tcW w:w="1140" w:type="dxa"/>
            <w:vAlign w:val="bottom"/>
            <w:tcBorders>
              <w:right w:val="single" w:sz="8" w:color="auto"/>
            </w:tcBorders>
            <w:shd w:val="clear" w:color="auto" w:fill="F3F3F3"/>
          </w:tcPr>
          <w:p>
            <w:pPr>
              <w:spacing w:after="0"/>
              <w:rPr>
                <w:sz w:val="15"/>
                <w:szCs w:val="15"/>
                <w:color w:val="auto"/>
              </w:rPr>
            </w:pPr>
          </w:p>
        </w:tc>
        <w:tc>
          <w:tcPr>
            <w:tcW w:w="160" w:type="dxa"/>
            <w:vAlign w:val="bottom"/>
            <w:shd w:val="clear" w:color="auto" w:fill="F3F3F3"/>
          </w:tcPr>
          <w:p>
            <w:pPr>
              <w:spacing w:after="0"/>
              <w:rPr>
                <w:sz w:val="15"/>
                <w:szCs w:val="15"/>
                <w:color w:val="auto"/>
              </w:rPr>
            </w:pPr>
          </w:p>
        </w:tc>
        <w:tc>
          <w:tcPr>
            <w:tcW w:w="1000" w:type="dxa"/>
            <w:vAlign w:val="bottom"/>
            <w:tcBorders>
              <w:right w:val="single" w:sz="8" w:color="auto"/>
            </w:tcBorders>
            <w:shd w:val="clear" w:color="auto" w:fill="F3F3F3"/>
          </w:tcPr>
          <w:p>
            <w:pPr>
              <w:spacing w:after="0"/>
              <w:rPr>
                <w:sz w:val="15"/>
                <w:szCs w:val="15"/>
                <w:color w:val="auto"/>
              </w:rPr>
            </w:pPr>
          </w:p>
        </w:tc>
        <w:tc>
          <w:tcPr>
            <w:tcW w:w="1560" w:type="dxa"/>
            <w:vAlign w:val="bottom"/>
            <w:shd w:val="clear" w:color="auto" w:fill="F3F3F3"/>
          </w:tcPr>
          <w:p>
            <w:pPr>
              <w:spacing w:after="0"/>
              <w:rPr>
                <w:sz w:val="15"/>
                <w:szCs w:val="15"/>
                <w:color w:val="auto"/>
              </w:rPr>
            </w:pPr>
          </w:p>
        </w:tc>
        <w:tc>
          <w:tcPr>
            <w:tcW w:w="260" w:type="dxa"/>
            <w:vAlign w:val="bottom"/>
            <w:tcBorders>
              <w:right w:val="single" w:sz="8" w:color="auto"/>
            </w:tcBorders>
            <w:shd w:val="clear" w:color="auto" w:fill="F3F3F3"/>
          </w:tcPr>
          <w:p>
            <w:pPr>
              <w:spacing w:after="0"/>
              <w:rPr>
                <w:sz w:val="15"/>
                <w:szCs w:val="15"/>
                <w:color w:val="auto"/>
              </w:rPr>
            </w:pPr>
          </w:p>
        </w:tc>
        <w:tc>
          <w:tcPr>
            <w:tcW w:w="1000" w:type="dxa"/>
            <w:vAlign w:val="bottom"/>
            <w:tcBorders>
              <w:right w:val="single" w:sz="8" w:color="auto"/>
            </w:tcBorders>
            <w:shd w:val="clear" w:color="auto" w:fill="F3F3F3"/>
          </w:tcPr>
          <w:p>
            <w:pPr>
              <w:jc w:val="center"/>
              <w:spacing w:after="0" w:line="176" w:lineRule="exact"/>
              <w:rPr>
                <w:sz w:val="20"/>
                <w:szCs w:val="20"/>
                <w:color w:val="auto"/>
              </w:rPr>
            </w:pPr>
            <w:r>
              <w:rPr>
                <w:rFonts w:ascii="Arial" w:cs="Arial" w:eastAsia="Arial" w:hAnsi="Arial"/>
                <w:sz w:val="18"/>
                <w:szCs w:val="18"/>
                <w:b w:val="1"/>
                <w:bCs w:val="1"/>
                <w:color w:val="auto"/>
                <w:w w:val="87"/>
              </w:rPr>
              <w:t>Stocks or</w:t>
            </w:r>
          </w:p>
        </w:tc>
        <w:tc>
          <w:tcPr>
            <w:tcW w:w="1020" w:type="dxa"/>
            <w:vAlign w:val="bottom"/>
            <w:tcBorders>
              <w:right w:val="single" w:sz="8" w:color="auto"/>
            </w:tcBorders>
            <w:shd w:val="clear" w:color="auto" w:fill="F3F3F3"/>
          </w:tcPr>
          <w:p>
            <w:pPr>
              <w:jc w:val="center"/>
              <w:spacing w:after="0" w:line="176" w:lineRule="exact"/>
              <w:rPr>
                <w:sz w:val="20"/>
                <w:szCs w:val="20"/>
                <w:color w:val="auto"/>
              </w:rPr>
            </w:pPr>
            <w:r>
              <w:rPr>
                <w:rFonts w:ascii="Arial" w:cs="Arial" w:eastAsia="Arial" w:hAnsi="Arial"/>
                <w:sz w:val="18"/>
                <w:szCs w:val="18"/>
                <w:b w:val="1"/>
                <w:bCs w:val="1"/>
                <w:color w:val="auto"/>
                <w:w w:val="93"/>
              </w:rPr>
              <w:t>Underlying</w:t>
            </w:r>
          </w:p>
        </w:tc>
        <w:tc>
          <w:tcPr>
            <w:tcW w:w="1020" w:type="dxa"/>
            <w:vAlign w:val="bottom"/>
            <w:tcBorders>
              <w:right w:val="single" w:sz="8" w:color="auto"/>
            </w:tcBorders>
            <w:shd w:val="clear" w:color="auto" w:fill="F3F3F3"/>
          </w:tcPr>
          <w:p>
            <w:pPr>
              <w:jc w:val="center"/>
              <w:spacing w:after="0" w:line="176" w:lineRule="exact"/>
              <w:rPr>
                <w:sz w:val="20"/>
                <w:szCs w:val="20"/>
                <w:color w:val="auto"/>
              </w:rPr>
            </w:pPr>
            <w:r>
              <w:rPr>
                <w:rFonts w:ascii="Arial" w:cs="Arial" w:eastAsia="Arial" w:hAnsi="Arial"/>
                <w:sz w:val="18"/>
                <w:szCs w:val="18"/>
                <w:b w:val="1"/>
                <w:bCs w:val="1"/>
                <w:color w:val="auto"/>
                <w:w w:val="92"/>
              </w:rPr>
              <w:t>of Option</w:t>
            </w:r>
          </w:p>
        </w:tc>
        <w:tc>
          <w:tcPr>
            <w:tcW w:w="1120" w:type="dxa"/>
            <w:vAlign w:val="bottom"/>
            <w:tcBorders>
              <w:right w:val="single" w:sz="8" w:color="auto"/>
            </w:tcBorders>
            <w:shd w:val="clear" w:color="auto" w:fill="F3F3F3"/>
          </w:tcPr>
          <w:p>
            <w:pPr>
              <w:jc w:val="center"/>
              <w:spacing w:after="0" w:line="176" w:lineRule="exact"/>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9"/>
        </w:trPr>
        <w:tc>
          <w:tcPr>
            <w:tcW w:w="960" w:type="dxa"/>
            <w:vAlign w:val="bottom"/>
            <w:tcBorders>
              <w:left w:val="single" w:sz="8" w:color="auto"/>
              <w:right w:val="single" w:sz="8" w:color="auto"/>
            </w:tcBorders>
            <w:shd w:val="clear" w:color="auto" w:fill="F3F3F3"/>
          </w:tcPr>
          <w:p>
            <w:pPr>
              <w:spacing w:after="0"/>
              <w:rPr>
                <w:sz w:val="19"/>
                <w:szCs w:val="19"/>
                <w:color w:val="auto"/>
              </w:rPr>
            </w:pPr>
          </w:p>
        </w:tc>
        <w:tc>
          <w:tcPr>
            <w:tcW w:w="1040" w:type="dxa"/>
            <w:vAlign w:val="bottom"/>
            <w:tcBorders>
              <w:right w:val="single" w:sz="8" w:color="auto"/>
            </w:tcBorders>
            <w:shd w:val="clear" w:color="auto" w:fill="F3F3F3"/>
          </w:tcPr>
          <w:p>
            <w:pPr>
              <w:spacing w:after="0"/>
              <w:rPr>
                <w:sz w:val="19"/>
                <w:szCs w:val="19"/>
                <w:color w:val="auto"/>
              </w:rPr>
            </w:pPr>
          </w:p>
        </w:tc>
        <w:tc>
          <w:tcPr>
            <w:tcW w:w="1140" w:type="dxa"/>
            <w:vAlign w:val="bottom"/>
            <w:tcBorders>
              <w:right w:val="single" w:sz="8" w:color="auto"/>
            </w:tcBorders>
            <w:shd w:val="clear" w:color="auto" w:fill="F3F3F3"/>
          </w:tcPr>
          <w:p>
            <w:pPr>
              <w:jc w:val="right"/>
              <w:ind w:right="131"/>
              <w:spacing w:after="0"/>
              <w:rPr>
                <w:sz w:val="20"/>
                <w:szCs w:val="20"/>
                <w:color w:val="auto"/>
              </w:rPr>
            </w:pPr>
            <w:r>
              <w:rPr>
                <w:rFonts w:ascii="Arial" w:cs="Arial" w:eastAsia="Arial" w:hAnsi="Arial"/>
                <w:sz w:val="18"/>
                <w:szCs w:val="18"/>
                <w:color w:val="auto"/>
              </w:rPr>
              <w:t>Threshold</w:t>
            </w:r>
          </w:p>
        </w:tc>
        <w:tc>
          <w:tcPr>
            <w:tcW w:w="114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color w:val="auto"/>
                <w:w w:val="88"/>
              </w:rPr>
              <w:t>Target</w:t>
            </w:r>
          </w:p>
        </w:tc>
        <w:tc>
          <w:tcPr>
            <w:tcW w:w="160" w:type="dxa"/>
            <w:vAlign w:val="bottom"/>
            <w:shd w:val="clear" w:color="auto" w:fill="F3F3F3"/>
          </w:tcPr>
          <w:p>
            <w:pPr>
              <w:spacing w:after="0"/>
              <w:rPr>
                <w:sz w:val="19"/>
                <w:szCs w:val="19"/>
                <w:color w:val="auto"/>
              </w:rPr>
            </w:pPr>
          </w:p>
        </w:tc>
        <w:tc>
          <w:tcPr>
            <w:tcW w:w="1000" w:type="dxa"/>
            <w:vAlign w:val="bottom"/>
            <w:tcBorders>
              <w:right w:val="single" w:sz="8" w:color="auto"/>
            </w:tcBorders>
            <w:shd w:val="clear" w:color="auto" w:fill="F3F3F3"/>
          </w:tcPr>
          <w:p>
            <w:pPr>
              <w:jc w:val="right"/>
              <w:ind w:right="130"/>
              <w:spacing w:after="0"/>
              <w:rPr>
                <w:sz w:val="20"/>
                <w:szCs w:val="20"/>
                <w:color w:val="auto"/>
              </w:rPr>
            </w:pPr>
            <w:r>
              <w:rPr>
                <w:rFonts w:ascii="Arial" w:cs="Arial" w:eastAsia="Arial" w:hAnsi="Arial"/>
                <w:sz w:val="18"/>
                <w:szCs w:val="18"/>
                <w:color w:val="auto"/>
                <w:w w:val="97"/>
              </w:rPr>
              <w:t>Maximum</w:t>
            </w:r>
          </w:p>
        </w:tc>
        <w:tc>
          <w:tcPr>
            <w:tcW w:w="1560" w:type="dxa"/>
            <w:vAlign w:val="bottom"/>
            <w:shd w:val="clear" w:color="auto" w:fill="F3F3F3"/>
          </w:tcPr>
          <w:p>
            <w:pPr>
              <w:jc w:val="center"/>
              <w:ind w:left="130"/>
              <w:spacing w:after="0"/>
              <w:rPr>
                <w:sz w:val="20"/>
                <w:szCs w:val="20"/>
                <w:color w:val="auto"/>
              </w:rPr>
            </w:pPr>
            <w:r>
              <w:rPr>
                <w:rFonts w:ascii="Arial" w:cs="Arial" w:eastAsia="Arial" w:hAnsi="Arial"/>
                <w:sz w:val="18"/>
                <w:szCs w:val="18"/>
                <w:color w:val="auto"/>
                <w:w w:val="88"/>
              </w:rPr>
              <w:t>Target</w:t>
            </w:r>
          </w:p>
        </w:tc>
        <w:tc>
          <w:tcPr>
            <w:tcW w:w="260" w:type="dxa"/>
            <w:vAlign w:val="bottom"/>
            <w:tcBorders>
              <w:right w:val="single" w:sz="8" w:color="auto"/>
            </w:tcBorders>
            <w:shd w:val="clear" w:color="auto" w:fill="F3F3F3"/>
          </w:tcPr>
          <w:p>
            <w:pPr>
              <w:spacing w:after="0"/>
              <w:rPr>
                <w:sz w:val="19"/>
                <w:szCs w:val="19"/>
                <w:color w:val="auto"/>
              </w:rPr>
            </w:pPr>
          </w:p>
        </w:tc>
        <w:tc>
          <w:tcPr>
            <w:tcW w:w="100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3"/>
              </w:rPr>
              <w:t>Units</w:t>
            </w:r>
          </w:p>
        </w:tc>
        <w:tc>
          <w:tcPr>
            <w:tcW w:w="10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1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74"/>
        </w:trPr>
        <w:tc>
          <w:tcPr>
            <w:tcW w:w="960" w:type="dxa"/>
            <w:vAlign w:val="bottom"/>
            <w:tcBorders>
              <w:left w:val="single" w:sz="8" w:color="auto"/>
              <w:bottom w:val="single" w:sz="8" w:color="auto"/>
              <w:right w:val="single" w:sz="8" w:color="auto"/>
            </w:tcBorders>
            <w:shd w:val="clear" w:color="auto" w:fill="F3F3F3"/>
          </w:tcPr>
          <w:p>
            <w:pPr>
              <w:ind w:left="260"/>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right w:val="single" w:sz="8" w:color="auto"/>
            </w:tcBorders>
            <w:shd w:val="clear" w:color="auto" w:fill="F3F3F3"/>
          </w:tcPr>
          <w:p>
            <w:pPr>
              <w:spacing w:after="0"/>
              <w:rPr>
                <w:sz w:val="23"/>
                <w:szCs w:val="23"/>
                <w:color w:val="auto"/>
              </w:rPr>
            </w:pPr>
          </w:p>
        </w:tc>
        <w:tc>
          <w:tcPr>
            <w:tcW w:w="1140" w:type="dxa"/>
            <w:vAlign w:val="bottom"/>
            <w:tcBorders>
              <w:bottom w:val="single" w:sz="8" w:color="auto"/>
              <w:right w:val="single" w:sz="8" w:color="auto"/>
            </w:tcBorders>
            <w:shd w:val="clear" w:color="auto" w:fill="F3F3F3"/>
          </w:tcPr>
          <w:p>
            <w:pPr>
              <w:jc w:val="right"/>
              <w:ind w:right="3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color w:val="auto"/>
                <w:w w:val="90"/>
              </w:rPr>
              <w:t>($)</w:t>
            </w:r>
          </w:p>
        </w:tc>
        <w:tc>
          <w:tcPr>
            <w:tcW w:w="160" w:type="dxa"/>
            <w:vAlign w:val="bottom"/>
            <w:tcBorders>
              <w:bottom w:val="single" w:sz="8" w:color="auto"/>
            </w:tcBorders>
            <w:shd w:val="clear" w:color="auto" w:fill="F3F3F3"/>
          </w:tcPr>
          <w:p>
            <w:pPr>
              <w:spacing w:after="0"/>
              <w:rPr>
                <w:sz w:val="23"/>
                <w:szCs w:val="23"/>
                <w:color w:val="auto"/>
              </w:rPr>
            </w:pPr>
          </w:p>
        </w:tc>
        <w:tc>
          <w:tcPr>
            <w:tcW w:w="1000" w:type="dxa"/>
            <w:vAlign w:val="bottom"/>
            <w:tcBorders>
              <w:bottom w:val="single" w:sz="8" w:color="auto"/>
              <w:right w:val="single" w:sz="8" w:color="auto"/>
            </w:tcBorders>
            <w:shd w:val="clear" w:color="auto" w:fill="F3F3F3"/>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F3F3F3"/>
          </w:tcPr>
          <w:p>
            <w:pPr>
              <w:jc w:val="center"/>
              <w:ind w:lef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shd w:val="clear" w:color="auto" w:fill="F3F3F3"/>
          </w:tcPr>
          <w:p>
            <w:pPr>
              <w:spacing w:after="0"/>
              <w:rPr>
                <w:sz w:val="23"/>
                <w:szCs w:val="23"/>
                <w:color w:val="auto"/>
              </w:rPr>
            </w:pPr>
          </w:p>
        </w:tc>
        <w:tc>
          <w:tcPr>
            <w:tcW w:w="10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right w:val="single" w:sz="8" w:color="auto"/>
            </w:tcBorders>
            <w:shd w:val="clear" w:color="auto" w:fill="F3F3F3"/>
          </w:tcPr>
          <w:p>
            <w:pPr>
              <w:jc w:val="center"/>
              <w:spacing w:after="0" w:line="266" w:lineRule="exact"/>
              <w:rPr>
                <w:sz w:val="20"/>
                <w:szCs w:val="20"/>
                <w:color w:val="auto"/>
              </w:rPr>
            </w:pPr>
            <w:r>
              <w:rPr>
                <w:rFonts w:ascii="Arial" w:cs="Arial" w:eastAsia="Arial" w:hAnsi="Arial"/>
                <w:sz w:val="30"/>
                <w:szCs w:val="30"/>
                <w:b w:val="1"/>
                <w:bCs w:val="1"/>
                <w:color w:val="auto"/>
                <w:w w:val="96"/>
                <w:vertAlign w:val="subscript"/>
              </w:rPr>
              <w:t>(#)</w:t>
            </w:r>
            <w:r>
              <w:rPr>
                <w:rFonts w:ascii="Arial" w:cs="Arial" w:eastAsia="Arial" w:hAnsi="Arial"/>
                <w:sz w:val="14"/>
                <w:szCs w:val="14"/>
                <w:color w:val="auto"/>
                <w:w w:val="96"/>
              </w:rPr>
              <w:t>(2)</w:t>
            </w:r>
          </w:p>
        </w:tc>
        <w:tc>
          <w:tcPr>
            <w:tcW w:w="102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right w:val="single" w:sz="8" w:color="auto"/>
            </w:tcBorders>
            <w:shd w:val="clear" w:color="auto" w:fill="F3F3F3"/>
          </w:tcPr>
          <w:p>
            <w:pPr>
              <w:jc w:val="center"/>
              <w:spacing w:after="0" w:line="266" w:lineRule="exact"/>
              <w:rPr>
                <w:sz w:val="20"/>
                <w:szCs w:val="20"/>
                <w:color w:val="auto"/>
              </w:rPr>
            </w:pPr>
            <w:r>
              <w:rPr>
                <w:rFonts w:ascii="Arial" w:cs="Arial" w:eastAsia="Arial" w:hAnsi="Arial"/>
                <w:sz w:val="30"/>
                <w:szCs w:val="30"/>
                <w:b w:val="1"/>
                <w:bCs w:val="1"/>
                <w:color w:val="auto"/>
                <w:w w:val="96"/>
                <w:vertAlign w:val="subscript"/>
              </w:rPr>
              <w:t>($)</w:t>
            </w:r>
            <w:r>
              <w:rPr>
                <w:rFonts w:ascii="Arial" w:cs="Arial" w:eastAsia="Arial" w:hAnsi="Arial"/>
                <w:sz w:val="14"/>
                <w:szCs w:val="14"/>
                <w:color w:val="auto"/>
                <w:w w:val="96"/>
              </w:rPr>
              <w:t>(3)</w:t>
            </w:r>
          </w:p>
        </w:tc>
        <w:tc>
          <w:tcPr>
            <w:tcW w:w="0" w:type="dxa"/>
            <w:vAlign w:val="bottom"/>
          </w:tcPr>
          <w:p>
            <w:pPr>
              <w:spacing w:after="0"/>
              <w:rPr>
                <w:sz w:val="1"/>
                <w:szCs w:val="1"/>
                <w:color w:val="auto"/>
              </w:rPr>
            </w:pPr>
          </w:p>
        </w:tc>
      </w:tr>
      <w:tr>
        <w:trPr>
          <w:trHeight w:val="202"/>
        </w:trPr>
        <w:tc>
          <w:tcPr>
            <w:tcW w:w="96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William C.</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08/21/12</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$188,691</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$377,381</w:t>
            </w:r>
          </w:p>
        </w:tc>
        <w:tc>
          <w:tcPr>
            <w:tcW w:w="160" w:type="dxa"/>
            <w:vAlign w:val="bottom"/>
          </w:tcPr>
          <w:p>
            <w:pPr>
              <w:spacing w:after="0"/>
              <w:rPr>
                <w:sz w:val="17"/>
                <w:szCs w:val="17"/>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$566,072</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2,000,000</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$24.38</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$17,915,000</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Erbey</w:t>
            </w:r>
          </w:p>
        </w:tc>
        <w:tc>
          <w:tcPr>
            <w:tcW w:w="10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Ronald M.</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$360,000</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$720,000</w:t>
            </w:r>
          </w:p>
        </w:tc>
        <w:tc>
          <w:tcPr>
            <w:tcW w:w="160" w:type="dxa"/>
            <w:vAlign w:val="bottom"/>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$1,080,000</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Faris</w:t>
            </w:r>
          </w:p>
        </w:tc>
        <w:tc>
          <w:tcPr>
            <w:tcW w:w="10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Paul A.</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$218,818</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$437,635</w:t>
            </w:r>
          </w:p>
        </w:tc>
        <w:tc>
          <w:tcPr>
            <w:tcW w:w="160" w:type="dxa"/>
            <w:vAlign w:val="bottom"/>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$656,453</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Koches</w:t>
            </w:r>
          </w:p>
        </w:tc>
        <w:tc>
          <w:tcPr>
            <w:tcW w:w="10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John V.</w:t>
            </w:r>
          </w:p>
        </w:tc>
        <w:tc>
          <w:tcPr>
            <w:tcW w:w="104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gridSpan w:val="2"/>
          </w:tcPr>
          <w:p>
            <w:pPr>
              <w:jc w:val="right"/>
              <w:ind w:right="5"/>
              <w:spacing w:after="0" w:line="251" w:lineRule="exact"/>
              <w:rPr>
                <w:sz w:val="20"/>
                <w:szCs w:val="20"/>
                <w:color w:val="auto"/>
              </w:rPr>
            </w:pPr>
            <w:r>
              <w:rPr>
                <w:rFonts w:ascii="Arial" w:cs="Arial" w:eastAsia="Arial" w:hAnsi="Arial"/>
                <w:sz w:val="18"/>
                <w:szCs w:val="18"/>
                <w:color w:val="auto"/>
              </w:rPr>
              <w:t xml:space="preserve">$75,000 </w:t>
            </w:r>
            <w:r>
              <w:rPr>
                <w:rFonts w:ascii="Arial" w:cs="Arial" w:eastAsia="Arial" w:hAnsi="Arial"/>
                <w:sz w:val="29"/>
                <w:szCs w:val="29"/>
                <w:color w:val="auto"/>
                <w:vertAlign w:val="superscript"/>
              </w:rPr>
              <w:t>(4)</w:t>
            </w:r>
          </w:p>
        </w:tc>
        <w:tc>
          <w:tcPr>
            <w:tcW w:w="10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960" w:type="dxa"/>
            <w:vAlign w:val="bottom"/>
            <w:tcBorders>
              <w:left w:val="single" w:sz="8" w:color="auto"/>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03/05/12</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$192,500</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$385,000</w:t>
            </w:r>
          </w:p>
        </w:tc>
        <w:tc>
          <w:tcPr>
            <w:tcW w:w="160" w:type="dxa"/>
            <w:vAlign w:val="bottom"/>
          </w:tcPr>
          <w:p>
            <w:pPr>
              <w:spacing w:after="0"/>
              <w:rPr>
                <w:sz w:val="8"/>
                <w:szCs w:val="8"/>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$577,500</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Borders>
              <w:right w:val="single" w:sz="8" w:color="auto"/>
            </w:tcBorders>
            <w:vMerge w:val="restart"/>
          </w:tcPr>
          <w:p>
            <w:pPr>
              <w:jc w:val="right"/>
              <w:ind w:right="5"/>
              <w:spacing w:after="0"/>
              <w:rPr>
                <w:sz w:val="20"/>
                <w:szCs w:val="20"/>
                <w:color w:val="auto"/>
              </w:rPr>
            </w:pPr>
            <w:r>
              <w:rPr>
                <w:rFonts w:ascii="Arial" w:cs="Arial" w:eastAsia="Arial" w:hAnsi="Arial"/>
                <w:sz w:val="15"/>
                <w:szCs w:val="15"/>
                <w:color w:val="auto"/>
                <w:w w:val="87"/>
              </w:rPr>
              <w:t>(5)</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18,000</w:t>
            </w:r>
          </w:p>
        </w:tc>
        <w:tc>
          <w:tcPr>
            <w:tcW w:w="10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100,000</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$16.17</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1,187,560</w:t>
            </w:r>
          </w:p>
        </w:tc>
        <w:tc>
          <w:tcPr>
            <w:tcW w:w="0" w:type="dxa"/>
            <w:vAlign w:val="bottom"/>
          </w:tcPr>
          <w:p>
            <w:pPr>
              <w:spacing w:after="0"/>
              <w:rPr>
                <w:sz w:val="1"/>
                <w:szCs w:val="1"/>
                <w:color w:val="auto"/>
              </w:rPr>
            </w:pPr>
          </w:p>
        </w:tc>
      </w:tr>
      <w:tr>
        <w:trPr>
          <w:trHeight w:val="154"/>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Britti</w:t>
            </w:r>
          </w:p>
        </w:tc>
        <w:tc>
          <w:tcPr>
            <w:tcW w:w="10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Borders>
              <w:right w:val="single" w:sz="8" w:color="auto"/>
            </w:tcBorders>
            <w:vMerge w:val="restart"/>
          </w:tcPr>
          <w:p>
            <w:pPr>
              <w:jc w:val="right"/>
              <w:ind w:right="5"/>
              <w:spacing w:after="0"/>
              <w:rPr>
                <w:sz w:val="20"/>
                <w:szCs w:val="20"/>
                <w:color w:val="auto"/>
              </w:rPr>
            </w:pPr>
            <w:r>
              <w:rPr>
                <w:rFonts w:ascii="Arial" w:cs="Arial" w:eastAsia="Arial" w:hAnsi="Arial"/>
                <w:sz w:val="15"/>
                <w:szCs w:val="15"/>
                <w:color w:val="auto"/>
                <w:w w:val="87"/>
              </w:rPr>
              <w:t>(6)</w:t>
            </w:r>
          </w:p>
        </w:tc>
        <w:tc>
          <w:tcPr>
            <w:tcW w:w="10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60" w:type="dxa"/>
            <w:vAlign w:val="bottom"/>
            <w:tcBorders>
              <w:left w:val="single" w:sz="8" w:color="auto"/>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John P.</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$127,375</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$254,750</w:t>
            </w:r>
          </w:p>
        </w:tc>
        <w:tc>
          <w:tcPr>
            <w:tcW w:w="160" w:type="dxa"/>
            <w:vAlign w:val="bottom"/>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$382,125</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Van Vlack</w:t>
            </w:r>
          </w:p>
        </w:tc>
        <w:tc>
          <w:tcPr>
            <w:tcW w:w="10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Kenneth D.</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$16,748</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$ 33,496</w:t>
            </w:r>
          </w:p>
        </w:tc>
        <w:tc>
          <w:tcPr>
            <w:tcW w:w="160" w:type="dxa"/>
            <w:vAlign w:val="bottom"/>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$50,244</w:t>
            </w:r>
          </w:p>
        </w:tc>
        <w:tc>
          <w:tcPr>
            <w:tcW w:w="15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Najour</w:t>
            </w:r>
          </w:p>
        </w:tc>
        <w:tc>
          <w:tcPr>
            <w:tcW w:w="10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5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right="40" w:hanging="332"/>
        <w:spacing w:after="0" w:line="242" w:lineRule="auto"/>
        <w:tabs>
          <w:tab w:leader="none" w:pos="34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These figures represent the potential non-equity compensation that may have been earned by each respective executive officer in 2012 under the different achievement levels presented on their personal scorecards which are more fully discussed in our Compensation Discussion and Analysis. The Compensation Committee is also authorized to make discretionary awards in excess of the maximum amounts indicated above.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2012 is set forth in the “Non-Equity Incentive Plan Compensation” column of the “Summary Compensation Table” above.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7" w:name="page38"/>
    <w:bookmarkEnd w:id="37"/>
    <w:p>
      <w:pPr>
        <w:ind w:left="340" w:right="380" w:hanging="332"/>
        <w:spacing w:after="0" w:line="194"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The amount represents shares underlying options awarded, a portion of which are time-based option awards and a portion of which are market-based option awards, as described in the footnotes to the “Outstanding Equity Awards at Fiscal Year-End” table below.</w:t>
      </w:r>
    </w:p>
    <w:p>
      <w:pPr>
        <w:spacing w:after="0" w:line="134" w:lineRule="exact"/>
        <w:rPr>
          <w:rFonts w:ascii="Arial" w:cs="Arial" w:eastAsia="Arial" w:hAnsi="Arial"/>
          <w:sz w:val="30"/>
          <w:szCs w:val="30"/>
          <w:color w:val="auto"/>
          <w:vertAlign w:val="superscript"/>
        </w:rPr>
      </w:pPr>
    </w:p>
    <w:p>
      <w:pPr>
        <w:ind w:left="340" w:right="60" w:hanging="332"/>
        <w:spacing w:after="0" w:line="209"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The amount represents the fair value of the awards on the date of grant, as computed in accordance with FASB ASC Topic 718 and the assumptions stated in footnote #3 to the “Summary Compensation Table” above and in Note #25 to the consolidated financial statements in of our Form 10-K filed on March 1, 2013.</w:t>
      </w:r>
    </w:p>
    <w:p>
      <w:pPr>
        <w:spacing w:after="0" w:line="203" w:lineRule="exact"/>
        <w:rPr>
          <w:rFonts w:ascii="Arial" w:cs="Arial" w:eastAsia="Arial" w:hAnsi="Arial"/>
          <w:sz w:val="30"/>
          <w:szCs w:val="30"/>
          <w:color w:val="auto"/>
          <w:vertAlign w:val="superscript"/>
        </w:rPr>
      </w:pPr>
    </w:p>
    <w:p>
      <w:pPr>
        <w:jc w:val="both"/>
        <w:ind w:left="340" w:hanging="332"/>
        <w:spacing w:after="0" w:line="223" w:lineRule="auto"/>
        <w:tabs>
          <w:tab w:leader="none" w:pos="34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This award vests in four (4) equal annual increments on November 29 of each year from 2012 through 2015 so long as Mr. Britti is an employee of the Company or a subsidiary of the Company at the time of each vesting. The number of shares to be issued is based upon the share price of our common stock on each respective vesting date. The award does not contain a threshold or maximum payout amount.</w:t>
      </w:r>
    </w:p>
    <w:p>
      <w:pPr>
        <w:spacing w:after="0" w:line="201" w:lineRule="exact"/>
        <w:rPr>
          <w:rFonts w:ascii="Arial" w:cs="Arial" w:eastAsia="Arial" w:hAnsi="Arial"/>
          <w:sz w:val="28"/>
          <w:szCs w:val="28"/>
          <w:color w:val="auto"/>
          <w:vertAlign w:val="superscript"/>
        </w:rPr>
      </w:pPr>
    </w:p>
    <w:p>
      <w:pPr>
        <w:jc w:val="both"/>
        <w:ind w:left="340" w:hanging="332"/>
        <w:spacing w:after="0" w:line="232" w:lineRule="auto"/>
        <w:tabs>
          <w:tab w:leader="none" w:pos="34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This award vests in four (4) equal annual increments commencing on the date that certain financial performance criteria set forth in the award agreement were met (September 5, 2012) and on the anniversary of the initial vesting for three years afterwards, so long as Mr. Britti is an employee of the Company or a subsidiary of the Company at the time of each vesting. The number of shares to be issued is based upon the share price of our common stock on each respective vesting date. The award does not contain a threshold or maximum payout amount.</w:t>
      </w:r>
    </w:p>
    <w:p>
      <w:pPr>
        <w:spacing w:after="0" w:line="202" w:lineRule="exact"/>
        <w:rPr>
          <w:rFonts w:ascii="Arial" w:cs="Arial" w:eastAsia="Arial" w:hAnsi="Arial"/>
          <w:sz w:val="28"/>
          <w:szCs w:val="28"/>
          <w:color w:val="auto"/>
          <w:vertAlign w:val="superscript"/>
        </w:rPr>
      </w:pPr>
    </w:p>
    <w:p>
      <w:pPr>
        <w:jc w:val="both"/>
        <w:ind w:left="340" w:hanging="332"/>
        <w:spacing w:after="0" w:line="232" w:lineRule="auto"/>
        <w:tabs>
          <w:tab w:leader="none" w:pos="34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This award vests in four (4) equal annual increments commencing on the date that certain financial performance criteria set forth in the award agreement were met (October 24, 2012) and on the anniversary of the initial vesting for three years afterwards, so long as Mr. Britti is an employee of the Company or a subsidiary of the Company at the time of each vesting. The number of shares to be issued is based upon the share price of our common stock on each respective vesting date. The award does not contain a threshold or maximum payout amount.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2012 for the individuals named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6791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6791960"/>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Awards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Number of Securities</w:t>
            </w:r>
          </w:p>
        </w:tc>
        <w:tc>
          <w:tcPr>
            <w:tcW w:w="19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Number of Securities</w:t>
            </w:r>
          </w:p>
        </w:tc>
        <w:tc>
          <w:tcPr>
            <w:tcW w:w="2020" w:type="dxa"/>
            <w:vAlign w:val="bottom"/>
            <w:tcBorders>
              <w:top w:val="single" w:sz="8" w:color="auto"/>
              <w:right w:val="single" w:sz="8" w:color="auto"/>
            </w:tcBorders>
          </w:tcPr>
          <w:p>
            <w:pPr>
              <w:jc w:val="right"/>
              <w:ind w:right="110"/>
              <w:spacing w:after="0" w:line="205" w:lineRule="exact"/>
              <w:rPr>
                <w:sz w:val="20"/>
                <w:szCs w:val="20"/>
                <w:color w:val="auto"/>
              </w:rPr>
            </w:pPr>
            <w:r>
              <w:rPr>
                <w:rFonts w:ascii="Arial" w:cs="Arial" w:eastAsia="Arial" w:hAnsi="Arial"/>
                <w:sz w:val="18"/>
                <w:szCs w:val="18"/>
                <w:b w:val="1"/>
                <w:bCs w:val="1"/>
                <w:color w:val="auto"/>
                <w:w w:val="99"/>
              </w:rPr>
              <w:t>Equity Incentive Plan</w:t>
            </w:r>
          </w:p>
        </w:tc>
        <w:tc>
          <w:tcPr>
            <w:tcW w:w="138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Number of</w:t>
            </w:r>
          </w:p>
        </w:tc>
        <w:tc>
          <w:tcPr>
            <w:tcW w:w="1380" w:type="dxa"/>
            <w:vAlign w:val="bottom"/>
            <w:tcBorders>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Unexercised</w:t>
            </w:r>
          </w:p>
        </w:tc>
        <w:tc>
          <w:tcPr>
            <w:tcW w:w="1980" w:type="dxa"/>
            <w:vAlign w:val="bottom"/>
            <w:tcBorders>
              <w:right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Unexercised</w:t>
            </w:r>
          </w:p>
        </w:tc>
        <w:tc>
          <w:tcPr>
            <w:tcW w:w="20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Securities Underlying</w:t>
            </w:r>
          </w:p>
        </w:tc>
        <w:tc>
          <w:tcPr>
            <w:tcW w:w="138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Option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Unexercised Unearned</w:t>
            </w:r>
          </w:p>
        </w:tc>
        <w:tc>
          <w:tcPr>
            <w:tcW w:w="13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Exercise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980" w:type="dxa"/>
            <w:vAlign w:val="bottom"/>
            <w:tcBorders>
              <w:right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Unexercisable(1)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Options(2)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Price(3)</w:t>
            </w:r>
          </w:p>
        </w:tc>
        <w:tc>
          <w:tcPr>
            <w:tcW w:w="1780" w:type="dxa"/>
            <w:vAlign w:val="bottom"/>
          </w:tcPr>
          <w:p>
            <w:pPr>
              <w:jc w:val="right"/>
              <w:ind w:right="59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41"/>
        </w:trPr>
        <w:tc>
          <w:tcPr>
            <w:tcW w:w="2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William C. Erbey</w:t>
            </w: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12,736</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$3.72367</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vMerge w:val="continue"/>
          </w:tcPr>
          <w:p>
            <w:pPr>
              <w:spacing w:after="0"/>
              <w:rPr>
                <w:sz w:val="18"/>
                <w:szCs w:val="18"/>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50,943</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$6.46521</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47,872</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$4.84438</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01/31/15</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69,805</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$5.80844</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01/31/16</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102,821</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$7.15812</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05/10/17</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600,000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1,200,000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300,000</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17"/>
                <w:szCs w:val="17"/>
                <w:color w:val="auto"/>
              </w:rPr>
              <w:t>300,000</w:t>
            </w:r>
            <w:r>
              <w:rPr>
                <w:rFonts w:ascii="Arial" w:cs="Arial" w:eastAsia="Arial" w:hAnsi="Arial"/>
                <w:sz w:val="28"/>
                <w:szCs w:val="28"/>
                <w:color w:val="auto"/>
                <w:vertAlign w:val="superscript"/>
              </w:rPr>
              <w:t>(4)</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17"/>
                <w:szCs w:val="17"/>
                <w:color w:val="auto"/>
              </w:rPr>
              <w:t>500,000</w:t>
            </w:r>
            <w:r>
              <w:rPr>
                <w:rFonts w:ascii="Arial" w:cs="Arial" w:eastAsia="Arial" w:hAnsi="Arial"/>
                <w:sz w:val="28"/>
                <w:szCs w:val="28"/>
                <w:color w:val="auto"/>
                <w:vertAlign w:val="superscript"/>
              </w:rPr>
              <w:t>(5)</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$24.38000</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08/21/22</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0"/>
              <w:spacing w:after="0" w:line="250" w:lineRule="exact"/>
              <w:rPr>
                <w:sz w:val="20"/>
                <w:szCs w:val="20"/>
                <w:color w:val="auto"/>
              </w:rPr>
            </w:pPr>
            <w:r>
              <w:rPr>
                <w:rFonts w:ascii="Arial" w:cs="Arial" w:eastAsia="Arial" w:hAnsi="Arial"/>
                <w:sz w:val="17"/>
                <w:szCs w:val="17"/>
                <w:color w:val="auto"/>
              </w:rPr>
              <w:t>1,000,000</w:t>
            </w:r>
            <w:r>
              <w:rPr>
                <w:rFonts w:ascii="Arial" w:cs="Arial" w:eastAsia="Arial" w:hAnsi="Arial"/>
                <w:sz w:val="28"/>
                <w:szCs w:val="28"/>
                <w:color w:val="auto"/>
                <w:vertAlign w:val="superscript"/>
              </w:rPr>
              <w:t>(6)</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$24.38000</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08/21/22</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0"/>
              <w:spacing w:after="0" w:line="250" w:lineRule="exact"/>
              <w:rPr>
                <w:sz w:val="20"/>
                <w:szCs w:val="20"/>
                <w:color w:val="auto"/>
              </w:rPr>
            </w:pPr>
            <w:r>
              <w:rPr>
                <w:rFonts w:ascii="Arial" w:cs="Arial" w:eastAsia="Arial" w:hAnsi="Arial"/>
                <w:sz w:val="17"/>
                <w:szCs w:val="17"/>
                <w:color w:val="auto"/>
              </w:rPr>
              <w:t>500,000</w:t>
            </w:r>
            <w:r>
              <w:rPr>
                <w:rFonts w:ascii="Arial" w:cs="Arial" w:eastAsia="Arial" w:hAnsi="Arial"/>
                <w:sz w:val="28"/>
                <w:szCs w:val="28"/>
                <w:color w:val="auto"/>
                <w:vertAlign w:val="superscript"/>
              </w:rPr>
              <w:t>(7)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$24.38000</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08/21/22</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Ronald M. Faris</w:t>
            </w: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13,390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$3.72367</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vMerge w:val="continue"/>
          </w:tcPr>
          <w:p>
            <w:pPr>
              <w:spacing w:after="0"/>
              <w:rPr>
                <w:sz w:val="18"/>
                <w:szCs w:val="18"/>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53,560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$6.46521</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37,301</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$4.84438</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01/31/15</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60,504</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$5.80844</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01/31/16</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84,861</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$7.15812</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05/10/17</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310,000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620,000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155,000</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155,000</w:t>
            </w:r>
            <w:r>
              <w:rPr>
                <w:rFonts w:ascii="Arial" w:cs="Arial" w:eastAsia="Arial" w:hAnsi="Arial"/>
                <w:sz w:val="28"/>
                <w:szCs w:val="28"/>
                <w:color w:val="auto"/>
                <w:vertAlign w:val="superscript"/>
              </w:rPr>
              <w:t>(4)</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Paul A. Koches</w:t>
            </w: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245,000</w:t>
            </w:r>
          </w:p>
        </w:tc>
        <w:tc>
          <w:tcPr>
            <w:tcW w:w="19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115"/>
        </w:trPr>
        <w:tc>
          <w:tcPr>
            <w:tcW w:w="24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77,500</w:t>
            </w:r>
          </w:p>
        </w:tc>
        <w:tc>
          <w:tcPr>
            <w:tcW w:w="1980" w:type="dxa"/>
            <w:vAlign w:val="bottom"/>
            <w:tcBorders>
              <w:right w:val="single" w:sz="8" w:color="auto"/>
            </w:tcBorders>
            <w:vMerge w:val="restart"/>
          </w:tcPr>
          <w:p>
            <w:pPr>
              <w:jc w:val="right"/>
              <w:ind w:right="32"/>
              <w:spacing w:after="0" w:line="250" w:lineRule="exact"/>
              <w:rPr>
                <w:sz w:val="20"/>
                <w:szCs w:val="20"/>
                <w:color w:val="auto"/>
              </w:rPr>
            </w:pPr>
            <w:r>
              <w:rPr>
                <w:rFonts w:ascii="Arial" w:cs="Arial" w:eastAsia="Arial" w:hAnsi="Arial"/>
                <w:sz w:val="17"/>
                <w:szCs w:val="17"/>
                <w:color w:val="auto"/>
              </w:rPr>
              <w:t>77,500</w:t>
            </w:r>
            <w:r>
              <w:rPr>
                <w:rFonts w:ascii="Arial" w:cs="Arial" w:eastAsia="Arial" w:hAnsi="Arial"/>
                <w:sz w:val="28"/>
                <w:szCs w:val="28"/>
                <w:color w:val="auto"/>
                <w:vertAlign w:val="superscript"/>
              </w:rPr>
              <w:t>(4)</w:t>
            </w:r>
          </w:p>
        </w:tc>
        <w:tc>
          <w:tcPr>
            <w:tcW w:w="202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$4.82028</w:t>
            </w:r>
          </w:p>
        </w:tc>
        <w:tc>
          <w:tcPr>
            <w:tcW w:w="1780" w:type="dxa"/>
            <w:vAlign w:val="bottom"/>
            <w:vMerge w:val="restart"/>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135"/>
        </w:trPr>
        <w:tc>
          <w:tcPr>
            <w:tcW w:w="244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vMerge w:val="continue"/>
          </w:tcPr>
          <w:p>
            <w:pPr>
              <w:spacing w:after="0"/>
              <w:rPr>
                <w:sz w:val="11"/>
                <w:szCs w:val="11"/>
                <w:color w:val="auto"/>
              </w:rPr>
            </w:pPr>
          </w:p>
        </w:tc>
        <w:tc>
          <w:tcPr>
            <w:tcW w:w="1980" w:type="dxa"/>
            <w:vAlign w:val="bottom"/>
            <w:tcBorders>
              <w:bottom w:val="single" w:sz="8" w:color="auto"/>
              <w:right w:val="single" w:sz="8" w:color="auto"/>
            </w:tcBorders>
            <w:vMerge w:val="continue"/>
          </w:tcPr>
          <w:p>
            <w:pPr>
              <w:spacing w:after="0"/>
              <w:rPr>
                <w:sz w:val="11"/>
                <w:szCs w:val="11"/>
                <w:color w:val="auto"/>
              </w:rPr>
            </w:pPr>
          </w:p>
        </w:tc>
        <w:tc>
          <w:tcPr>
            <w:tcW w:w="2020" w:type="dxa"/>
            <w:vAlign w:val="bottom"/>
            <w:tcBorders>
              <w:bottom w:val="single" w:sz="8" w:color="auto"/>
              <w:right w:val="single" w:sz="8" w:color="auto"/>
            </w:tcBorders>
            <w:vMerge w:val="continue"/>
          </w:tcPr>
          <w:p>
            <w:pPr>
              <w:spacing w:after="0"/>
              <w:rPr>
                <w:sz w:val="11"/>
                <w:szCs w:val="11"/>
                <w:color w:val="auto"/>
              </w:rPr>
            </w:pPr>
          </w:p>
        </w:tc>
        <w:tc>
          <w:tcPr>
            <w:tcW w:w="1380" w:type="dxa"/>
            <w:vAlign w:val="bottom"/>
            <w:tcBorders>
              <w:bottom w:val="single" w:sz="8" w:color="auto"/>
              <w:right w:val="single" w:sz="8" w:color="auto"/>
            </w:tcBorders>
            <w:vMerge w:val="continue"/>
          </w:tcPr>
          <w:p>
            <w:pPr>
              <w:spacing w:after="0"/>
              <w:rPr>
                <w:sz w:val="11"/>
                <w:szCs w:val="11"/>
                <w:color w:val="auto"/>
              </w:rPr>
            </w:pPr>
          </w:p>
        </w:tc>
        <w:tc>
          <w:tcPr>
            <w:tcW w:w="1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John V. Britti</w:t>
            </w: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6,250</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18,750</w:t>
            </w:r>
            <w:r>
              <w:rPr>
                <w:rFonts w:ascii="Arial" w:cs="Arial" w:eastAsia="Arial" w:hAnsi="Arial"/>
                <w:sz w:val="28"/>
                <w:szCs w:val="28"/>
                <w:color w:val="auto"/>
                <w:vertAlign w:val="superscript"/>
              </w:rPr>
              <w:t>(14)</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$16.17000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03/05/22</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12,500</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37,500</w:t>
            </w:r>
            <w:r>
              <w:rPr>
                <w:rFonts w:ascii="Arial" w:cs="Arial" w:eastAsia="Arial" w:hAnsi="Arial"/>
                <w:sz w:val="28"/>
                <w:szCs w:val="28"/>
                <w:color w:val="auto"/>
                <w:vertAlign w:val="superscript"/>
              </w:rPr>
              <w:t>(15)</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$16.17000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03/05/22</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6,250</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18,750</w:t>
            </w:r>
            <w:r>
              <w:rPr>
                <w:rFonts w:ascii="Arial" w:cs="Arial" w:eastAsia="Arial" w:hAnsi="Arial"/>
                <w:sz w:val="28"/>
                <w:szCs w:val="28"/>
                <w:color w:val="auto"/>
                <w:vertAlign w:val="superscript"/>
              </w:rPr>
              <w:t>(13)</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$16.17000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03/05/22</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John P. Van Vlack</w:t>
            </w: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17"/>
                <w:szCs w:val="17"/>
                <w:color w:val="auto"/>
              </w:rPr>
              <w:t>5,000</w:t>
            </w:r>
            <w:r>
              <w:rPr>
                <w:rFonts w:ascii="Arial" w:cs="Arial" w:eastAsia="Arial" w:hAnsi="Arial"/>
                <w:sz w:val="28"/>
                <w:szCs w:val="28"/>
                <w:color w:val="auto"/>
                <w:vertAlign w:val="superscript"/>
              </w:rPr>
              <w:t>(8)</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$10.67000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11/04/19</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32"/>
              <w:spacing w:after="0" w:line="250" w:lineRule="exact"/>
              <w:rPr>
                <w:sz w:val="20"/>
                <w:szCs w:val="20"/>
                <w:color w:val="auto"/>
              </w:rPr>
            </w:pPr>
            <w:r>
              <w:rPr>
                <w:rFonts w:ascii="Arial" w:cs="Arial" w:eastAsia="Arial" w:hAnsi="Arial"/>
                <w:sz w:val="17"/>
                <w:szCs w:val="17"/>
                <w:color w:val="auto"/>
              </w:rPr>
              <w:t>30,000</w:t>
            </w:r>
            <w:r>
              <w:rPr>
                <w:rFonts w:ascii="Arial" w:cs="Arial" w:eastAsia="Arial" w:hAnsi="Arial"/>
                <w:sz w:val="28"/>
                <w:szCs w:val="28"/>
                <w:color w:val="auto"/>
                <w:vertAlign w:val="superscript"/>
              </w:rPr>
              <w:t>(9)</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$10.67000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11/04/19</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15,000</w:t>
            </w:r>
            <w:r>
              <w:rPr>
                <w:rFonts w:ascii="Arial" w:cs="Arial" w:eastAsia="Arial" w:hAnsi="Arial"/>
                <w:sz w:val="28"/>
                <w:szCs w:val="28"/>
                <w:color w:val="auto"/>
                <w:vertAlign w:val="superscript"/>
              </w:rPr>
              <w:t>(10)</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$10.67000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11/04/19</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102,187</w:t>
            </w:r>
            <w:r>
              <w:rPr>
                <w:rFonts w:ascii="Arial" w:cs="Arial" w:eastAsia="Arial" w:hAnsi="Arial"/>
                <w:sz w:val="28"/>
                <w:szCs w:val="28"/>
                <w:color w:val="auto"/>
                <w:vertAlign w:val="superscript"/>
              </w:rPr>
              <w:t>(11)</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$12.83000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10/07/21</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204,375</w:t>
            </w:r>
            <w:r>
              <w:rPr>
                <w:rFonts w:ascii="Arial" w:cs="Arial" w:eastAsia="Arial" w:hAnsi="Arial"/>
                <w:sz w:val="28"/>
                <w:szCs w:val="28"/>
                <w:color w:val="auto"/>
                <w:vertAlign w:val="superscript"/>
              </w:rPr>
              <w:t>(12)</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$12.83000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10/07/21</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1,251</w:t>
            </w:r>
          </w:p>
        </w:tc>
        <w:tc>
          <w:tcPr>
            <w:tcW w:w="198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17"/>
                <w:szCs w:val="17"/>
                <w:color w:val="auto"/>
              </w:rPr>
              <w:t>102,187</w:t>
            </w:r>
            <w:r>
              <w:rPr>
                <w:rFonts w:ascii="Arial" w:cs="Arial" w:eastAsia="Arial" w:hAnsi="Arial"/>
                <w:sz w:val="28"/>
                <w:szCs w:val="28"/>
                <w:color w:val="auto"/>
                <w:vertAlign w:val="superscript"/>
              </w:rPr>
              <w:t>(13)</w:t>
            </w:r>
          </w:p>
        </w:tc>
        <w:tc>
          <w:tcPr>
            <w:tcW w:w="2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$12.83000</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10/07/21</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4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Kenneth D. Najour</w:t>
            </w: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440" w:type="dxa"/>
            <w:vAlign w:val="bottom"/>
            <w:tcBorders>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2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37</w:t>
            </w:r>
          </w:p>
        </w:tc>
        <w:tc>
          <w:tcPr>
            <w:tcW w:w="2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9" w:name="page40"/>
    <w:bookmarkEnd w:id="39"/>
    <w:p>
      <w:pPr>
        <w:ind w:left="340" w:hanging="332"/>
        <w:spacing w:after="0"/>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Options awarded where the applicable performance hurdles have been met but remain subject to time based criteria.</w:t>
      </w:r>
    </w:p>
    <w:p>
      <w:pPr>
        <w:spacing w:after="0" w:line="109"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awarded where the performance hurdles have not been met.</w:t>
      </w:r>
    </w:p>
    <w:p>
      <w:pPr>
        <w:spacing w:after="0" w:line="110" w:lineRule="exact"/>
        <w:rPr>
          <w:rFonts w:ascii="Arial" w:cs="Arial" w:eastAsia="Arial" w:hAnsi="Arial"/>
          <w:sz w:val="24"/>
          <w:szCs w:val="24"/>
          <w:color w:val="auto"/>
          <w:vertAlign w:val="superscript"/>
        </w:rPr>
      </w:pPr>
    </w:p>
    <w:p>
      <w:pPr>
        <w:ind w:left="340" w:right="60" w:hanging="332"/>
        <w:spacing w:after="0" w:line="187"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Option exercise prices were adjusted for Ocwen stock options outstanding on or before the Altisource spin-off transaction completed on August 10, 2009 to reflect the value of Altisource stock distributed to Ocwen shareholders.</w:t>
      </w:r>
    </w:p>
    <w:p>
      <w:pPr>
        <w:ind w:left="340" w:hanging="332"/>
        <w:spacing w:after="0" w:line="225"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Options vest in two equal installments on 10/27/13 and 10/27/14.</w:t>
      </w:r>
    </w:p>
    <w:p>
      <w:pPr>
        <w:spacing w:after="0" w:line="110"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four equal installments on 08/21/13, 08/21/14, 08/21/15 and 08/21/16.</w:t>
      </w:r>
    </w:p>
    <w:p>
      <w:pPr>
        <w:spacing w:after="0" w:line="110" w:lineRule="exact"/>
        <w:rPr>
          <w:rFonts w:ascii="Arial" w:cs="Arial" w:eastAsia="Arial" w:hAnsi="Arial"/>
          <w:sz w:val="24"/>
          <w:szCs w:val="24"/>
          <w:color w:val="auto"/>
          <w:vertAlign w:val="superscript"/>
        </w:rPr>
      </w:pPr>
    </w:p>
    <w:p>
      <w:pPr>
        <w:ind w:left="340" w:right="60" w:hanging="332"/>
        <w:spacing w:after="0" w:line="187"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One-fourth vests upon achieving a stock price of $48.76 and compounded annual gain of 20% over the exercise price with the balance vesting one-fourth each subsequent year.</w:t>
      </w:r>
    </w:p>
    <w:p>
      <w:pPr>
        <w:spacing w:after="0" w:line="94" w:lineRule="exact"/>
        <w:rPr>
          <w:rFonts w:ascii="Arial" w:cs="Arial" w:eastAsia="Arial" w:hAnsi="Arial"/>
          <w:sz w:val="30"/>
          <w:szCs w:val="30"/>
          <w:color w:val="auto"/>
          <w:vertAlign w:val="superscript"/>
        </w:rPr>
      </w:pPr>
    </w:p>
    <w:p>
      <w:pPr>
        <w:ind w:left="340" w:right="60" w:hanging="332"/>
        <w:spacing w:after="0" w:line="194"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One-fourth vests upon achieving a stock price of $73.14 and compounded annual gain of 25% over the exercise price with the balance vesting one-fourth each subsequent year.</w:t>
      </w:r>
    </w:p>
    <w:p>
      <w:pPr>
        <w:ind w:left="340" w:hanging="332"/>
        <w:spacing w:after="0" w:line="225"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Options vest on 11/04/13.</w:t>
      </w:r>
    </w:p>
    <w:p>
      <w:pPr>
        <w:spacing w:after="0" w:line="110"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08/02/13, 08/02/14 and 08/02/15.</w:t>
      </w:r>
    </w:p>
    <w:p>
      <w:pPr>
        <w:spacing w:after="0" w:line="110"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10/03/13, 10/03/14 and 10/03/15.</w:t>
      </w:r>
    </w:p>
    <w:p>
      <w:pPr>
        <w:spacing w:after="0" w:line="110"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10/07/13, 10/07/14 and 10/07/15.</w:t>
      </w:r>
    </w:p>
    <w:p>
      <w:pPr>
        <w:spacing w:after="0" w:line="110"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08/29/13, 08/29/14 and 08/29/15.</w:t>
      </w:r>
    </w:p>
    <w:p>
      <w:pPr>
        <w:spacing w:after="0" w:line="110"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10/24/13, 10/24/14 and 10/24/15.</w:t>
      </w:r>
    </w:p>
    <w:p>
      <w:pPr>
        <w:spacing w:after="0" w:line="110"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11/29/13, 11/29/14 and 11/29/15.</w:t>
      </w:r>
    </w:p>
    <w:p>
      <w:pPr>
        <w:spacing w:after="0" w:line="110"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Options vest in three equal installments on 09/05/13, 09/05/14 and 09/05/15.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2012 for the individuals named in the Summary Compensation Table.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80" w:type="dxa"/>
            <w:vAlign w:val="bottom"/>
            <w:tcBorders>
              <w:top w:val="single" w:sz="8" w:color="auto"/>
              <w:left w:val="single" w:sz="8" w:color="auto"/>
              <w:bottom w:val="single" w:sz="8" w:color="F3F3F3"/>
              <w:right w:val="single" w:sz="8" w:color="auto"/>
            </w:tcBorders>
            <w:shd w:val="clear" w:color="auto" w:fill="F3F3F3"/>
          </w:tcPr>
          <w:p>
            <w:pPr>
              <w:spacing w:after="0"/>
              <w:rPr>
                <w:sz w:val="21"/>
                <w:szCs w:val="21"/>
                <w:color w:val="auto"/>
              </w:rPr>
            </w:pPr>
          </w:p>
        </w:tc>
        <w:tc>
          <w:tcPr>
            <w:tcW w:w="3880" w:type="dxa"/>
            <w:vAlign w:val="bottom"/>
            <w:tcBorders>
              <w:top w:val="single" w:sz="8" w:color="auto"/>
              <w:bottom w:val="single" w:sz="8" w:color="auto"/>
              <w:right w:val="single" w:sz="8" w:color="auto"/>
            </w:tcBorders>
            <w:gridSpan w:val="2"/>
            <w:shd w:val="clear" w:color="auto" w:fill="F3F3F3"/>
          </w:tcPr>
          <w:p>
            <w:pPr>
              <w:jc w:val="right"/>
              <w:ind w:right="1270"/>
              <w:spacing w:after="0"/>
              <w:rPr>
                <w:sz w:val="20"/>
                <w:szCs w:val="20"/>
                <w:color w:val="auto"/>
              </w:rPr>
            </w:pPr>
            <w:r>
              <w:rPr>
                <w:rFonts w:ascii="Arial" w:cs="Arial" w:eastAsia="Arial" w:hAnsi="Arial"/>
                <w:sz w:val="18"/>
                <w:szCs w:val="18"/>
                <w:b w:val="1"/>
                <w:bCs w:val="1"/>
                <w:color w:val="auto"/>
              </w:rPr>
              <w:t>Option Awards</w:t>
            </w:r>
          </w:p>
        </w:tc>
        <w:tc>
          <w:tcPr>
            <w:tcW w:w="1380" w:type="dxa"/>
            <w:vAlign w:val="bottom"/>
            <w:tcBorders>
              <w:top w:val="single" w:sz="8" w:color="auto"/>
              <w:bottom w:val="single" w:sz="8" w:color="auto"/>
            </w:tcBorders>
            <w:shd w:val="clear" w:color="auto" w:fill="F3F3F3"/>
          </w:tcPr>
          <w:p>
            <w:pPr>
              <w:spacing w:after="0"/>
              <w:rPr>
                <w:sz w:val="21"/>
                <w:szCs w:val="21"/>
                <w:color w:val="auto"/>
              </w:rPr>
            </w:pPr>
          </w:p>
        </w:tc>
        <w:tc>
          <w:tcPr>
            <w:tcW w:w="2480" w:type="dxa"/>
            <w:vAlign w:val="bottom"/>
            <w:tcBorders>
              <w:top w:val="single" w:sz="8" w:color="auto"/>
              <w:bottom w:val="single" w:sz="8" w:color="auto"/>
              <w:right w:val="single" w:sz="8" w:color="auto"/>
            </w:tcBorders>
            <w:gridSpan w:val="2"/>
            <w:shd w:val="clear" w:color="auto" w:fill="F3F3F3"/>
          </w:tcPr>
          <w:p>
            <w:pPr>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3680" w:type="dxa"/>
            <w:vAlign w:val="bottom"/>
            <w:tcBorders>
              <w:left w:val="single" w:sz="8" w:color="auto"/>
              <w:right w:val="single" w:sz="8" w:color="auto"/>
            </w:tcBorders>
            <w:shd w:val="clear" w:color="auto" w:fill="F3F3F3"/>
          </w:tcPr>
          <w:p>
            <w:pPr>
              <w:spacing w:after="0"/>
              <w:rPr>
                <w:sz w:val="16"/>
                <w:szCs w:val="16"/>
                <w:color w:val="auto"/>
              </w:rPr>
            </w:pPr>
          </w:p>
        </w:tc>
        <w:tc>
          <w:tcPr>
            <w:tcW w:w="1960" w:type="dxa"/>
            <w:vAlign w:val="bottom"/>
            <w:tcBorders>
              <w:right w:val="single" w:sz="8" w:color="auto"/>
            </w:tcBorders>
            <w:shd w:val="clear" w:color="auto" w:fill="F3F3F3"/>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1920" w:type="dxa"/>
            <w:vAlign w:val="bottom"/>
            <w:tcBorders>
              <w:right w:val="single" w:sz="8" w:color="auto"/>
            </w:tcBorders>
            <w:shd w:val="clear" w:color="auto" w:fill="F3F3F3"/>
          </w:tcPr>
          <w:p>
            <w:pPr>
              <w:spacing w:after="0"/>
              <w:rPr>
                <w:sz w:val="16"/>
                <w:szCs w:val="16"/>
                <w:color w:val="auto"/>
              </w:rPr>
            </w:pPr>
          </w:p>
        </w:tc>
        <w:tc>
          <w:tcPr>
            <w:tcW w:w="1380" w:type="dxa"/>
            <w:vAlign w:val="bottom"/>
            <w:shd w:val="clear" w:color="auto" w:fill="F3F3F3"/>
          </w:tcPr>
          <w:p>
            <w:pPr>
              <w:jc w:val="center"/>
              <w:ind w:left="450"/>
              <w:spacing w:after="0" w:line="191" w:lineRule="exact"/>
              <w:rPr>
                <w:sz w:val="20"/>
                <w:szCs w:val="20"/>
                <w:color w:val="auto"/>
              </w:rPr>
            </w:pPr>
            <w:r>
              <w:rPr>
                <w:rFonts w:ascii="Arial" w:cs="Arial" w:eastAsia="Arial" w:hAnsi="Arial"/>
                <w:sz w:val="18"/>
                <w:szCs w:val="18"/>
                <w:b w:val="1"/>
                <w:bCs w:val="1"/>
                <w:color w:val="auto"/>
                <w:w w:val="93"/>
              </w:rPr>
              <w:t>Number of</w:t>
            </w:r>
          </w:p>
        </w:tc>
        <w:tc>
          <w:tcPr>
            <w:tcW w:w="560" w:type="dxa"/>
            <w:vAlign w:val="bottom"/>
            <w:tcBorders>
              <w:right w:val="single" w:sz="8" w:color="auto"/>
            </w:tcBorders>
            <w:shd w:val="clear" w:color="auto" w:fill="F3F3F3"/>
          </w:tcPr>
          <w:p>
            <w:pPr>
              <w:spacing w:after="0"/>
              <w:rPr>
                <w:sz w:val="16"/>
                <w:szCs w:val="16"/>
                <w:color w:val="auto"/>
              </w:rPr>
            </w:pPr>
          </w:p>
        </w:tc>
        <w:tc>
          <w:tcPr>
            <w:tcW w:w="1920" w:type="dxa"/>
            <w:vAlign w:val="bottom"/>
            <w:tcBorders>
              <w:right w:val="single" w:sz="8" w:color="auto"/>
            </w:tcBorders>
            <w:shd w:val="clear" w:color="auto" w:fill="F3F3F3"/>
          </w:tcPr>
          <w:p>
            <w:pPr>
              <w:spacing w:after="0"/>
              <w:rPr>
                <w:sz w:val="16"/>
                <w:szCs w:val="16"/>
                <w:color w:val="auto"/>
              </w:rPr>
            </w:pPr>
          </w:p>
        </w:tc>
      </w:tr>
      <w:tr>
        <w:trPr>
          <w:trHeight w:val="216"/>
        </w:trPr>
        <w:tc>
          <w:tcPr>
            <w:tcW w:w="3680" w:type="dxa"/>
            <w:vAlign w:val="bottom"/>
            <w:tcBorders>
              <w:left w:val="single" w:sz="8" w:color="auto"/>
              <w:right w:val="single" w:sz="8" w:color="auto"/>
            </w:tcBorders>
            <w:shd w:val="clear" w:color="auto" w:fill="F3F3F3"/>
          </w:tcPr>
          <w:p>
            <w:pPr>
              <w:spacing w:after="0"/>
              <w:rPr>
                <w:sz w:val="18"/>
                <w:szCs w:val="18"/>
                <w:color w:val="auto"/>
              </w:rPr>
            </w:pPr>
          </w:p>
        </w:tc>
        <w:tc>
          <w:tcPr>
            <w:tcW w:w="19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920" w:type="dxa"/>
            <w:vAlign w:val="bottom"/>
            <w:tcBorders>
              <w:right w:val="single" w:sz="8" w:color="auto"/>
            </w:tcBorders>
            <w:shd w:val="clear" w:color="auto" w:fill="F3F3F3"/>
          </w:tcPr>
          <w:p>
            <w:pPr>
              <w:spacing w:after="0"/>
              <w:rPr>
                <w:sz w:val="18"/>
                <w:szCs w:val="18"/>
                <w:color w:val="auto"/>
              </w:rPr>
            </w:pPr>
          </w:p>
        </w:tc>
        <w:tc>
          <w:tcPr>
            <w:tcW w:w="1380" w:type="dxa"/>
            <w:vAlign w:val="bottom"/>
            <w:shd w:val="clear" w:color="auto" w:fill="F3F3F3"/>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Borders>
              <w:right w:val="single" w:sz="8" w:color="auto"/>
            </w:tcBorders>
            <w:shd w:val="clear" w:color="auto" w:fill="F3F3F3"/>
          </w:tcPr>
          <w:p>
            <w:pPr>
              <w:spacing w:after="0"/>
              <w:rPr>
                <w:sz w:val="18"/>
                <w:szCs w:val="18"/>
                <w:color w:val="auto"/>
              </w:rPr>
            </w:pPr>
          </w:p>
        </w:tc>
        <w:tc>
          <w:tcPr>
            <w:tcW w:w="1920" w:type="dxa"/>
            <w:vAlign w:val="bottom"/>
            <w:tcBorders>
              <w:right w:val="single" w:sz="8" w:color="auto"/>
            </w:tcBorders>
            <w:shd w:val="clear" w:color="auto" w:fill="F3F3F3"/>
          </w:tcPr>
          <w:p>
            <w:pPr>
              <w:spacing w:after="0"/>
              <w:rPr>
                <w:sz w:val="18"/>
                <w:szCs w:val="18"/>
                <w:color w:val="auto"/>
              </w:rPr>
            </w:pPr>
          </w:p>
        </w:tc>
      </w:tr>
      <w:tr>
        <w:trPr>
          <w:trHeight w:val="216"/>
        </w:trPr>
        <w:tc>
          <w:tcPr>
            <w:tcW w:w="3680" w:type="dxa"/>
            <w:vAlign w:val="bottom"/>
            <w:tcBorders>
              <w:left w:val="single" w:sz="8" w:color="auto"/>
              <w:right w:val="single" w:sz="8" w:color="auto"/>
            </w:tcBorders>
            <w:shd w:val="clear" w:color="auto" w:fill="F3F3F3"/>
          </w:tcPr>
          <w:p>
            <w:pPr>
              <w:spacing w:after="0"/>
              <w:rPr>
                <w:sz w:val="18"/>
                <w:szCs w:val="18"/>
                <w:color w:val="auto"/>
              </w:rPr>
            </w:pPr>
          </w:p>
        </w:tc>
        <w:tc>
          <w:tcPr>
            <w:tcW w:w="19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9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Value Realized</w:t>
            </w:r>
          </w:p>
        </w:tc>
        <w:tc>
          <w:tcPr>
            <w:tcW w:w="1380" w:type="dxa"/>
            <w:vAlign w:val="bottom"/>
            <w:shd w:val="clear" w:color="auto" w:fill="F3F3F3"/>
          </w:tcPr>
          <w:p>
            <w:pPr>
              <w:jc w:val="center"/>
              <w:ind w:left="450"/>
              <w:spacing w:after="0"/>
              <w:rPr>
                <w:sz w:val="20"/>
                <w:szCs w:val="20"/>
                <w:color w:val="auto"/>
              </w:rPr>
            </w:pPr>
            <w:r>
              <w:rPr>
                <w:rFonts w:ascii="Arial" w:cs="Arial" w:eastAsia="Arial" w:hAnsi="Arial"/>
                <w:sz w:val="18"/>
                <w:szCs w:val="18"/>
                <w:b w:val="1"/>
                <w:bCs w:val="1"/>
                <w:color w:val="auto"/>
                <w:w w:val="92"/>
              </w:rPr>
              <w:t>Acquired</w:t>
            </w:r>
          </w:p>
        </w:tc>
        <w:tc>
          <w:tcPr>
            <w:tcW w:w="560" w:type="dxa"/>
            <w:vAlign w:val="bottom"/>
            <w:tcBorders>
              <w:right w:val="single" w:sz="8" w:color="auto"/>
            </w:tcBorders>
            <w:shd w:val="clear" w:color="auto" w:fill="F3F3F3"/>
          </w:tcPr>
          <w:p>
            <w:pPr>
              <w:spacing w:after="0"/>
              <w:rPr>
                <w:sz w:val="18"/>
                <w:szCs w:val="18"/>
                <w:color w:val="auto"/>
              </w:rPr>
            </w:pPr>
          </w:p>
        </w:tc>
        <w:tc>
          <w:tcPr>
            <w:tcW w:w="19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3680" w:type="dxa"/>
            <w:vAlign w:val="bottom"/>
            <w:tcBorders>
              <w:left w:val="single" w:sz="8" w:color="auto"/>
              <w:right w:val="single" w:sz="8" w:color="auto"/>
            </w:tcBorders>
            <w:shd w:val="clear" w:color="auto" w:fill="F3F3F3"/>
          </w:tcPr>
          <w:p>
            <w:pPr>
              <w:spacing w:after="0"/>
              <w:rPr>
                <w:sz w:val="18"/>
                <w:szCs w:val="18"/>
                <w:color w:val="auto"/>
              </w:rPr>
            </w:pPr>
          </w:p>
        </w:tc>
        <w:tc>
          <w:tcPr>
            <w:tcW w:w="196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9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380" w:type="dxa"/>
            <w:vAlign w:val="bottom"/>
            <w:shd w:val="clear" w:color="auto" w:fill="F3F3F3"/>
          </w:tcPr>
          <w:p>
            <w:pPr>
              <w:jc w:val="center"/>
              <w:ind w:left="450"/>
              <w:spacing w:after="0"/>
              <w:rPr>
                <w:sz w:val="20"/>
                <w:szCs w:val="20"/>
                <w:color w:val="auto"/>
              </w:rPr>
            </w:pPr>
            <w:r>
              <w:rPr>
                <w:rFonts w:ascii="Arial" w:cs="Arial" w:eastAsia="Arial" w:hAnsi="Arial"/>
                <w:sz w:val="18"/>
                <w:szCs w:val="18"/>
                <w:b w:val="1"/>
                <w:bCs w:val="1"/>
                <w:color w:val="auto"/>
                <w:w w:val="86"/>
              </w:rPr>
              <w:t>on Vesting</w:t>
            </w:r>
          </w:p>
        </w:tc>
        <w:tc>
          <w:tcPr>
            <w:tcW w:w="560" w:type="dxa"/>
            <w:vAlign w:val="bottom"/>
            <w:tcBorders>
              <w:right w:val="single" w:sz="8" w:color="auto"/>
            </w:tcBorders>
            <w:shd w:val="clear" w:color="auto" w:fill="F3F3F3"/>
          </w:tcPr>
          <w:p>
            <w:pPr>
              <w:spacing w:after="0"/>
              <w:rPr>
                <w:sz w:val="18"/>
                <w:szCs w:val="18"/>
                <w:color w:val="auto"/>
              </w:rPr>
            </w:pPr>
          </w:p>
        </w:tc>
        <w:tc>
          <w:tcPr>
            <w:tcW w:w="1920" w:type="dxa"/>
            <w:vAlign w:val="bottom"/>
            <w:tcBorders>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41"/>
        </w:trPr>
        <w:tc>
          <w:tcPr>
            <w:tcW w:w="3680" w:type="dxa"/>
            <w:vAlign w:val="bottom"/>
            <w:tcBorders>
              <w:left w:val="single" w:sz="8" w:color="auto"/>
              <w:bottom w:val="single" w:sz="8" w:color="auto"/>
              <w:right w:val="single" w:sz="8" w:color="auto"/>
            </w:tcBorders>
            <w:shd w:val="clear" w:color="auto" w:fill="F3F3F3"/>
          </w:tcPr>
          <w:p>
            <w:pPr>
              <w:ind w:left="140"/>
              <w:spacing w:after="0"/>
              <w:rPr>
                <w:sz w:val="20"/>
                <w:szCs w:val="20"/>
                <w:color w:val="auto"/>
              </w:rPr>
            </w:pPr>
            <w:r>
              <w:rPr>
                <w:rFonts w:ascii="Arial" w:cs="Arial" w:eastAsia="Arial" w:hAnsi="Arial"/>
                <w:sz w:val="16"/>
                <w:szCs w:val="16"/>
                <w:b w:val="1"/>
                <w:bCs w:val="1"/>
                <w:color w:val="auto"/>
              </w:rPr>
              <w:t>Name</w:t>
            </w:r>
          </w:p>
        </w:tc>
        <w:tc>
          <w:tcPr>
            <w:tcW w:w="19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F3F3F3"/>
          </w:tcPr>
          <w:p>
            <w:pPr>
              <w:jc w:val="center"/>
              <w:ind w:left="450"/>
              <w:spacing w:after="0"/>
              <w:rPr>
                <w:sz w:val="20"/>
                <w:szCs w:val="20"/>
                <w:color w:val="auto"/>
              </w:rPr>
            </w:pPr>
            <w:r>
              <w:rPr>
                <w:rFonts w:ascii="Arial" w:cs="Arial" w:eastAsia="Arial" w:hAnsi="Arial"/>
                <w:sz w:val="18"/>
                <w:szCs w:val="18"/>
                <w:b w:val="1"/>
                <w:bCs w:val="1"/>
                <w:color w:val="auto"/>
                <w:w w:val="90"/>
              </w:rPr>
              <w:t>(#)</w:t>
            </w:r>
          </w:p>
        </w:tc>
        <w:tc>
          <w:tcPr>
            <w:tcW w:w="560" w:type="dxa"/>
            <w:vAlign w:val="bottom"/>
            <w:tcBorders>
              <w:bottom w:val="single" w:sz="8" w:color="auto"/>
              <w:right w:val="single" w:sz="8" w:color="auto"/>
            </w:tcBorders>
            <w:shd w:val="clear" w:color="auto" w:fill="F3F3F3"/>
          </w:tcPr>
          <w:p>
            <w:pPr>
              <w:spacing w:after="0"/>
              <w:rPr>
                <w:sz w:val="20"/>
                <w:szCs w:val="20"/>
                <w:color w:val="auto"/>
              </w:rPr>
            </w:pPr>
          </w:p>
        </w:tc>
        <w:tc>
          <w:tcPr>
            <w:tcW w:w="192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16"/>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C. Erbey</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226,163</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$4,329,557</w:t>
            </w:r>
          </w:p>
        </w:tc>
        <w:tc>
          <w:tcPr>
            <w:tcW w:w="13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Ronald M. Faris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79,453</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1,167,437</w:t>
            </w:r>
          </w:p>
        </w:tc>
        <w:tc>
          <w:tcPr>
            <w:tcW w:w="13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Paul A. Koches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220,000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$6,103,538</w:t>
            </w:r>
          </w:p>
        </w:tc>
        <w:tc>
          <w:tcPr>
            <w:tcW w:w="13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 V. Britti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8"/>
              </w:rPr>
              <w:t>8,463</w:t>
            </w: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$288,529</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 P. Van Vlack</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165,000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$3,402,875</w:t>
            </w:r>
          </w:p>
        </w:tc>
        <w:tc>
          <w:tcPr>
            <w:tcW w:w="13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7"/>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Kenneth D. Najour</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453"/>
        </w:trPr>
        <w:tc>
          <w:tcPr>
            <w:tcW w:w="3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670"/>
              <w:spacing w:after="0"/>
              <w:rPr>
                <w:sz w:val="20"/>
                <w:szCs w:val="20"/>
                <w:color w:val="auto"/>
              </w:rPr>
            </w:pPr>
            <w:r>
              <w:rPr>
                <w:rFonts w:ascii="Arial" w:cs="Arial" w:eastAsia="Arial" w:hAnsi="Arial"/>
                <w:sz w:val="17"/>
                <w:szCs w:val="17"/>
                <w:color w:val="auto"/>
                <w:w w:val="73"/>
              </w:rPr>
              <w:t>38</w:t>
            </w:r>
          </w:p>
        </w:tc>
        <w:tc>
          <w:tcPr>
            <w:tcW w:w="1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20 through 38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March 29, 2013</w:t>
      </w:r>
      <w:r>
        <w:rPr>
          <w:sz w:val="20"/>
          <w:szCs w:val="20"/>
          <w:color w:val="auto"/>
        </w:rPr>
        <w:tab/>
      </w:r>
      <w:r>
        <w:rPr>
          <w:rFonts w:ascii="Arial" w:cs="Arial" w:eastAsia="Arial" w:hAnsi="Arial"/>
          <w:sz w:val="16"/>
          <w:szCs w:val="16"/>
          <w:color w:val="auto"/>
        </w:rPr>
        <w:t>William H. Lacy, Chairman</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Wilbur L. Ross, Jr., Director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Barry N. Wish, Former Committee</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center"/>
        <w:ind w:right="-19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Audit Committee of our Board of Directors has appointed Deloitte &amp; Touche LLP, independent registered public accountants, to be our independent registered public accounting firm for the year ending December 31, 2013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auditors.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66" w:lineRule="exact"/>
        <w:rPr>
          <w:sz w:val="20"/>
          <w:szCs w:val="20"/>
          <w:color w:val="auto"/>
        </w:rPr>
      </w:pPr>
    </w:p>
    <w:p>
      <w:pPr>
        <w:jc w:val="center"/>
        <w:ind w:left="400" w:right="150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PUBLIC ACCOUNTING FIRM FOR 2013.</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2012;</w:t>
      </w:r>
    </w:p>
    <w:p>
      <w:pPr>
        <w:spacing w:after="0" w:line="117"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Statement on Auditing Standards No. 61, “Communication with Audit Committees,” as amended, as adopted by the Public Company Accounting Oversight Board in Rule 3200T; and</w:t>
      </w:r>
    </w:p>
    <w:p>
      <w:pPr>
        <w:spacing w:after="0" w:line="73"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2012.</w:t>
      </w:r>
    </w:p>
    <w:p>
      <w:pPr>
        <w:spacing w:after="0" w:line="166"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February 19, 2013</w:t>
      </w:r>
      <w:r>
        <w:rPr>
          <w:sz w:val="20"/>
          <w:szCs w:val="20"/>
          <w:color w:val="auto"/>
        </w:rPr>
        <w:tab/>
      </w:r>
      <w:r>
        <w:rPr>
          <w:rFonts w:ascii="Arial" w:cs="Arial" w:eastAsia="Arial" w:hAnsi="Arial"/>
          <w:sz w:val="16"/>
          <w:szCs w:val="16"/>
          <w:color w:val="auto"/>
        </w:rPr>
        <w:t>Ronald J. Korn, Chairman</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Robert A. Salcetti,</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Barry N. Wish,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2012 and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CCEECC"/>
            </w:tcBorders>
          </w:tcPr>
          <w:p>
            <w:pPr>
              <w:spacing w:after="0"/>
              <w:rPr>
                <w:sz w:val="20"/>
                <w:szCs w:val="20"/>
                <w:color w:val="auto"/>
              </w:rPr>
            </w:pPr>
          </w:p>
        </w:tc>
        <w:tc>
          <w:tcPr>
            <w:tcW w:w="36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10"/>
        </w:trPr>
        <w:tc>
          <w:tcPr>
            <w:tcW w:w="5180" w:type="dxa"/>
            <w:vAlign w:val="bottom"/>
            <w:shd w:val="clear" w:color="auto" w:fill="CCEECC"/>
          </w:tcPr>
          <w:p>
            <w:pPr>
              <w:ind w:left="100"/>
              <w:spacing w:after="0"/>
              <w:rPr>
                <w:sz w:val="20"/>
                <w:szCs w:val="20"/>
                <w:color w:val="auto"/>
              </w:rPr>
            </w:pPr>
            <w:r>
              <w:rPr>
                <w:rFonts w:ascii="Arial" w:cs="Arial" w:eastAsia="Arial" w:hAnsi="Arial"/>
                <w:sz w:val="18"/>
                <w:szCs w:val="18"/>
                <w:b w:val="1"/>
                <w:bCs w:val="1"/>
                <w:color w:val="auto"/>
              </w:rPr>
              <w:t>Audit Fees</w:t>
            </w:r>
          </w:p>
        </w:tc>
        <w:tc>
          <w:tcPr>
            <w:tcW w:w="36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rPr>
              <w:t>1,542,958</w:t>
            </w:r>
          </w:p>
        </w:tc>
        <w:tc>
          <w:tcPr>
            <w:tcW w:w="4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99"/>
              </w:rPr>
              <w:t>1,564,779</w:t>
            </w: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b w:val="1"/>
                <w:bCs w:val="1"/>
                <w:color w:val="auto"/>
              </w:rPr>
              <w:t>Audit Related Fees</w:t>
            </w:r>
          </w:p>
        </w:tc>
        <w:tc>
          <w:tcPr>
            <w:tcW w:w="3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4,997</w:t>
            </w:r>
          </w:p>
        </w:tc>
      </w:tr>
      <w:tr>
        <w:trPr>
          <w:trHeight w:val="216"/>
        </w:trPr>
        <w:tc>
          <w:tcPr>
            <w:tcW w:w="5180" w:type="dxa"/>
            <w:vAlign w:val="bottom"/>
            <w:shd w:val="clear" w:color="auto" w:fill="CCEECC"/>
          </w:tcPr>
          <w:p>
            <w:pPr>
              <w:ind w:left="100"/>
              <w:spacing w:after="0"/>
              <w:rPr>
                <w:sz w:val="20"/>
                <w:szCs w:val="20"/>
                <w:color w:val="auto"/>
              </w:rPr>
            </w:pPr>
            <w:r>
              <w:rPr>
                <w:rFonts w:ascii="Arial" w:cs="Arial" w:eastAsia="Arial" w:hAnsi="Arial"/>
                <w:sz w:val="18"/>
                <w:szCs w:val="18"/>
                <w:b w:val="1"/>
                <w:bCs w:val="1"/>
                <w:color w:val="auto"/>
              </w:rPr>
              <w:t>Tax Fees</w:t>
            </w:r>
          </w:p>
        </w:tc>
        <w:tc>
          <w:tcPr>
            <w:tcW w:w="38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rPr>
              <w:t>10,800</w:t>
            </w:r>
          </w:p>
        </w:tc>
        <w:tc>
          <w:tcPr>
            <w:tcW w:w="4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16,882</w:t>
            </w: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b w:val="1"/>
                <w:bCs w:val="1"/>
                <w:color w:val="auto"/>
              </w:rPr>
              <w:t>All Other Fees</w:t>
            </w:r>
          </w:p>
        </w:tc>
        <w:tc>
          <w:tcPr>
            <w:tcW w:w="3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250,000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23"/>
        </w:trPr>
        <w:tc>
          <w:tcPr>
            <w:tcW w:w="5180" w:type="dxa"/>
            <w:vAlign w:val="bottom"/>
            <w:tcBorders>
              <w:top w:val="single" w:sz="8" w:color="CCEECC"/>
              <w:bottom w:val="single" w:sz="8" w:color="CCEECC"/>
            </w:tcBorders>
            <w:shd w:val="clear" w:color="auto" w:fill="CCEECC"/>
          </w:tcPr>
          <w:p>
            <w:pPr>
              <w:ind w:left="100"/>
              <w:spacing w:after="0"/>
              <w:rPr>
                <w:sz w:val="20"/>
                <w:szCs w:val="20"/>
                <w:color w:val="auto"/>
              </w:rPr>
            </w:pPr>
            <w:r>
              <w:rPr>
                <w:rFonts w:ascii="Arial" w:cs="Arial" w:eastAsia="Arial" w:hAnsi="Arial"/>
                <w:sz w:val="18"/>
                <w:szCs w:val="18"/>
                <w:b w:val="1"/>
                <w:bCs w:val="1"/>
                <w:color w:val="auto"/>
              </w:rPr>
              <w:t>Total</w:t>
            </w:r>
          </w:p>
        </w:tc>
        <w:tc>
          <w:tcPr>
            <w:tcW w:w="36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CC"/>
          </w:tcPr>
          <w:p>
            <w:pPr>
              <w:jc w:val="right"/>
              <w:ind w:right="130"/>
              <w:spacing w:after="0"/>
              <w:rPr>
                <w:sz w:val="20"/>
                <w:szCs w:val="20"/>
                <w:color w:val="auto"/>
              </w:rPr>
            </w:pPr>
            <w:r>
              <w:rPr>
                <w:rFonts w:ascii="Arial" w:cs="Arial" w:eastAsia="Arial" w:hAnsi="Arial"/>
                <w:sz w:val="18"/>
                <w:szCs w:val="18"/>
                <w:color w:val="auto"/>
              </w:rPr>
              <w:t>1,803,758</w:t>
            </w:r>
          </w:p>
        </w:tc>
        <w:tc>
          <w:tcPr>
            <w:tcW w:w="4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99"/>
              </w:rPr>
              <w:t>1,586,658</w:t>
            </w:r>
          </w:p>
        </w:tc>
      </w:tr>
      <w:tr>
        <w:trPr>
          <w:trHeight w:val="20"/>
        </w:trPr>
        <w:tc>
          <w:tcPr>
            <w:tcW w:w="5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2012 and 2011, for the reviews of the financial statements included in Ocwen’s quarterly reports on Form 10-Q during fiscal years 2012 and 2011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(2) fiscal years for assurance and related services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(2)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for tax compliance, tax planning and tax advice.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(2)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that are not reported above under “Audit Fees,” “Audit-Related Fees” or “Tax Fees.” This also includes fees for assisting management to document the reorganization of certain subsidiaries.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2012 and the proposed services for 2013 and determined that such services and fees are compatible with the independence of Deloitte &amp; Touche LLP.</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Pre-Approval Policy. </w:t>
      </w:r>
      <w:r>
        <w:rPr>
          <w:rFonts w:ascii="Arial" w:cs="Arial" w:eastAsia="Arial" w:hAnsi="Arial"/>
          <w:sz w:val="18"/>
          <w:szCs w:val="18"/>
          <w:color w:val="auto"/>
        </w:rPr>
        <w:t>The Audit Committee is required to pre-approve the audit and non-audit services performed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in order to assure that the provision of such services does not impair the independent registered public accounting firm’s independence. Unless a type of service to be provided by the independent registered public accounting firm has received general pre-approval, it will require specific pre-approval by the Audit Committee. In 2012, less than 1% of the fees associated with the independent registered public accounting firm services were not pre-approved by the Audit Committee.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jc w:val="center"/>
        <w:ind w:right="-19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named executive officers.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described in detail under the heading “Executive Compensation – Compensation Discussion and Analysis,” our executive compensation programs are designed to attract, incentivize and retain our named executive officers, who are critical to our success. Pursuant to these programs, the Company seeks to compensate the named executive officers for achieving strategic business goals. Please read the “Compensation Discussion and Analysis” for additional details about our executive compensation programs including information about the fiscal year 2012 compensation of our named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44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2013 Annual Meeting of Shareholders pursuant to the compensation disclosure rules of the Securities and Exchange Commission including the Compensation Discussion and Analysis, the compensation tables and any related material.”</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the proposal, the final vote will not be binding on us and is advisory in nature.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vote for or against or abstain from the approval of the compensation of the Company’s named executive officers as disclosed in the Compensation Discussion and Analysis, the compensation tables and any related material contained in this proxy statement.</w:t>
      </w:r>
    </w:p>
    <w:p>
      <w:pPr>
        <w:spacing w:after="0" w:line="38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OUR BOARD OF DIRECTORS UNANIMOUSLY RECOMMENDS THAT YOU VOTE “FOR” THE</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APPROVAL, ON AN ADVISORY BASIS, OF THE COMPENSATION OF THE COMPANY’S NAMED</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EXECUTIVE OFFICERS, AS DISCLOSED IN THIS PROXY STATEMENT.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Board of Directors has adopted a policy and procedure for the review, approval and monitoring of transactions involving Ocwen and related persons (Directors and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policy and procedure are not limited to related person transactions that meet the threshold for disclosure under the relevant Securities and Exchange Commission rules as they broadly cover any situation in which a conflict of interest may arise.</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Any situation that potentially involves a conflict of interest is to be immediately disclosed to the Company’s General Counsel who must assess the nature and extent of any concern and then recommend any follow up action, as needed. The General Counsel will notify the Chairman of the Board if any such situation requires notice to or approval of the Board of Directors.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Mr. Erbey currently serves as Executive Chairman of Ocwen and Chairman of Altisource, HLSS, Altisource Residential Corporation (“Residential”) and Altisource Asset Management Corporation (“AAMC”). As a result, he has obligations to the Company as well as to Altisource, HLSS, Residential and AAMC. As of December 31, 2012, Mr. Erbey owned or controlled more than 13.1% of Ocwen’s common stock, 23.4% of Altisource’s common stock, 2% of HLSS ordinary shares, 23% of Residential’s common stock and 23% of AAMC’s common stock. Due to the nature of Mr. Erbey’s obligations to each of the companies, he recuses himself from decisions pertaining to any related transactions.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Mr. Erbey has relocated to St. Croix, USVI to serve as Chairman and CEO of OMS, a wholly-owned subsidiary of Ocwen. On August 21, 2012, the Board of Directors approved Ocwen’s purchase of Mr. Erbey’s residence in Atlanta, Georgia, for his cost-basis in the home of $6.477 million. Ocwen also incurred approximately $24,000 of related transaction costs. The transaction is consistent with Ocwen’s standard senior executive relocation policy and practice.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governing certain of the ongoing relationships between Ocwen and Altisource after Altisource’s spin-off from Ocwen into a separate publicly traded company on August 10, 2009, and to provide for an orderly transition to the status of two independent companies, we entered into certain agreements with Altisource.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2010, we entered into an agreement to sublease from Altisource our principal executive office space in Atlanta, Georgia through October 2014 for an aggregate of $33,444 payable over the tem of the sublease.</w:t>
      </w:r>
    </w:p>
    <w:p>
      <w:pPr>
        <w:spacing w:after="0" w:line="17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Under a Transition Services Agreement, the companies provided to each other services in such areas as human resources, vendor management, corporate services, six sigma, quality assurance, quantitative analytics, treasury, accounting, tax matters, risk management, law, strategic planning, compliance and other areas. The Transition Services Agreement was amended on August 10, 2011, in order to extend the initial twenty-four month term for an additional twelve months, and it expired on August 10, 2012.</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46" w:name="page47"/>
    <w:bookmarkEnd w:id="46"/>
    <w:p>
      <w:pPr>
        <w:ind w:right="160"/>
        <w:spacing w:after="0" w:line="264" w:lineRule="auto"/>
        <w:rPr>
          <w:sz w:val="20"/>
          <w:szCs w:val="20"/>
          <w:color w:val="auto"/>
        </w:rPr>
      </w:pPr>
      <w:r>
        <w:rPr>
          <w:rFonts w:ascii="Arial" w:cs="Arial" w:eastAsia="Arial" w:hAnsi="Arial"/>
          <w:sz w:val="18"/>
          <w:szCs w:val="18"/>
          <w:color w:val="auto"/>
        </w:rPr>
        <w:t>On the expiration date, OMS entered into a Support Services Agreement with Altisource setting forth certain services OMS and Altisource will provide to each other, which are similar to the services provided pursuant to the Transition Services Agreement. The Support Services Agreement has an initial term of five years.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August 10, 2012, OMS also entered into a Services Agreement, a Technology Products Services Agreement and a Center and Disaster Recovery Services Agreement under which Altisource will provide services similar to those formerly provided to Ocwen under comparable agreements. Under the Services Agreement, Altisource provides various business process outsourcing services, such as valuation services and property preservation and inspection services, among other things. Altisource also provides certain technology products and support services to OMS under the Technology Products Services Agreement and the Data Center and Disaster Recovery Services Agreement both of which have an initial term of eight years.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business is currently dependent on many of the services and products provided under these long-term contracts. We believe the rates charged under these agreements are market rates as they are materially consistent with one or more of the following: the fees charged by Altisource to other customers for comparable services and the rates OMS pays to or observes from other service providers.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Ocwen and Altisource each hold a 49% equity interest in Correspondent One S.A., a company that facilitates the purchase of conforming and government-guaranteed residential mortgages from approved mortgage originators and resells the mortgages to secondary market investors. As of December 31, 2012, Ocwen had invested approximately $13.432 million in Correspondent One.</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2013, Altisource entered into non-binding letters of intent with Ocwen to acquire certain fee-based businesses related to Ocwen’s acquisition of Homeward’s mortgage servicing and origination business platform (described below) and Ocwen’s purchase of the mortgage servicing platform from Residential Capital, LLC (“ResCap”) for a combined purchase price of $218.6 million. The letter of intent for the Homeward Residential fee-based businesses contemplates that Altisource will acquire from Ocwen (i) all of the capital stock of Beltline Road Insurance Agency, Inc., Power Default Services, Inc., Power REO Management Services, Inc. and Power Valuation Services, Inc., (ii) the Mortgage Asset Recovery Special Services Division of Stratus Asset Management Group, LLC, and (iii) certain designated intellectual property and information technology assets related to Homeward platform. The letter of intent for the ResCap fee-based businesses contemplates that Altisource will acquire from Ocwen certain fee-based businesses related to default management and charge-off services, designated intellectual property and information technology assets related to Ocwen’s purchase of ReCap’s mortgage servicing platform. In connection with the proposed transactions, Altisource and Ocwen will execute a five-year extension until 2025 of certain existing services agreements. Additionally, Ocwen will not develop similar fee-based services that would directly or indirectly compete with the services provided by Altisource to the Homeward and ResCap servicing portfolios. The proposed purchase price is subject to working capital and other adjustments, and consummation of the transactions is subject to a number of contingencies that are customary for a transaction of this nature, including various third party and regulatory consents and approvals.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year ended December 31, 2012, the Company generated revenues of $2.4 million under our agreements with Altisource, principally from fees for providing referral services to Altisource. We also paid expenses of $32.4 million to Altisource during 2012 principally for technology products and support services including the REAL suite of products that support our servicing business. At December 31, 2012, the net amount payable to Altisource was $7.2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Ocwen and HLSS Management, LLC, a wholly owned subsidiary of HLSS, entered into an agreement to provide to each other certain professional services including valuation analysis of potential mortgage servicing rights (“MSRs”) acquisitions, treasury management services and other similar services, legal, licensing and regulatory compliance support services, risk management services and other similar services.</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March 5, 2012, Ocwen completed an initial sale to HLSS of the right to receive the servicing fees, excluding ancillary income, relating to serviced loans (“Rights to MSRs”) with a UPB of approximately $15.2 billion. HLSS also assumed the related match funded liabilities. The final purchase price of approximately $138.8 million reflects post-closing adjustments that principally resulted from declines in match funded advances between February 28, 2012 and March 5, 2012. Ocwen Loan Servicing, LLC, a wholly-owned subsidiary of Ocwen also entered into a subservicing agreement with HLSS on February 10, 2012 under which it will subservice the MSRs after legal ownership of the MSRs has been transferred to HLSS. Ocwen has since completed five additional “flow” sales to HLSS of Rights to MSRs for approximately $67.5 billion of UPB and related servicing advances. In 2012, Ocwen received total proceeds of $3.1 billion from the flow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spacing w:after="0" w:line="264" w:lineRule="auto"/>
        <w:rPr>
          <w:sz w:val="20"/>
          <w:szCs w:val="20"/>
          <w:color w:val="auto"/>
        </w:rPr>
      </w:pPr>
      <w:r>
        <w:rPr>
          <w:rFonts w:ascii="Arial" w:cs="Arial" w:eastAsia="Arial" w:hAnsi="Arial"/>
          <w:sz w:val="18"/>
          <w:szCs w:val="18"/>
          <w:color w:val="auto"/>
        </w:rPr>
        <w:t>For the year ended December 31, 2012, the Company generated revenues of $0.2 million under our agreements with HLSS principally from transition billing. We also paid expenses of $2.4 million to HLSS during 2012 principally for transition billing. At December 31, 2012, the net amount payable to HLSS was $25.5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December 21, 2012, OMS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181"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On February 14, 2013, OLS sold a pool of non-performing residential mortgage loans to Altisource Residential, L.P. pursuant to a Master Mortgage Loan Sale Agreement. The aggregate purchase price for the pool of loans was $64.4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w:t>
      </w:r>
    </w:p>
    <w:p>
      <w:pPr>
        <w:spacing w:after="0" w:line="14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Homeward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27, 2012, Ocwen completed the merger of O&amp;H Acquisition Corp., a wholly-owned subsidiary of Ocwen, and Homeward Residential Holdings, Inc. (“Homeward”), substantially all of the outstanding stock of which was owned by certain private equity firms that are ultimately controlled by WL Ross &amp; Co. LLC (the “Funds”). Upon consummation of the merger, Homeward continued its existence as a wholly-owned subsidiary of Ocwen. In the merger, Ocwen acquired MSRs for approximately 421,000 residential mortgage loans with UPB of approximately $77 billion as well as Homeward’s existing origination platform and certain other ancillary businesses. As consideration for the merger, Ocwen paid an aggregate purchase price of approximately $766 million, of which approximately $604 million was paid in cash and $162 million was paid in 162,000 shares of Series A Perpetual Convertible Preferred Stock of Ocwen issued to the Funds, that will pay a dividend of 3.75% per annum on a quarterly basis (the “Preferred Shares”). Each Preferred Share, together with any accrued and unpaid dividends, may be converted into shares of Ocwen common stock at the option of the holder at a conversion price equal to $31.79. Mr. Ross, a director of Ocwen, is the Chairman and Chief Executive Officer of WL Ross &amp; Co. LLC and Invesco Private Capital, Inc. and the managing member of El Vedado, LLC, each of which directly or indirectly controls the Funds.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adjournment thereof, it is the intention of the management proxy holders to vote in accordance with their best judgment in our interest.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SHAREHOLDER PROPOSALS FOR 2014 ANNUAL MEETING</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next Annual Meeting of Shareholders, must be received by the Secretary of Ocwen no later than December 5, 2013. Such proposals should be directed to Ocwen Financial Corporation, Attention: Secretary, 1661 Worthington Road, Suite 100, West Palm Beach, Florida 33409.</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2014 Annual Meeting, we must receive written notice of the proposal or nomination no earlier than December 5, 2013 and no later than February 18, 2014, which notice must meet the requirements set forth in our Bylaws.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2014 proxy materials and notices of intent to present a proposal or nomination directly at the our 2014 Annual Meeting should be directed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2012 was mailed on or about April 3, 2013 to shareholders of record as of March 21, 2013.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2012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2012 annual report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and (3) for the approval, on an advisory basis, of the compensation of Ocwen’s named executive officers. Should any matter not described above be properly presented at the meeting, the persons named in the proxy form will vote in accordance with their judgment, unless otherwise restricted by law. As of the date of this proxy statement, management was not aware that any matters not referred to in this proxy statement would be presented for action at the 2013 Annual Meeting.</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(1) copy of this proxy statement and 2012 annual report to multiple shareholders who share an address, unless that nominee has received contrary instructions from one (1) or more of the shareholders. Shareholders at an address to which a single copy of this proxy statement and 2012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This proxy statement and our 2012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OCWEN FINANCIAL CORPORATION</w:t>
      </w:r>
    </w:p>
    <w:p>
      <w:pPr>
        <w:ind w:left="800"/>
        <w:spacing w:after="0" w:line="237" w:lineRule="auto"/>
        <w:rPr>
          <w:sz w:val="20"/>
          <w:szCs w:val="20"/>
          <w:color w:val="auto"/>
        </w:rPr>
      </w:pPr>
      <w:r>
        <w:rPr>
          <w:rFonts w:ascii="Arial" w:cs="Arial" w:eastAsia="Arial" w:hAnsi="Arial"/>
          <w:sz w:val="14"/>
          <w:szCs w:val="14"/>
          <w:b w:val="1"/>
          <w:bCs w:val="1"/>
          <w:i w:val="1"/>
          <w:iCs w:val="1"/>
          <w:color w:val="auto"/>
        </w:rPr>
        <w:t>1661 WORTHINGTON ROAD</w:t>
      </w:r>
    </w:p>
    <w:p>
      <w:pPr>
        <w:ind w:left="800"/>
        <w:spacing w:after="0" w:line="222" w:lineRule="auto"/>
        <w:rPr>
          <w:sz w:val="20"/>
          <w:szCs w:val="20"/>
          <w:color w:val="auto"/>
        </w:rPr>
      </w:pPr>
      <w:r>
        <w:rPr>
          <w:rFonts w:ascii="Arial" w:cs="Arial" w:eastAsia="Arial" w:hAnsi="Arial"/>
          <w:sz w:val="14"/>
          <w:szCs w:val="14"/>
          <w:b w:val="1"/>
          <w:bCs w:val="1"/>
          <w:i w:val="1"/>
          <w:iCs w:val="1"/>
          <w:color w:val="auto"/>
        </w:rPr>
        <w:t>SUITE 100</w:t>
      </w:r>
    </w:p>
    <w:p>
      <w:pPr>
        <w:ind w:left="800"/>
        <w:spacing w:after="0"/>
        <w:rPr>
          <w:sz w:val="20"/>
          <w:szCs w:val="20"/>
          <w:color w:val="auto"/>
        </w:rPr>
      </w:pPr>
      <w:r>
        <w:rPr>
          <w:rFonts w:ascii="Arial" w:cs="Arial" w:eastAsia="Arial" w:hAnsi="Arial"/>
          <w:sz w:val="14"/>
          <w:szCs w:val="14"/>
          <w:b w:val="1"/>
          <w:bCs w:val="1"/>
          <w:i w:val="1"/>
          <w:iCs w:val="1"/>
          <w:color w:val="auto"/>
        </w:rPr>
        <w:t>WEST PALM BEACH, FL  33409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-457835</wp:posOffset>
            </wp:positionV>
            <wp:extent cx="7248525" cy="5516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8525" cy="5516245"/>
                    </a:xfrm>
                    <a:prstGeom prst="rect">
                      <a:avLst/>
                    </a:prstGeom>
                    <a:noFill/>
                  </pic:spPr>
                </pic:pic>
              </a:graphicData>
            </a:graphic>
          </wp:anchor>
        </w:drawing>
      </w:r>
    </w:p>
    <w:p>
      <w:pPr>
        <w:ind w:right="900"/>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May 7, 2013. Have your proxy card in hand when you access the web site and follow the instructions to obtain your records and to create an electronic voting instruction form.</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800"/>
        <w:spacing w:after="0" w:line="24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84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7, 2013. Have your proxy card in hand when you call, and then follow the instructions.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80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600" w:space="720"/>
            <w:col w:w="5100"/>
          </w:cols>
          <w:pgMar w:left="240" w:top="123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64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CONTROL # à</w:t>
            </w:r>
          </w:p>
        </w:tc>
        <w:tc>
          <w:tcPr>
            <w:tcW w:w="1580" w:type="dxa"/>
            <w:vAlign w:val="bottom"/>
            <w:tcBorders>
              <w:top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000000000000</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tabs>
          <w:tab w:leader="none" w:pos="920" w:val="left"/>
          <w:tab w:leader="none" w:pos="1140" w:val="left"/>
          <w:tab w:leader="none" w:pos="1600" w:val="left"/>
        </w:tabs>
        <w:rPr>
          <w:sz w:val="20"/>
          <w:szCs w:val="20"/>
          <w:color w:val="auto"/>
        </w:rPr>
      </w:pPr>
      <w:r>
        <w:rPr>
          <w:rFonts w:ascii="Arial" w:cs="Arial" w:eastAsia="Arial" w:hAnsi="Arial"/>
          <w:sz w:val="12"/>
          <w:szCs w:val="12"/>
          <w:b w:val="1"/>
          <w:bCs w:val="1"/>
          <w:color w:val="auto"/>
        </w:rPr>
        <w:t>PAGE</w:t>
      </w:r>
      <w:r>
        <w:rPr>
          <w:sz w:val="20"/>
          <w:szCs w:val="20"/>
          <w:color w:val="auto"/>
        </w:rPr>
        <w:tab/>
      </w:r>
      <w:r>
        <w:rPr>
          <w:rFonts w:ascii="Arial" w:cs="Arial" w:eastAsia="Arial" w:hAnsi="Arial"/>
          <w:sz w:val="12"/>
          <w:szCs w:val="12"/>
          <w:b w:val="1"/>
          <w:bCs w:val="1"/>
          <w:color w:val="auto"/>
        </w:rPr>
        <w:t>1</w:t>
        <w:tab/>
        <w:t>OF</w:t>
      </w:r>
      <w:r>
        <w:rPr>
          <w:sz w:val="20"/>
          <w:szCs w:val="20"/>
          <w:color w:val="auto"/>
        </w:rPr>
        <w:tab/>
      </w:r>
      <w:r>
        <w:rPr>
          <w:rFonts w:ascii="Arial" w:cs="Arial" w:eastAsia="Arial" w:hAnsi="Arial"/>
          <w:sz w:val="10"/>
          <w:szCs w:val="10"/>
          <w:b w:val="1"/>
          <w:bCs w:val="1"/>
          <w:color w:val="auto"/>
        </w:rPr>
        <w:t>2</w:t>
      </w:r>
    </w:p>
    <w:p>
      <w:pPr>
        <w:spacing w:after="0" w:line="294" w:lineRule="exact"/>
        <w:rPr>
          <w:sz w:val="20"/>
          <w:szCs w:val="20"/>
          <w:color w:val="auto"/>
        </w:rPr>
      </w:pPr>
    </w:p>
    <w:p>
      <w:pPr>
        <w:ind w:left="2420"/>
        <w:spacing w:after="0"/>
        <w:rPr>
          <w:sz w:val="20"/>
          <w:szCs w:val="20"/>
          <w:color w:val="auto"/>
        </w:rPr>
      </w:pPr>
      <w:r>
        <w:rPr>
          <w:rFonts w:ascii="Arial" w:cs="Arial" w:eastAsia="Arial" w:hAnsi="Arial"/>
          <w:sz w:val="11"/>
          <w:szCs w:val="11"/>
          <w:color w:val="auto"/>
        </w:rPr>
        <w:t>KEEP THIS PORTION FOR YOUR RECORDS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93" w:lineRule="exact"/>
        <w:rPr>
          <w:sz w:val="20"/>
          <w:szCs w:val="20"/>
          <w:color w:val="auto"/>
        </w:rPr>
      </w:pPr>
    </w:p>
    <w:p>
      <w:pPr>
        <w:sectPr>
          <w:pgSz w:w="11900" w:h="16838" w:orient="portrait"/>
          <w:cols w:equalWidth="0" w:num="2">
            <w:col w:w="5800" w:space="720"/>
            <w:col w:w="4900"/>
          </w:cols>
          <w:pgMar w:left="240" w:top="1238" w:right="239" w:bottom="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178040" cy="4066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4066540"/>
                    </a:xfrm>
                    <a:prstGeom prst="rect">
                      <a:avLst/>
                    </a:prstGeom>
                    <a:noFill/>
                  </pic:spPr>
                </pic:pic>
              </a:graphicData>
            </a:graphic>
          </wp:anchor>
        </w:drawing>
      </w:r>
    </w:p>
    <w:p>
      <w:pPr>
        <w:sectPr>
          <w:pgSz w:w="11900" w:h="16838" w:orient="portrait"/>
          <w:cols w:equalWidth="0" w:num="1">
            <w:col w:w="11420"/>
          </w:cols>
          <w:pgMar w:left="240" w:top="1238" w:right="239" w:bottom="0" w:gutter="0" w:footer="0" w:header="0"/>
          <w:type w:val="continuous"/>
        </w:sectPr>
      </w:pPr>
    </w:p>
    <w:p>
      <w:pPr>
        <w:spacing w:after="0" w:line="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vMerge w:val="restart"/>
          </w:tcPr>
          <w:p>
            <w:pPr>
              <w:jc w:val="center"/>
              <w:ind w:left="1821"/>
              <w:spacing w:after="0"/>
              <w:rPr>
                <w:sz w:val="20"/>
                <w:szCs w:val="20"/>
                <w:color w:val="auto"/>
              </w:rPr>
            </w:pPr>
            <w:r>
              <w:rPr>
                <w:rFonts w:ascii="Arial" w:cs="Arial" w:eastAsia="Arial" w:hAnsi="Arial"/>
                <w:sz w:val="14"/>
                <w:szCs w:val="14"/>
                <w:b w:val="1"/>
                <w:bCs w:val="1"/>
                <w:color w:val="auto"/>
                <w:w w:val="97"/>
              </w:rPr>
              <w:t>For</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 All</w:t>
            </w:r>
          </w:p>
        </w:tc>
        <w:tc>
          <w:tcPr>
            <w:tcW w:w="2040" w:type="dxa"/>
            <w:vAlign w:val="bottom"/>
          </w:tcPr>
          <w:p>
            <w:pPr>
              <w:spacing w:after="0"/>
              <w:rPr>
                <w:sz w:val="20"/>
                <w:szCs w:val="20"/>
                <w:color w:val="auto"/>
              </w:rPr>
            </w:pPr>
            <w:r>
              <w:rPr>
                <w:rFonts w:ascii="Arial" w:cs="Arial" w:eastAsia="Arial" w:hAnsi="Arial"/>
                <w:sz w:val="14"/>
                <w:szCs w:val="14"/>
                <w:color w:val="auto"/>
              </w:rPr>
              <w:t>To withhold authority to vote for</w:t>
            </w: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40" w:type="dxa"/>
            <w:vAlign w:val="bottom"/>
          </w:tcPr>
          <w:p>
            <w:pPr>
              <w:spacing w:after="0" w:line="141" w:lineRule="exact"/>
              <w:rPr>
                <w:sz w:val="20"/>
                <w:szCs w:val="20"/>
                <w:color w:val="auto"/>
              </w:rPr>
            </w:pPr>
            <w:r>
              <w:rPr>
                <w:rFonts w:ascii="Arial" w:cs="Arial" w:eastAsia="Arial" w:hAnsi="Arial"/>
                <w:sz w:val="14"/>
                <w:szCs w:val="14"/>
                <w:color w:val="auto"/>
              </w:rPr>
              <w:t>any individual nominee(s), mark</w:t>
            </w: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0" w:type="dxa"/>
            <w:vAlign w:val="bottom"/>
          </w:tcPr>
          <w:p>
            <w:pPr>
              <w:jc w:val="center"/>
              <w:ind w:left="1821"/>
              <w:spacing w:after="0" w:line="157" w:lineRule="exact"/>
              <w:rPr>
                <w:sz w:val="20"/>
                <w:szCs w:val="20"/>
                <w:color w:val="auto"/>
              </w:rPr>
            </w:pPr>
            <w:r>
              <w:rPr>
                <w:rFonts w:ascii="Arial" w:cs="Arial" w:eastAsia="Arial" w:hAnsi="Arial"/>
                <w:sz w:val="14"/>
                <w:szCs w:val="14"/>
                <w:b w:val="1"/>
                <w:bCs w:val="1"/>
                <w:color w:val="auto"/>
              </w:rPr>
              <w:t>All</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All</w:t>
            </w:r>
          </w:p>
        </w:tc>
        <w:tc>
          <w:tcPr>
            <w:tcW w:w="66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Except</w:t>
            </w:r>
          </w:p>
        </w:tc>
        <w:tc>
          <w:tcPr>
            <w:tcW w:w="2040" w:type="dxa"/>
            <w:vAlign w:val="bottom"/>
          </w:tcPr>
          <w:p>
            <w:pPr>
              <w:spacing w:after="0" w:line="157" w:lineRule="exact"/>
              <w:rPr>
                <w:sz w:val="20"/>
                <w:szCs w:val="20"/>
                <w:color w:val="auto"/>
              </w:rPr>
            </w:pPr>
            <w:r>
              <w:rPr>
                <w:rFonts w:ascii="Arial" w:cs="Arial" w:eastAsia="Arial" w:hAnsi="Arial"/>
                <w:sz w:val="14"/>
                <w:szCs w:val="14"/>
                <w:color w:val="auto"/>
              </w:rPr>
              <w:t>“For All Except” and write the</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The Board of Directors recommends you vote</w:t>
            </w:r>
          </w:p>
        </w:tc>
        <w:tc>
          <w:tcPr>
            <w:tcW w:w="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w w:val="92"/>
              </w:rPr>
              <w:t>number(s) of the nominee(s) on the</w:t>
            </w:r>
          </w:p>
        </w:tc>
        <w:tc>
          <w:tcPr>
            <w:tcW w:w="0" w:type="dxa"/>
            <w:vAlign w:val="bottom"/>
          </w:tcPr>
          <w:p>
            <w:pPr>
              <w:spacing w:after="0"/>
              <w:rPr>
                <w:sz w:val="1"/>
                <w:szCs w:val="1"/>
                <w:color w:val="auto"/>
              </w:rPr>
            </w:pPr>
          </w:p>
        </w:tc>
      </w:tr>
      <w:tr>
        <w:trPr>
          <w:trHeight w:val="140"/>
        </w:trPr>
        <w:tc>
          <w:tcPr>
            <w:tcW w:w="31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vMerge w:val="restart"/>
          </w:tcPr>
          <w:p>
            <w:pPr>
              <w:jc w:val="center"/>
              <w:ind w:left="1821"/>
              <w:spacing w:after="0"/>
              <w:rPr>
                <w:sz w:val="20"/>
                <w:szCs w:val="20"/>
                <w:color w:val="auto"/>
              </w:rPr>
            </w:pPr>
            <w:r>
              <w:rPr>
                <w:rFonts w:ascii="Arial" w:cs="Arial" w:eastAsia="Arial" w:hAnsi="Arial"/>
                <w:sz w:val="22"/>
                <w:szCs w:val="22"/>
                <w:color w:val="auto"/>
                <w:w w:val="81"/>
              </w:rPr>
              <w:t>o</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o</w:t>
            </w:r>
          </w:p>
        </w:tc>
        <w:tc>
          <w:tcPr>
            <w:tcW w:w="660" w:type="dxa"/>
            <w:vAlign w:val="bottom"/>
            <w:vMerge w:val="restart"/>
          </w:tcPr>
          <w:p>
            <w:pPr>
              <w:jc w:val="right"/>
              <w:ind w:right="196"/>
              <w:spacing w:after="0"/>
              <w:rPr>
                <w:sz w:val="20"/>
                <w:szCs w:val="20"/>
                <w:color w:val="auto"/>
              </w:rPr>
            </w:pPr>
            <w:r>
              <w:rPr>
                <w:rFonts w:ascii="Arial" w:cs="Arial" w:eastAsia="Arial" w:hAnsi="Arial"/>
                <w:sz w:val="22"/>
                <w:szCs w:val="22"/>
                <w:color w:val="auto"/>
              </w:rPr>
              <w:t>o</w:t>
            </w:r>
          </w:p>
        </w:tc>
        <w:tc>
          <w:tcPr>
            <w:tcW w:w="2040" w:type="dxa"/>
            <w:vAlign w:val="bottom"/>
          </w:tcPr>
          <w:p>
            <w:pPr>
              <w:spacing w:after="0" w:line="141" w:lineRule="exact"/>
              <w:rPr>
                <w:sz w:val="20"/>
                <w:szCs w:val="20"/>
                <w:color w:val="auto"/>
              </w:rPr>
            </w:pPr>
            <w:r>
              <w:rPr>
                <w:rFonts w:ascii="Arial" w:cs="Arial" w:eastAsia="Arial" w:hAnsi="Arial"/>
                <w:sz w:val="14"/>
                <w:szCs w:val="14"/>
                <w:color w:val="auto"/>
              </w:rPr>
              <w:t>line below.</w:t>
            </w:r>
          </w:p>
        </w:tc>
        <w:tc>
          <w:tcPr>
            <w:tcW w:w="0" w:type="dxa"/>
            <w:vAlign w:val="bottom"/>
          </w:tcPr>
          <w:p>
            <w:pPr>
              <w:spacing w:after="0"/>
              <w:rPr>
                <w:sz w:val="1"/>
                <w:szCs w:val="1"/>
                <w:color w:val="auto"/>
              </w:rPr>
            </w:pP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FOR the following:</w:t>
            </w:r>
          </w:p>
        </w:tc>
        <w:tc>
          <w:tcPr>
            <w:tcW w:w="5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20" w:type="dxa"/>
            <w:vAlign w:val="bottom"/>
          </w:tcPr>
          <w:p>
            <w:pPr>
              <w:spacing w:after="0"/>
              <w:rPr>
                <w:sz w:val="20"/>
                <w:szCs w:val="20"/>
                <w:color w:val="auto"/>
              </w:rPr>
            </w:pPr>
            <w:r>
              <w:rPr>
                <w:rFonts w:ascii="Arial" w:cs="Arial" w:eastAsia="Arial" w:hAnsi="Arial"/>
                <w:sz w:val="14"/>
                <w:szCs w:val="14"/>
                <w:b w:val="1"/>
                <w:bCs w:val="1"/>
                <w:color w:val="auto"/>
              </w:rPr>
              <w:t>1.</w:t>
            </w:r>
          </w:p>
        </w:tc>
        <w:tc>
          <w:tcPr>
            <w:tcW w:w="2820" w:type="dxa"/>
            <w:vAlign w:val="bottom"/>
          </w:tcPr>
          <w:p>
            <w:pPr>
              <w:ind w:left="140"/>
              <w:spacing w:after="0"/>
              <w:rPr>
                <w:sz w:val="20"/>
                <w:szCs w:val="20"/>
                <w:color w:val="auto"/>
              </w:rPr>
            </w:pPr>
            <w:r>
              <w:rPr>
                <w:rFonts w:ascii="Arial" w:cs="Arial" w:eastAsia="Arial" w:hAnsi="Arial"/>
                <w:sz w:val="14"/>
                <w:szCs w:val="14"/>
                <w:color w:val="auto"/>
              </w:rPr>
              <w:t>Election of Directors</w:t>
            </w:r>
          </w:p>
        </w:tc>
        <w:tc>
          <w:tcPr>
            <w:tcW w:w="5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4"/>
                <w:szCs w:val="14"/>
                <w:b w:val="1"/>
                <w:bCs w:val="1"/>
                <w:color w:val="auto"/>
              </w:rPr>
              <w:t>Nominees</w:t>
            </w:r>
          </w:p>
        </w:tc>
        <w:tc>
          <w:tcPr>
            <w:tcW w:w="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0"/>
                <w:szCs w:val="20"/>
                <w:color w:val="auto"/>
              </w:rPr>
            </w:pPr>
            <w:r>
              <w:rPr>
                <w:rFonts w:ascii="Arial" w:cs="Arial" w:eastAsia="Arial" w:hAnsi="Arial"/>
                <w:sz w:val="14"/>
                <w:szCs w:val="14"/>
                <w:color w:val="auto"/>
              </w:rPr>
              <w:t>01</w:t>
            </w:r>
          </w:p>
        </w:tc>
        <w:tc>
          <w:tcPr>
            <w:tcW w:w="2820" w:type="dxa"/>
            <w:vAlign w:val="bottom"/>
          </w:tcPr>
          <w:p>
            <w:pPr>
              <w:ind w:left="140"/>
              <w:spacing w:after="0"/>
              <w:rPr>
                <w:sz w:val="20"/>
                <w:szCs w:val="20"/>
                <w:color w:val="auto"/>
              </w:rPr>
            </w:pPr>
            <w:r>
              <w:rPr>
                <w:rFonts w:ascii="Arial" w:cs="Arial" w:eastAsia="Arial" w:hAnsi="Arial"/>
                <w:sz w:val="14"/>
                <w:szCs w:val="14"/>
                <w:color w:val="auto"/>
              </w:rPr>
              <w:t>William C. Erbey</w:t>
            </w: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2200" w:type="dxa"/>
            <w:vAlign w:val="bottom"/>
          </w:tcPr>
          <w:p>
            <w:pPr>
              <w:ind w:left="60"/>
              <w:spacing w:after="0"/>
              <w:rPr>
                <w:sz w:val="20"/>
                <w:szCs w:val="20"/>
                <w:color w:val="auto"/>
              </w:rPr>
            </w:pPr>
            <w:r>
              <w:rPr>
                <w:rFonts w:ascii="Arial" w:cs="Arial" w:eastAsia="Arial" w:hAnsi="Arial"/>
                <w:sz w:val="14"/>
                <w:szCs w:val="14"/>
                <w:color w:val="auto"/>
              </w:rPr>
              <w:t>Ronald M. Faris</w:t>
            </w:r>
          </w:p>
        </w:tc>
        <w:tc>
          <w:tcPr>
            <w:tcW w:w="1460" w:type="dxa"/>
            <w:vAlign w:val="bottom"/>
            <w:gridSpan w:val="2"/>
          </w:tcPr>
          <w:p>
            <w:pPr>
              <w:jc w:val="right"/>
              <w:ind w:right="196"/>
              <w:spacing w:after="0"/>
              <w:rPr>
                <w:sz w:val="20"/>
                <w:szCs w:val="20"/>
                <w:color w:val="auto"/>
              </w:rPr>
            </w:pPr>
            <w:r>
              <w:rPr>
                <w:rFonts w:ascii="Arial" w:cs="Arial" w:eastAsia="Arial" w:hAnsi="Arial"/>
                <w:sz w:val="14"/>
                <w:szCs w:val="14"/>
                <w:color w:val="auto"/>
              </w:rPr>
              <w:t>03  Ronald J. Korn</w:t>
            </w:r>
          </w:p>
        </w:tc>
        <w:tc>
          <w:tcPr>
            <w:tcW w:w="2040" w:type="dxa"/>
            <w:vAlign w:val="bottom"/>
          </w:tcPr>
          <w:p>
            <w:pPr>
              <w:ind w:left="440"/>
              <w:spacing w:after="0"/>
              <w:rPr>
                <w:sz w:val="20"/>
                <w:szCs w:val="20"/>
                <w:color w:val="auto"/>
              </w:rPr>
            </w:pPr>
            <w:r>
              <w:rPr>
                <w:rFonts w:ascii="Arial" w:cs="Arial" w:eastAsia="Arial" w:hAnsi="Arial"/>
                <w:sz w:val="14"/>
                <w:szCs w:val="14"/>
                <w:color w:val="auto"/>
              </w:rPr>
              <w:t>04  William H. Lacy</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rPr>
              <w:t>06</w:t>
            </w:r>
          </w:p>
        </w:tc>
        <w:tc>
          <w:tcPr>
            <w:tcW w:w="2820" w:type="dxa"/>
            <w:vAlign w:val="bottom"/>
          </w:tcPr>
          <w:p>
            <w:pPr>
              <w:ind w:left="140"/>
              <w:spacing w:after="0"/>
              <w:rPr>
                <w:sz w:val="20"/>
                <w:szCs w:val="20"/>
                <w:color w:val="auto"/>
              </w:rPr>
            </w:pPr>
            <w:r>
              <w:rPr>
                <w:rFonts w:ascii="Arial" w:cs="Arial" w:eastAsia="Arial" w:hAnsi="Arial"/>
                <w:sz w:val="14"/>
                <w:szCs w:val="14"/>
                <w:color w:val="auto"/>
              </w:rPr>
              <w:t>Robert A. Salcetti</w:t>
            </w:r>
          </w:p>
        </w:tc>
        <w:tc>
          <w:tcPr>
            <w:tcW w:w="520" w:type="dxa"/>
            <w:vAlign w:val="bottom"/>
          </w:tcPr>
          <w:p>
            <w:pPr>
              <w:jc w:val="right"/>
              <w:spacing w:after="0"/>
              <w:rPr>
                <w:sz w:val="20"/>
                <w:szCs w:val="20"/>
                <w:color w:val="auto"/>
              </w:rPr>
            </w:pPr>
            <w:r>
              <w:rPr>
                <w:rFonts w:ascii="Arial" w:cs="Arial" w:eastAsia="Arial" w:hAnsi="Arial"/>
                <w:sz w:val="14"/>
                <w:szCs w:val="14"/>
                <w:color w:val="auto"/>
              </w:rPr>
              <w:t>07</w:t>
            </w:r>
          </w:p>
        </w:tc>
        <w:tc>
          <w:tcPr>
            <w:tcW w:w="2200" w:type="dxa"/>
            <w:vAlign w:val="bottom"/>
          </w:tcPr>
          <w:p>
            <w:pPr>
              <w:ind w:left="60"/>
              <w:spacing w:after="0"/>
              <w:rPr>
                <w:sz w:val="20"/>
                <w:szCs w:val="20"/>
                <w:color w:val="auto"/>
              </w:rPr>
            </w:pPr>
            <w:r>
              <w:rPr>
                <w:rFonts w:ascii="Arial" w:cs="Arial" w:eastAsia="Arial" w:hAnsi="Arial"/>
                <w:sz w:val="14"/>
                <w:szCs w:val="14"/>
                <w:color w:val="auto"/>
              </w:rPr>
              <w:t>Barry N. Wish</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40" w:lineRule="exact"/>
        <w:rPr>
          <w:sz w:val="20"/>
          <w:szCs w:val="20"/>
          <w:color w:val="auto"/>
        </w:rPr>
      </w:pPr>
    </w:p>
    <w:p>
      <w:pPr>
        <w:ind w:left="580" w:right="80" w:hanging="450"/>
        <w:spacing w:after="0" w:line="253" w:lineRule="auto"/>
        <w:tabs>
          <w:tab w:leader="none" w:pos="580" w:val="left"/>
        </w:tabs>
        <w:numPr>
          <w:ilvl w:val="0"/>
          <w:numId w:val="30"/>
        </w:numPr>
        <w:rPr>
          <w:rFonts w:ascii="Arial" w:cs="Arial" w:eastAsia="Arial" w:hAnsi="Arial"/>
          <w:sz w:val="14"/>
          <w:szCs w:val="14"/>
          <w:b w:val="1"/>
          <w:bCs w:val="1"/>
          <w:color w:val="auto"/>
        </w:rPr>
      </w:pPr>
      <w:r>
        <w:rPr>
          <w:rFonts w:ascii="Arial" w:cs="Arial" w:eastAsia="Arial" w:hAnsi="Arial"/>
          <w:sz w:val="14"/>
          <w:szCs w:val="14"/>
          <w:color w:val="auto"/>
        </w:rPr>
        <w:t>Ratification of the appointment of Deloitte &amp; Touche LLP as Ocwen Financial Corporation’s independent registered public accounting firm for the fiscal year ending December 31, 2013</w:t>
      </w:r>
    </w:p>
    <w:p>
      <w:pPr>
        <w:spacing w:after="0" w:line="106" w:lineRule="exact"/>
        <w:rPr>
          <w:rFonts w:ascii="Arial" w:cs="Arial" w:eastAsia="Arial" w:hAnsi="Arial"/>
          <w:sz w:val="14"/>
          <w:szCs w:val="14"/>
          <w:b w:val="1"/>
          <w:bCs w:val="1"/>
          <w:color w:val="auto"/>
        </w:rPr>
      </w:pPr>
    </w:p>
    <w:p>
      <w:pPr>
        <w:ind w:left="580" w:hanging="450"/>
        <w:spacing w:after="0"/>
        <w:tabs>
          <w:tab w:leader="none" w:pos="580" w:val="left"/>
        </w:tabs>
        <w:numPr>
          <w:ilvl w:val="0"/>
          <w:numId w:val="30"/>
        </w:numPr>
        <w:rPr>
          <w:rFonts w:ascii="Arial" w:cs="Arial" w:eastAsia="Arial" w:hAnsi="Arial"/>
          <w:sz w:val="14"/>
          <w:szCs w:val="14"/>
          <w:b w:val="1"/>
          <w:bCs w:val="1"/>
          <w:color w:val="auto"/>
        </w:rPr>
      </w:pPr>
      <w:r>
        <w:rPr>
          <w:rFonts w:ascii="Arial" w:cs="Arial" w:eastAsia="Arial" w:hAnsi="Arial"/>
          <w:sz w:val="14"/>
          <w:szCs w:val="14"/>
          <w:color w:val="auto"/>
        </w:rPr>
        <w:t>Approval, on an advisory basis, of the compensation of the named executive officers, as disclosed in the accompanying proxy statement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81"/>
          <w:szCs w:val="81"/>
          <w:color w:val="auto"/>
        </w:rPr>
        <w:t xml:space="preserve">o </w:t>
      </w:r>
      <w:r>
        <w:rPr>
          <w:sz w:val="1"/>
          <w:szCs w:val="1"/>
          <w:color w:val="auto"/>
        </w:rPr>
        <w:drawing>
          <wp:inline distT="0" distB="0" distL="0" distR="0">
            <wp:extent cx="462915" cy="26606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2915" cy="266065"/>
                    </a:xfrm>
                    <a:prstGeom prst="rect">
                      <a:avLst/>
                    </a:prstGeom>
                    <a:noFill/>
                    <a:ln>
                      <a:noFill/>
                    </a:ln>
                  </pic:spPr>
                </pic:pic>
              </a:graphicData>
            </a:graphic>
          </wp:inline>
        </w:drawing>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4"/>
          <w:szCs w:val="14"/>
          <w:color w:val="auto"/>
        </w:rPr>
        <w:t>05</w:t>
      </w:r>
      <w:r>
        <w:rPr>
          <w:sz w:val="20"/>
          <w:szCs w:val="20"/>
          <w:color w:val="auto"/>
        </w:rPr>
        <w:tab/>
      </w:r>
      <w:r>
        <w:rPr>
          <w:rFonts w:ascii="Arial" w:cs="Arial" w:eastAsia="Arial" w:hAnsi="Arial"/>
          <w:sz w:val="13"/>
          <w:szCs w:val="13"/>
          <w:color w:val="auto"/>
        </w:rPr>
        <w:t>Wilbur L. Ross, Jr.</w:t>
      </w:r>
    </w:p>
    <w:p>
      <w:pPr>
        <w:spacing w:after="0" w:line="281"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3"/>
          <w:szCs w:val="13"/>
          <w:b w:val="1"/>
          <w:bCs w:val="1"/>
          <w:color w:val="auto"/>
        </w:rPr>
        <w:t>For</w:t>
        <w:tab/>
        <w:t>Against Abstain</w:t>
      </w:r>
    </w:p>
    <w:p>
      <w:pPr>
        <w:spacing w:after="0" w:line="149" w:lineRule="exact"/>
        <w:rPr>
          <w:sz w:val="20"/>
          <w:szCs w:val="20"/>
          <w:color w:val="auto"/>
        </w:rPr>
      </w:pPr>
    </w:p>
    <w:p>
      <w:pPr>
        <w:ind w:left="140"/>
        <w:spacing w:after="0"/>
        <w:tabs>
          <w:tab w:leader="none" w:pos="640" w:val="left"/>
          <w:tab w:leader="none" w:pos="120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21"/>
          <w:szCs w:val="21"/>
          <w:color w:val="auto"/>
        </w:rPr>
        <w:t>o</w:t>
      </w:r>
    </w:p>
    <w:p>
      <w:pPr>
        <w:spacing w:after="0" w:line="193" w:lineRule="exact"/>
        <w:rPr>
          <w:sz w:val="20"/>
          <w:szCs w:val="20"/>
          <w:color w:val="auto"/>
        </w:rPr>
      </w:pPr>
    </w:p>
    <w:p>
      <w:pPr>
        <w:ind w:left="140"/>
        <w:spacing w:after="0"/>
        <w:tabs>
          <w:tab w:leader="none" w:pos="640" w:val="left"/>
          <w:tab w:leader="none" w:pos="120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21"/>
          <w:szCs w:val="21"/>
          <w:color w:val="auto"/>
        </w:rPr>
        <w:t>o</w:t>
      </w:r>
    </w:p>
    <w:p>
      <w:pPr>
        <w:spacing w:after="0" w:line="565" w:lineRule="exact"/>
        <w:rPr>
          <w:sz w:val="20"/>
          <w:szCs w:val="20"/>
          <w:color w:val="auto"/>
        </w:rPr>
      </w:pPr>
    </w:p>
    <w:p>
      <w:pPr>
        <w:sectPr>
          <w:pgSz w:w="11900" w:h="16838" w:orient="portrait"/>
          <w:cols w:equalWidth="0" w:num="2">
            <w:col w:w="9480" w:space="280"/>
            <w:col w:w="1660"/>
          </w:cols>
          <w:pgMar w:left="240" w:top="1238"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address change/comments, mark here.</w:t>
      </w:r>
    </w:p>
    <w:p>
      <w:pPr>
        <w:ind w:left="120"/>
        <w:spacing w:after="0"/>
        <w:rPr>
          <w:sz w:val="20"/>
          <w:szCs w:val="20"/>
          <w:color w:val="auto"/>
        </w:rPr>
      </w:pPr>
      <w:r>
        <w:rPr>
          <w:rFonts w:ascii="Arial" w:cs="Arial" w:eastAsia="Arial" w:hAnsi="Arial"/>
          <w:sz w:val="14"/>
          <w:szCs w:val="14"/>
          <w:color w:val="auto"/>
        </w:rPr>
        <w:t>(see reverse for instructions)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indicate if you plan to attend this meeting</w:t>
      </w:r>
    </w:p>
    <w:p>
      <w:pPr>
        <w:spacing w:after="0" w:line="285" w:lineRule="exact"/>
        <w:rPr>
          <w:sz w:val="20"/>
          <w:szCs w:val="20"/>
          <w:color w:val="auto"/>
        </w:rPr>
      </w:pPr>
    </w:p>
    <w:p>
      <w:pPr>
        <w:ind w:left="120"/>
        <w:spacing w:after="0" w:line="234" w:lineRule="auto"/>
        <w:rPr>
          <w:sz w:val="20"/>
          <w:szCs w:val="20"/>
          <w:color w:val="auto"/>
        </w:rPr>
      </w:pPr>
      <w:r>
        <w:rPr>
          <w:rFonts w:ascii="Arial" w:cs="Arial" w:eastAsia="Arial" w:hAnsi="Arial"/>
          <w:sz w:val="14"/>
          <w:szCs w:val="14"/>
          <w:color w:val="auto"/>
        </w:rPr>
        <w:t>Please sign exactly as your name(s) appear(s) on this proxy. When signing as attorney, executor, administrator, or other fiduciary, please give full title as such. Joint owners should each sign personally. All holders must sign. If a corporation or partnership, please sign in full corporate or in partnership name, by authorized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o</w:t>
      </w:r>
    </w:p>
    <w:p>
      <w:pPr>
        <w:spacing w:after="0" w:line="5"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b w:val="1"/>
          <w:bCs w:val="1"/>
          <w:color w:val="auto"/>
        </w:rPr>
        <w:t>Yes</w:t>
        <w:tab/>
        <w:t>No</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ectPr>
          <w:pgSz w:w="11900" w:h="16838" w:orient="portrait"/>
          <w:cols w:equalWidth="0" w:num="2">
            <w:col w:w="5800" w:space="240"/>
            <w:col w:w="5380"/>
          </w:cols>
          <w:pgMar w:left="240" w:top="1238" w:right="239"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40" w:type="dxa"/>
            <w:vAlign w:val="bottom"/>
            <w:tcBorders>
              <w:right w:val="single" w:sz="8" w:color="auto"/>
            </w:tcBorders>
          </w:tcPr>
          <w:p>
            <w:pPr>
              <w:spacing w:after="0"/>
              <w:rPr>
                <w:sz w:val="18"/>
                <w:szCs w:val="18"/>
                <w:color w:val="auto"/>
              </w:rPr>
            </w:pPr>
          </w:p>
        </w:tc>
        <w:tc>
          <w:tcPr>
            <w:tcW w:w="3840" w:type="dxa"/>
            <w:vAlign w:val="bottom"/>
            <w:tcBorders>
              <w:bottom w:val="single" w:sz="8" w:color="auto"/>
              <w:right w:val="single" w:sz="8" w:color="EFEFEF"/>
            </w:tcBorders>
            <w:shd w:val="clear" w:color="auto" w:fill="EFEFEF"/>
          </w:tcPr>
          <w:p>
            <w:pPr>
              <w:spacing w:after="0"/>
              <w:rPr>
                <w:sz w:val="18"/>
                <w:szCs w:val="18"/>
                <w:color w:val="auto"/>
              </w:rPr>
            </w:pPr>
          </w:p>
        </w:tc>
        <w:tc>
          <w:tcPr>
            <w:tcW w:w="1660" w:type="dxa"/>
            <w:vAlign w:val="bottom"/>
            <w:tcBorders>
              <w:bottom w:val="single" w:sz="8" w:color="auto"/>
              <w:right w:val="single" w:sz="8" w:color="EFEFEF"/>
            </w:tcBorders>
            <w:shd w:val="clear" w:color="auto" w:fill="EFEFEF"/>
          </w:tcPr>
          <w:p>
            <w:pPr>
              <w:spacing w:after="0"/>
              <w:rPr>
                <w:sz w:val="18"/>
                <w:szCs w:val="18"/>
                <w:color w:val="auto"/>
              </w:rPr>
            </w:pPr>
          </w:p>
        </w:tc>
        <w:tc>
          <w:tcPr>
            <w:tcW w:w="400" w:type="dxa"/>
            <w:vAlign w:val="bottom"/>
            <w:tcBorders>
              <w:bottom w:val="single" w:sz="8" w:color="EFEFEF"/>
            </w:tcBorders>
            <w:shd w:val="clear" w:color="auto" w:fill="EFEFEF"/>
          </w:tcPr>
          <w:p>
            <w:pPr>
              <w:spacing w:after="0"/>
              <w:rPr>
                <w:sz w:val="18"/>
                <w:szCs w:val="18"/>
                <w:color w:val="auto"/>
              </w:rPr>
            </w:pPr>
          </w:p>
        </w:tc>
        <w:tc>
          <w:tcPr>
            <w:tcW w:w="1400" w:type="dxa"/>
            <w:vAlign w:val="bottom"/>
            <w:tcBorders>
              <w:bottom w:val="single" w:sz="8" w:color="EFEFEF"/>
            </w:tcBorders>
            <w:shd w:val="clear" w:color="auto" w:fill="EFEFEF"/>
          </w:tcPr>
          <w:p>
            <w:pPr>
              <w:spacing w:after="0"/>
              <w:rPr>
                <w:sz w:val="18"/>
                <w:szCs w:val="18"/>
                <w:color w:val="auto"/>
              </w:rPr>
            </w:pPr>
          </w:p>
        </w:tc>
        <w:tc>
          <w:tcPr>
            <w:tcW w:w="1740" w:type="dxa"/>
            <w:vAlign w:val="bottom"/>
            <w:tcBorders>
              <w:left w:val="single" w:sz="8" w:color="EFEFEF"/>
              <w:bottom w:val="single" w:sz="8" w:color="auto"/>
            </w:tcBorders>
            <w:shd w:val="clear" w:color="auto" w:fill="EFEFEF"/>
          </w:tcPr>
          <w:p>
            <w:pPr>
              <w:spacing w:after="0"/>
              <w:rPr>
                <w:sz w:val="18"/>
                <w:szCs w:val="18"/>
                <w:color w:val="auto"/>
              </w:rPr>
            </w:pPr>
          </w:p>
        </w:tc>
        <w:tc>
          <w:tcPr>
            <w:tcW w:w="320" w:type="dxa"/>
            <w:vAlign w:val="bottom"/>
            <w:tcBorders>
              <w:bottom w:val="single" w:sz="8" w:color="auto"/>
              <w:right w:val="single" w:sz="8" w:color="EFEFEF"/>
            </w:tcBorders>
            <w:shd w:val="clear" w:color="auto" w:fill="EFEFEF"/>
          </w:tcPr>
          <w:p>
            <w:pPr>
              <w:spacing w:after="0"/>
              <w:rPr>
                <w:sz w:val="18"/>
                <w:szCs w:val="18"/>
                <w:color w:val="auto"/>
              </w:rPr>
            </w:pPr>
          </w:p>
        </w:tc>
        <w:tc>
          <w:tcPr>
            <w:tcW w:w="680" w:type="dxa"/>
            <w:vAlign w:val="bottom"/>
            <w:tcBorders>
              <w:bottom w:val="single" w:sz="8" w:color="auto"/>
              <w:right w:val="single" w:sz="8" w:color="EFEFEF"/>
            </w:tcBorders>
            <w:shd w:val="clear" w:color="auto" w:fill="EFEFEF"/>
          </w:tcPr>
          <w:p>
            <w:pPr>
              <w:spacing w:after="0"/>
              <w:rPr>
                <w:sz w:val="18"/>
                <w:szCs w:val="18"/>
                <w:color w:val="auto"/>
              </w:rPr>
            </w:pPr>
          </w:p>
        </w:tc>
        <w:tc>
          <w:tcPr>
            <w:tcW w:w="1200" w:type="dxa"/>
            <w:vAlign w:val="bottom"/>
            <w:tcBorders>
              <w:bottom w:val="single" w:sz="8" w:color="EFEFEF"/>
              <w:right w:val="single" w:sz="8" w:color="auto"/>
            </w:tcBorders>
            <w:shd w:val="clear" w:color="auto" w:fill="EFEFEF"/>
          </w:tcPr>
          <w:p>
            <w:pPr>
              <w:jc w:val="right"/>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shd w:val="clear" w:color="auto" w:fill="EFEFEF"/>
          </w:tcPr>
          <w:p>
            <w:pPr>
              <w:spacing w:after="0"/>
              <w:rPr>
                <w:sz w:val="17"/>
                <w:szCs w:val="17"/>
                <w:color w:val="auto"/>
              </w:rPr>
            </w:pPr>
          </w:p>
        </w:tc>
        <w:tc>
          <w:tcPr>
            <w:tcW w:w="1660" w:type="dxa"/>
            <w:vAlign w:val="bottom"/>
            <w:tcBorders>
              <w:right w:val="single" w:sz="8" w:color="auto"/>
            </w:tcBorders>
            <w:shd w:val="clear" w:color="auto" w:fill="EFEFEF"/>
          </w:tcPr>
          <w:p>
            <w:pPr>
              <w:spacing w:after="0"/>
              <w:rPr>
                <w:sz w:val="17"/>
                <w:szCs w:val="17"/>
                <w:color w:val="auto"/>
              </w:rPr>
            </w:pPr>
          </w:p>
        </w:tc>
        <w:tc>
          <w:tcPr>
            <w:tcW w:w="400" w:type="dxa"/>
            <w:vAlign w:val="bottom"/>
            <w:shd w:val="clear" w:color="auto" w:fill="EFEFEF"/>
          </w:tcPr>
          <w:p>
            <w:pPr>
              <w:spacing w:after="0"/>
              <w:rPr>
                <w:sz w:val="17"/>
                <w:szCs w:val="17"/>
                <w:color w:val="auto"/>
              </w:rPr>
            </w:pPr>
          </w:p>
        </w:tc>
        <w:tc>
          <w:tcPr>
            <w:tcW w:w="1400" w:type="dxa"/>
            <w:vAlign w:val="bottom"/>
            <w:shd w:val="clear" w:color="auto" w:fill="EFEFEF"/>
          </w:tcPr>
          <w:p>
            <w:pPr>
              <w:spacing w:after="0"/>
              <w:rPr>
                <w:sz w:val="17"/>
                <w:szCs w:val="17"/>
                <w:color w:val="auto"/>
              </w:rPr>
            </w:pPr>
          </w:p>
        </w:tc>
        <w:tc>
          <w:tcPr>
            <w:tcW w:w="1740" w:type="dxa"/>
            <w:vAlign w:val="bottom"/>
            <w:tcBorders>
              <w:left w:val="single" w:sz="8" w:color="auto"/>
            </w:tcBorders>
            <w:shd w:val="clear" w:color="auto" w:fill="EFEFEF"/>
          </w:tcPr>
          <w:p>
            <w:pPr>
              <w:spacing w:after="0"/>
              <w:rPr>
                <w:sz w:val="17"/>
                <w:szCs w:val="17"/>
                <w:color w:val="auto"/>
              </w:rPr>
            </w:pPr>
          </w:p>
        </w:tc>
        <w:tc>
          <w:tcPr>
            <w:tcW w:w="320" w:type="dxa"/>
            <w:vAlign w:val="bottom"/>
            <w:tcBorders>
              <w:right w:val="single" w:sz="8" w:color="auto"/>
            </w:tcBorders>
            <w:shd w:val="clear" w:color="auto" w:fill="EFEFEF"/>
          </w:tcPr>
          <w:p>
            <w:pPr>
              <w:spacing w:after="0"/>
              <w:rPr>
                <w:sz w:val="17"/>
                <w:szCs w:val="17"/>
                <w:color w:val="auto"/>
              </w:rPr>
            </w:pPr>
          </w:p>
        </w:tc>
        <w:tc>
          <w:tcPr>
            <w:tcW w:w="680" w:type="dxa"/>
            <w:vAlign w:val="bottom"/>
            <w:tcBorders>
              <w:right w:val="single" w:sz="8" w:color="auto"/>
            </w:tcBorders>
            <w:shd w:val="clear" w:color="auto" w:fill="EFEFEF"/>
          </w:tcPr>
          <w:p>
            <w:pPr>
              <w:spacing w:after="0"/>
              <w:rPr>
                <w:sz w:val="17"/>
                <w:szCs w:val="17"/>
                <w:color w:val="auto"/>
              </w:rPr>
            </w:pPr>
          </w:p>
        </w:tc>
        <w:tc>
          <w:tcPr>
            <w:tcW w:w="1200" w:type="dxa"/>
            <w:vAlign w:val="bottom"/>
            <w:tcBorders>
              <w:right w:val="single" w:sz="8" w:color="auto"/>
            </w:tcBorders>
            <w:shd w:val="clear" w:color="auto" w:fill="EFEFEF"/>
          </w:tcPr>
          <w:p>
            <w:pPr>
              <w:jc w:val="right"/>
              <w:spacing w:after="0" w:line="196" w:lineRule="exact"/>
              <w:rPr>
                <w:sz w:val="20"/>
                <w:szCs w:val="20"/>
                <w:color w:val="auto"/>
              </w:rPr>
            </w:pPr>
            <w:r>
              <w:rPr>
                <w:rFonts w:ascii="Arial" w:cs="Arial" w:eastAsia="Arial" w:hAnsi="Arial"/>
                <w:sz w:val="18"/>
                <w:szCs w:val="18"/>
                <w:b w:val="1"/>
                <w:bCs w:val="1"/>
                <w:color w:val="auto"/>
              </w:rPr>
              <w:t>CUSIP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shd w:val="clear" w:color="auto" w:fill="EFEFEF"/>
          </w:tcPr>
          <w:p>
            <w:pPr>
              <w:spacing w:after="0"/>
              <w:rPr>
                <w:sz w:val="17"/>
                <w:szCs w:val="17"/>
                <w:color w:val="auto"/>
              </w:rPr>
            </w:pPr>
          </w:p>
        </w:tc>
        <w:tc>
          <w:tcPr>
            <w:tcW w:w="1660" w:type="dxa"/>
            <w:vAlign w:val="bottom"/>
            <w:tcBorders>
              <w:bottom w:val="single" w:sz="8" w:color="auto"/>
              <w:right w:val="single" w:sz="8" w:color="auto"/>
            </w:tcBorders>
            <w:shd w:val="clear" w:color="auto" w:fill="EFEFEF"/>
          </w:tcPr>
          <w:p>
            <w:pPr>
              <w:spacing w:after="0"/>
              <w:rPr>
                <w:sz w:val="17"/>
                <w:szCs w:val="17"/>
                <w:color w:val="auto"/>
              </w:rPr>
            </w:pPr>
          </w:p>
        </w:tc>
        <w:tc>
          <w:tcPr>
            <w:tcW w:w="400" w:type="dxa"/>
            <w:vAlign w:val="bottom"/>
            <w:tcBorders>
              <w:bottom w:val="single" w:sz="8" w:color="EFEFEF"/>
            </w:tcBorders>
            <w:shd w:val="clear" w:color="auto" w:fill="EFEFEF"/>
          </w:tcPr>
          <w:p>
            <w:pPr>
              <w:spacing w:after="0"/>
              <w:rPr>
                <w:sz w:val="17"/>
                <w:szCs w:val="17"/>
                <w:color w:val="auto"/>
              </w:rPr>
            </w:pPr>
          </w:p>
        </w:tc>
        <w:tc>
          <w:tcPr>
            <w:tcW w:w="1400" w:type="dxa"/>
            <w:vAlign w:val="bottom"/>
            <w:tcBorders>
              <w:bottom w:val="single" w:sz="8" w:color="EFEFEF"/>
            </w:tcBorders>
            <w:vMerge w:val="restart"/>
            <w:shd w:val="clear" w:color="auto" w:fill="EFEFEF"/>
          </w:tcPr>
          <w:p>
            <w:pPr>
              <w:ind w:left="260"/>
              <w:spacing w:after="0"/>
              <w:rPr>
                <w:sz w:val="20"/>
                <w:szCs w:val="20"/>
                <w:color w:val="auto"/>
              </w:rPr>
            </w:pPr>
            <w:r>
              <w:rPr>
                <w:rFonts w:ascii="Arial" w:cs="Arial" w:eastAsia="Arial" w:hAnsi="Arial"/>
                <w:sz w:val="18"/>
                <w:szCs w:val="18"/>
                <w:b w:val="1"/>
                <w:bCs w:val="1"/>
                <w:color w:val="auto"/>
              </w:rPr>
              <w:t>JOB #</w:t>
            </w:r>
          </w:p>
        </w:tc>
        <w:tc>
          <w:tcPr>
            <w:tcW w:w="1740" w:type="dxa"/>
            <w:vAlign w:val="bottom"/>
            <w:tcBorders>
              <w:left w:val="single" w:sz="8" w:color="auto"/>
              <w:bottom w:val="single" w:sz="8" w:color="auto"/>
            </w:tcBorders>
            <w:shd w:val="clear" w:color="auto" w:fill="EFEFEF"/>
          </w:tcPr>
          <w:p>
            <w:pPr>
              <w:spacing w:after="0"/>
              <w:rPr>
                <w:sz w:val="17"/>
                <w:szCs w:val="17"/>
                <w:color w:val="auto"/>
              </w:rPr>
            </w:pPr>
          </w:p>
        </w:tc>
        <w:tc>
          <w:tcPr>
            <w:tcW w:w="320" w:type="dxa"/>
            <w:vAlign w:val="bottom"/>
            <w:tcBorders>
              <w:bottom w:val="single" w:sz="8" w:color="auto"/>
              <w:right w:val="single" w:sz="8" w:color="auto"/>
            </w:tcBorders>
            <w:shd w:val="clear" w:color="auto" w:fill="EFEFEF"/>
          </w:tcPr>
          <w:p>
            <w:pPr>
              <w:spacing w:after="0"/>
              <w:rPr>
                <w:sz w:val="17"/>
                <w:szCs w:val="17"/>
                <w:color w:val="auto"/>
              </w:rPr>
            </w:pPr>
          </w:p>
        </w:tc>
        <w:tc>
          <w:tcPr>
            <w:tcW w:w="680" w:type="dxa"/>
            <w:vAlign w:val="bottom"/>
            <w:tcBorders>
              <w:bottom w:val="single" w:sz="8" w:color="auto"/>
              <w:right w:val="single" w:sz="8" w:color="auto"/>
            </w:tcBorders>
            <w:shd w:val="clear" w:color="auto" w:fill="EFEFEF"/>
          </w:tcPr>
          <w:p>
            <w:pPr>
              <w:spacing w:after="0"/>
              <w:rPr>
                <w:sz w:val="17"/>
                <w:szCs w:val="17"/>
                <w:color w:val="auto"/>
              </w:rPr>
            </w:pPr>
          </w:p>
        </w:tc>
        <w:tc>
          <w:tcPr>
            <w:tcW w:w="1200" w:type="dxa"/>
            <w:vAlign w:val="bottom"/>
            <w:tcBorders>
              <w:bottom w:val="single" w:sz="8" w:color="EFEFEF"/>
              <w:right w:val="single" w:sz="8" w:color="auto"/>
            </w:tcBorders>
            <w:shd w:val="clear" w:color="auto" w:fill="EFEFEF"/>
          </w:tcPr>
          <w:p>
            <w:pPr>
              <w:jc w:val="right"/>
              <w:spacing w:after="0" w:line="202" w:lineRule="exact"/>
              <w:rPr>
                <w:sz w:val="20"/>
                <w:szCs w:val="20"/>
                <w:color w:val="auto"/>
              </w:rPr>
            </w:pPr>
            <w:r>
              <w:rPr>
                <w:rFonts w:ascii="Arial" w:cs="Arial" w:eastAsia="Arial" w:hAnsi="Arial"/>
                <w:sz w:val="18"/>
                <w:szCs w:val="18"/>
                <w:b w:val="1"/>
                <w:bCs w:val="1"/>
                <w:color w:val="auto"/>
                <w:w w:val="94"/>
              </w:rPr>
              <w:t>SEQUENCE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3840" w:type="dxa"/>
            <w:vAlign w:val="bottom"/>
            <w:tcBorders>
              <w:bottom w:val="single" w:sz="8" w:color="auto"/>
              <w:right w:val="single" w:sz="8" w:color="EFEFEF"/>
            </w:tcBorders>
            <w:shd w:val="clear" w:color="auto" w:fill="EFEFEF"/>
          </w:tcPr>
          <w:p>
            <w:pPr>
              <w:spacing w:after="0"/>
              <w:rPr>
                <w:sz w:val="20"/>
                <w:szCs w:val="20"/>
                <w:color w:val="auto"/>
              </w:rPr>
            </w:pPr>
            <w:r>
              <w:rPr>
                <w:rFonts w:ascii="Arial" w:cs="Arial" w:eastAsia="Arial" w:hAnsi="Arial"/>
                <w:sz w:val="14"/>
                <w:szCs w:val="14"/>
                <w:color w:val="auto"/>
              </w:rPr>
              <w:t>Signature [PLEASE SIGN WITHIN BOX]</w:t>
            </w:r>
          </w:p>
        </w:tc>
        <w:tc>
          <w:tcPr>
            <w:tcW w:w="1660" w:type="dxa"/>
            <w:vAlign w:val="bottom"/>
            <w:tcBorders>
              <w:bottom w:val="single" w:sz="8" w:color="auto"/>
              <w:right w:val="single" w:sz="8" w:color="EFEFEF"/>
            </w:tcBorders>
            <w:shd w:val="clear" w:color="auto" w:fill="EFEFEF"/>
          </w:tcPr>
          <w:p>
            <w:pPr>
              <w:spacing w:after="0"/>
              <w:rPr>
                <w:sz w:val="20"/>
                <w:szCs w:val="20"/>
                <w:color w:val="auto"/>
              </w:rPr>
            </w:pPr>
            <w:r>
              <w:rPr>
                <w:rFonts w:ascii="Arial" w:cs="Arial" w:eastAsia="Arial" w:hAnsi="Arial"/>
                <w:sz w:val="14"/>
                <w:szCs w:val="14"/>
                <w:color w:val="auto"/>
              </w:rPr>
              <w:t>Date</w:t>
            </w:r>
          </w:p>
        </w:tc>
        <w:tc>
          <w:tcPr>
            <w:tcW w:w="400" w:type="dxa"/>
            <w:vAlign w:val="bottom"/>
            <w:tcBorders>
              <w:bottom w:val="single" w:sz="8" w:color="auto"/>
            </w:tcBorders>
            <w:shd w:val="clear" w:color="auto" w:fill="EFEFEF"/>
          </w:tcPr>
          <w:p>
            <w:pPr>
              <w:spacing w:after="0"/>
              <w:rPr>
                <w:sz w:val="18"/>
                <w:szCs w:val="18"/>
                <w:color w:val="auto"/>
              </w:rPr>
            </w:pPr>
          </w:p>
        </w:tc>
        <w:tc>
          <w:tcPr>
            <w:tcW w:w="1400" w:type="dxa"/>
            <w:vAlign w:val="bottom"/>
            <w:tcBorders>
              <w:bottom w:val="single" w:sz="8" w:color="auto"/>
            </w:tcBorders>
            <w:vMerge w:val="continue"/>
            <w:shd w:val="clear" w:color="auto" w:fill="EFEFEF"/>
          </w:tcPr>
          <w:p>
            <w:pPr>
              <w:spacing w:after="0"/>
              <w:rPr>
                <w:sz w:val="18"/>
                <w:szCs w:val="18"/>
                <w:color w:val="auto"/>
              </w:rPr>
            </w:pPr>
          </w:p>
        </w:tc>
        <w:tc>
          <w:tcPr>
            <w:tcW w:w="1740" w:type="dxa"/>
            <w:vAlign w:val="bottom"/>
            <w:tcBorders>
              <w:left w:val="single" w:sz="8" w:color="EFEFEF"/>
              <w:bottom w:val="single" w:sz="8" w:color="auto"/>
            </w:tcBorders>
            <w:shd w:val="clear" w:color="auto" w:fill="EFEFEF"/>
          </w:tcPr>
          <w:p>
            <w:pPr>
              <w:spacing w:after="0"/>
              <w:rPr>
                <w:sz w:val="20"/>
                <w:szCs w:val="20"/>
                <w:color w:val="auto"/>
              </w:rPr>
            </w:pPr>
            <w:r>
              <w:rPr>
                <w:rFonts w:ascii="Arial" w:cs="Arial" w:eastAsia="Arial" w:hAnsi="Arial"/>
                <w:sz w:val="14"/>
                <w:szCs w:val="14"/>
                <w:color w:val="auto"/>
              </w:rPr>
              <w:t>Signature (Joint Owners)</w:t>
            </w:r>
          </w:p>
        </w:tc>
        <w:tc>
          <w:tcPr>
            <w:tcW w:w="1000" w:type="dxa"/>
            <w:vAlign w:val="bottom"/>
            <w:tcBorders>
              <w:bottom w:val="single" w:sz="8" w:color="auto"/>
              <w:right w:val="single" w:sz="8" w:color="EFEFEF"/>
            </w:tcBorders>
            <w:gridSpan w:val="2"/>
            <w:shd w:val="clear" w:color="auto" w:fill="EFEFEF"/>
          </w:tcPr>
          <w:p>
            <w:pPr>
              <w:ind w:left="300"/>
              <w:spacing w:after="0"/>
              <w:rPr>
                <w:sz w:val="20"/>
                <w:szCs w:val="20"/>
                <w:color w:val="auto"/>
              </w:rPr>
            </w:pPr>
            <w:r>
              <w:rPr>
                <w:rFonts w:ascii="Arial" w:cs="Arial" w:eastAsia="Arial" w:hAnsi="Arial"/>
                <w:sz w:val="14"/>
                <w:szCs w:val="14"/>
                <w:color w:val="auto"/>
              </w:rPr>
              <w:t>Date</w:t>
            </w:r>
          </w:p>
        </w:tc>
        <w:tc>
          <w:tcPr>
            <w:tcW w:w="1200" w:type="dxa"/>
            <w:vAlign w:val="bottom"/>
            <w:tcBorders>
              <w:bottom w:val="single" w:sz="8" w:color="auto"/>
              <w:right w:val="single" w:sz="8" w:color="auto"/>
            </w:tcBorders>
            <w:shd w:val="clear" w:color="auto" w:fill="EFEFE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3980" w:type="dxa"/>
            <w:vAlign w:val="bottom"/>
            <w:gridSpan w:val="2"/>
          </w:tcPr>
          <w:p>
            <w:pPr>
              <w:spacing w:after="0"/>
              <w:rPr>
                <w:sz w:val="20"/>
                <w:szCs w:val="20"/>
                <w:color w:val="auto"/>
              </w:rPr>
            </w:pPr>
            <w:r>
              <w:rPr>
                <w:rFonts w:ascii="Arial" w:cs="Arial" w:eastAsia="Arial" w:hAnsi="Arial"/>
                <w:sz w:val="18"/>
                <w:szCs w:val="18"/>
                <w:color w:val="auto"/>
              </w:rPr>
              <w:t>0000172057_1   R1.0.0.51160</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02   0000000000</w:t>
            </w:r>
          </w:p>
        </w:tc>
        <w:tc>
          <w:tcPr>
            <w:tcW w:w="0" w:type="dxa"/>
            <w:vAlign w:val="bottom"/>
          </w:tcPr>
          <w:p>
            <w:pPr>
              <w:spacing w:after="0"/>
              <w:rPr>
                <w:sz w:val="1"/>
                <w:szCs w:val="1"/>
                <w:color w:val="auto"/>
              </w:rPr>
            </w:pPr>
          </w:p>
        </w:tc>
      </w:tr>
      <w:tr>
        <w:trPr>
          <w:trHeight w:val="453"/>
        </w:trPr>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937895</wp:posOffset>
            </wp:positionV>
            <wp:extent cx="3636010" cy="3053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3601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2002 Summit Boulevard, 6th Floor, Atlanta, GA 30319</w:t>
      </w:r>
    </w:p>
    <w:p>
      <w:pPr>
        <w:spacing w:after="0" w:line="20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TO BE HELD ON MAY 8, 2013, AND AT ANY ADJOURNMENT THEREOF.</w:t>
      </w:r>
    </w:p>
    <w:p>
      <w:pPr>
        <w:spacing w:after="0" w:line="211"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The shares represented by this proxy, when properly executed, will be voted in the manner directed herein by the undersigned Shareholder(s). If no</w:t>
      </w:r>
    </w:p>
    <w:p>
      <w:pPr>
        <w:spacing w:after="0" w:line="46" w:lineRule="exact"/>
        <w:rPr>
          <w:sz w:val="20"/>
          <w:szCs w:val="20"/>
          <w:color w:val="auto"/>
        </w:rPr>
      </w:pPr>
    </w:p>
    <w:p>
      <w:pPr>
        <w:jc w:val="center"/>
        <w:ind w:left="1020"/>
        <w:spacing w:after="0" w:line="273" w:lineRule="auto"/>
        <w:rPr>
          <w:sz w:val="20"/>
          <w:szCs w:val="20"/>
          <w:color w:val="auto"/>
        </w:rPr>
      </w:pPr>
      <w:r>
        <w:rPr>
          <w:rFonts w:ascii="Arial" w:cs="Arial" w:eastAsia="Arial" w:hAnsi="Arial"/>
          <w:sz w:val="17"/>
          <w:szCs w:val="17"/>
          <w:color w:val="auto"/>
        </w:rPr>
        <w:t>direction is made, this proxy will be voted FOR the election of each of the nominees for Director, FOR the ratification of the appointment of Deloitte &amp; Touche LLP as Ocwen Financial Corporation’s independent registered public accounting firm for 2013 and FOR approval, on an advisory basis, of the compensation of the named executive officers, as disclosed in the proxy statement. If any other matters properly come before the meeting, or if cumulative voting is required, the persons named in this proxy will vote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of Annual Meeting, Proxy Statement and,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10-K 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54875" cy="3884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2120"/>
        <w:spacing w:after="0"/>
        <w:rPr>
          <w:sz w:val="20"/>
          <w:szCs w:val="20"/>
          <w:color w:val="auto"/>
        </w:rPr>
      </w:pPr>
      <w:r>
        <w:rPr>
          <w:rFonts w:ascii="Arial" w:cs="Arial" w:eastAsia="Arial" w:hAnsi="Arial"/>
          <w:sz w:val="14"/>
          <w:szCs w:val="14"/>
          <w:b w:val="1"/>
          <w:bCs w:val="1"/>
          <w:color w:val="auto"/>
        </w:rPr>
        <w:t>OCWEN FINANCIAL CORPORATION</w:t>
      </w:r>
    </w:p>
    <w:p>
      <w:pPr>
        <w:jc w:val="center"/>
        <w:ind w:left="2120"/>
        <w:spacing w:after="0" w:line="226" w:lineRule="auto"/>
        <w:rPr>
          <w:sz w:val="20"/>
          <w:szCs w:val="20"/>
          <w:color w:val="auto"/>
        </w:rPr>
      </w:pPr>
      <w:r>
        <w:rPr>
          <w:rFonts w:ascii="Arial" w:cs="Arial" w:eastAsia="Arial" w:hAnsi="Arial"/>
          <w:sz w:val="14"/>
          <w:szCs w:val="14"/>
          <w:b w:val="1"/>
          <w:bCs w:val="1"/>
          <w:color w:val="auto"/>
        </w:rPr>
        <w:t>REVOCABLE PROXY</w:t>
      </w:r>
    </w:p>
    <w:p>
      <w:pPr>
        <w:jc w:val="center"/>
        <w:ind w:left="2120"/>
        <w:spacing w:after="0" w:line="222" w:lineRule="auto"/>
        <w:rPr>
          <w:sz w:val="20"/>
          <w:szCs w:val="20"/>
          <w:color w:val="auto"/>
        </w:rPr>
      </w:pPr>
      <w:r>
        <w:rPr>
          <w:rFonts w:ascii="Arial" w:cs="Arial" w:eastAsia="Arial" w:hAnsi="Arial"/>
          <w:sz w:val="14"/>
          <w:szCs w:val="14"/>
          <w:b w:val="1"/>
          <w:bCs w:val="1"/>
          <w:color w:val="auto"/>
        </w:rPr>
        <w:t>THIS PROXY IS BEING SOLICITED ON BEHALF OF THE BOARD OF DIRECTORS</w:t>
      </w:r>
    </w:p>
    <w:p>
      <w:pPr>
        <w:jc w:val="center"/>
        <w:ind w:left="2120"/>
        <w:spacing w:after="0" w:line="221" w:lineRule="auto"/>
        <w:rPr>
          <w:sz w:val="20"/>
          <w:szCs w:val="20"/>
          <w:color w:val="auto"/>
        </w:rPr>
      </w:pPr>
      <w:r>
        <w:rPr>
          <w:rFonts w:ascii="Arial" w:cs="Arial" w:eastAsia="Arial" w:hAnsi="Arial"/>
          <w:sz w:val="14"/>
          <w:szCs w:val="14"/>
          <w:b w:val="1"/>
          <w:bCs w:val="1"/>
          <w:color w:val="auto"/>
        </w:rPr>
        <w:t>FOR USE ONLY AT THE 2013 ANNUAL MEETING OF SHAREHOLDERS AND AT ANY ADJOURNMENT</w:t>
      </w:r>
    </w:p>
    <w:p>
      <w:pPr>
        <w:jc w:val="center"/>
        <w:ind w:left="2120"/>
        <w:spacing w:after="0"/>
        <w:rPr>
          <w:sz w:val="20"/>
          <w:szCs w:val="20"/>
          <w:color w:val="auto"/>
        </w:rPr>
      </w:pPr>
      <w:r>
        <w:rPr>
          <w:rFonts w:ascii="Arial" w:cs="Arial" w:eastAsia="Arial" w:hAnsi="Arial"/>
          <w:sz w:val="14"/>
          <w:szCs w:val="14"/>
          <w:b w:val="1"/>
          <w:bCs w:val="1"/>
          <w:color w:val="auto"/>
        </w:rPr>
        <w:t>THEREOF.</w:t>
      </w:r>
    </w:p>
    <w:p>
      <w:pPr>
        <w:spacing w:after="0" w:line="200" w:lineRule="exact"/>
        <w:rPr>
          <w:sz w:val="20"/>
          <w:szCs w:val="20"/>
          <w:color w:val="auto"/>
        </w:rPr>
      </w:pPr>
    </w:p>
    <w:p>
      <w:pPr>
        <w:spacing w:after="0" w:line="356" w:lineRule="exact"/>
        <w:rPr>
          <w:sz w:val="20"/>
          <w:szCs w:val="20"/>
          <w:color w:val="auto"/>
        </w:rPr>
      </w:pPr>
    </w:p>
    <w:p>
      <w:pPr>
        <w:ind w:left="920" w:right="460"/>
        <w:spacing w:after="0" w:line="234" w:lineRule="auto"/>
        <w:rPr>
          <w:sz w:val="20"/>
          <w:szCs w:val="20"/>
          <w:color w:val="auto"/>
        </w:rPr>
      </w:pPr>
      <w:r>
        <w:rPr>
          <w:rFonts w:ascii="Arial" w:cs="Arial" w:eastAsia="Arial" w:hAnsi="Arial"/>
          <w:sz w:val="14"/>
          <w:szCs w:val="14"/>
          <w:color w:val="auto"/>
        </w:rPr>
        <w:t>The undersigned hereby appoints William C. Erbey, Ronald M. Faris, Paul A. Koches, or any of them, as proxy, with full powers of substitution, and hereby authorizes them to represent and vote, as designated on the reverse side, all the shares of Common Stock of Ocwen Financial Corporation (the “Company”) held of record by the undersigned on March 21, 2013, at the Annual Meeting of Shareholders to be held at the offices of the Company located at 2002 Summit Boulevard, 6th Floor, Atlanta, GA 30319 on Wednesday, May 8, 2013, at 9:00 a.m., Eastern Daylight Time and at any adjournment thereof.</w:t>
      </w:r>
    </w:p>
    <w:p>
      <w:pPr>
        <w:spacing w:after="0" w:line="111" w:lineRule="exact"/>
        <w:rPr>
          <w:sz w:val="20"/>
          <w:szCs w:val="20"/>
          <w:color w:val="auto"/>
        </w:rPr>
      </w:pPr>
    </w:p>
    <w:p>
      <w:pPr>
        <w:ind w:left="920" w:right="520"/>
        <w:spacing w:after="0" w:line="235" w:lineRule="auto"/>
        <w:rPr>
          <w:sz w:val="20"/>
          <w:szCs w:val="20"/>
          <w:color w:val="auto"/>
        </w:rPr>
      </w:pPr>
      <w:r>
        <w:rPr>
          <w:rFonts w:ascii="Arial" w:cs="Arial" w:eastAsia="Arial" w:hAnsi="Arial"/>
          <w:sz w:val="14"/>
          <w:szCs w:val="14"/>
          <w:color w:val="auto"/>
        </w:rPr>
        <w:t xml:space="preserve">Shares of Common Stock of the Company will be voted as specified. </w:t>
      </w:r>
      <w:r>
        <w:rPr>
          <w:rFonts w:ascii="Arial" w:cs="Arial" w:eastAsia="Arial" w:hAnsi="Arial"/>
          <w:sz w:val="14"/>
          <w:szCs w:val="14"/>
          <w:b w:val="1"/>
          <w:bCs w:val="1"/>
          <w:color w:val="auto"/>
        </w:rPr>
        <w:t>If you execute and return this proxy without specific voting instructions, this proxy will be voted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FOR the election of each of the nominees for Director, the ratification of the appointment of Deloitte &amp; Touche LLP as the Company’s independent registered public accounting firm for 2013 and FOR approval, on an advisory basis, of the compensation of the named executive officers, as disclosed in the proxy statement. </w:t>
      </w:r>
      <w:r>
        <w:rPr>
          <w:rFonts w:ascii="Arial" w:cs="Arial" w:eastAsia="Arial" w:hAnsi="Arial"/>
          <w:sz w:val="14"/>
          <w:szCs w:val="14"/>
          <w:color w:val="auto"/>
        </w:rPr>
        <w:t>You may revoke this proxy at any time prior to the time it is voted at the Annual Meeting.</w:t>
      </w:r>
    </w:p>
    <w:p>
      <w:pPr>
        <w:spacing w:after="0" w:line="116" w:lineRule="exact"/>
        <w:rPr>
          <w:sz w:val="20"/>
          <w:szCs w:val="20"/>
          <w:color w:val="auto"/>
        </w:rPr>
      </w:pPr>
    </w:p>
    <w:p>
      <w:pPr>
        <w:ind w:left="920" w:right="1020"/>
        <w:spacing w:after="0" w:line="291" w:lineRule="auto"/>
        <w:rPr>
          <w:sz w:val="20"/>
          <w:szCs w:val="20"/>
          <w:color w:val="auto"/>
        </w:rPr>
      </w:pPr>
      <w:r>
        <w:rPr>
          <w:rFonts w:ascii="Arial" w:cs="Arial" w:eastAsia="Arial" w:hAnsi="Arial"/>
          <w:sz w:val="13"/>
          <w:szCs w:val="13"/>
          <w:color w:val="auto"/>
        </w:rPr>
        <w:t>The undersigned hereby acknowledges receipt of the Notice of Annual Meeting of Shareholders of Ocwen Financial Corporation to be held on May 8, 2013, or any adjournment thereof, a Proxy Statement for the Annual Meeting and the 2012 Annual Report to Shareholders of the Company prior to the signing of this proxy.</w:t>
      </w:r>
    </w:p>
    <w:p>
      <w:pPr>
        <w:spacing w:after="0" w:line="36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39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0000172057_2</w:t>
      </w:r>
      <w:r>
        <w:rPr>
          <w:sz w:val="20"/>
          <w:szCs w:val="20"/>
          <w:color w:val="auto"/>
        </w:rPr>
        <w:tab/>
      </w:r>
      <w:r>
        <w:rPr>
          <w:rFonts w:ascii="Arial" w:cs="Arial" w:eastAsia="Arial" w:hAnsi="Arial"/>
          <w:sz w:val="16"/>
          <w:szCs w:val="16"/>
          <w:color w:val="auto"/>
        </w:rPr>
        <w:t>R1.0.0.51160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lvl>
    <w:lvl w:ilvl="1">
      <w:lvlJc w:val="left"/>
      <w:lvlText w:val="o"/>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8"/>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4"/>
    </w:lvl>
  </w:abstractNum>
  <w:abstractNum w:abstractNumId="24">
    <w:nsid w:val="71F32454"/>
    <w:multiLevelType w:val="hybridMultilevel"/>
    <w:lvl w:ilvl="0">
      <w:lvlJc w:val="left"/>
      <w:lvlText w:val="(%1)"/>
      <w:numFmt w:val="decimal"/>
      <w:start w:val="9"/>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2019-12-06T04:57:40Z</dcterms:created>
  <dcterms:modified xsi:type="dcterms:W3CDTF">2019-12-06T04:57:40Z</dcterms:modified>
</cp:coreProperties>
</file>