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384" w:lineRule="exact"/>
        <w:rPr>
          <w:sz w:val="24"/>
          <w:szCs w:val="24"/>
          <w:color w:val="auto"/>
        </w:rPr>
      </w:pPr>
    </w:p>
    <w:p>
      <w:pPr>
        <w:ind w:left="500" w:right="2540" w:hanging="465"/>
        <w:spacing w:after="0" w:line="287"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color w:val="auto"/>
        </w:rPr>
        <w:t>ANNUAL REPORT PURSUANT TO SECTION 13 OR 15(d) OF THE SECURITIES EXCHANGE ACT OF 1934 For the fiscal year ended December 31, 2018</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500" w:right="2220" w:hanging="465"/>
        <w:spacing w:after="0" w:line="287"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____________________ to 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OCWEN FINANCIAL CORPORATION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0"/>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03"/>
        </w:trPr>
        <w:tc>
          <w:tcPr>
            <w:tcW w:w="5160" w:type="dxa"/>
            <w:vAlign w:val="bottom"/>
          </w:tcPr>
          <w:p>
            <w:pPr>
              <w:spacing w:after="0"/>
              <w:rPr>
                <w:sz w:val="17"/>
                <w:szCs w:val="17"/>
                <w:color w:val="auto"/>
              </w:rPr>
            </w:pPr>
          </w:p>
        </w:tc>
        <w:tc>
          <w:tcPr>
            <w:tcW w:w="1120" w:type="dxa"/>
            <w:vAlign w:val="bottom"/>
            <w:tcBorders>
              <w:bottom w:val="single" w:sz="8" w:color="auto"/>
            </w:tcBorders>
            <w:gridSpan w:val="3"/>
          </w:tcPr>
          <w:p>
            <w:pPr>
              <w:jc w:val="center"/>
              <w:spacing w:after="0" w:line="202" w:lineRule="exact"/>
              <w:rPr>
                <w:sz w:val="20"/>
                <w:szCs w:val="20"/>
                <w:color w:val="auto"/>
              </w:rPr>
            </w:pPr>
            <w:r>
              <w:rPr>
                <w:rFonts w:ascii="Arial" w:cs="Arial" w:eastAsia="Arial" w:hAnsi="Arial"/>
                <w:sz w:val="18"/>
                <w:szCs w:val="18"/>
                <w:b w:val="1"/>
                <w:bCs w:val="1"/>
                <w:color w:val="auto"/>
                <w:w w:val="90"/>
              </w:rPr>
              <w:t>(561) 682-8000</w:t>
            </w:r>
          </w:p>
        </w:tc>
        <w:tc>
          <w:tcPr>
            <w:tcW w:w="5140" w:type="dxa"/>
            <w:vAlign w:val="bottom"/>
          </w:tcPr>
          <w:p>
            <w:pPr>
              <w:spacing w:after="0"/>
              <w:rPr>
                <w:sz w:val="17"/>
                <w:szCs w:val="17"/>
                <w:color w:val="auto"/>
              </w:rPr>
            </w:pPr>
          </w:p>
        </w:tc>
      </w:tr>
      <w:tr>
        <w:trPr>
          <w:trHeight w:val="237"/>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70"/>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78"/>
        </w:trPr>
        <w:tc>
          <w:tcPr>
            <w:tcW w:w="516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Common Stock, $.01 par value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New York Stock Exchange (NYSE)</w:t>
            </w:r>
          </w:p>
        </w:tc>
      </w:tr>
      <w:tr>
        <w:trPr>
          <w:trHeight w:val="270"/>
        </w:trPr>
        <w:tc>
          <w:tcPr>
            <w:tcW w:w="5160" w:type="dxa"/>
            <w:vAlign w:val="bottom"/>
          </w:tcPr>
          <w:p>
            <w:pPr>
              <w:jc w:val="center"/>
              <w:ind w:left="370"/>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tcPr>
          <w:p>
            <w:pPr>
              <w:jc w:val="center"/>
              <w:ind w:right="47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96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540"/>
              <w:spacing w:after="0"/>
              <w:rPr>
                <w:sz w:val="20"/>
                <w:szCs w:val="20"/>
                <w:color w:val="auto"/>
              </w:rPr>
            </w:pPr>
            <w:r>
              <w:rPr>
                <w:rFonts w:ascii="Arial" w:cs="Arial" w:eastAsia="Arial" w:hAnsi="Arial"/>
                <w:sz w:val="18"/>
                <w:szCs w:val="18"/>
                <w:color w:val="auto"/>
              </w:rPr>
              <w:t>o</w:t>
            </w:r>
          </w:p>
        </w:tc>
        <w:tc>
          <w:tcPr>
            <w:tcW w:w="488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80"/>
              <w:spacing w:after="0"/>
              <w:rPr>
                <w:sz w:val="20"/>
                <w:szCs w:val="20"/>
                <w:color w:val="auto"/>
              </w:rPr>
            </w:pPr>
            <w:r>
              <w:rPr>
                <w:rFonts w:ascii="Arial" w:cs="Arial" w:eastAsia="Arial" w:hAnsi="Arial"/>
                <w:sz w:val="18"/>
                <w:szCs w:val="18"/>
                <w:color w:val="auto"/>
                <w:w w:val="88"/>
              </w:rPr>
              <w:t>x</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540"/>
              <w:spacing w:after="0"/>
              <w:rPr>
                <w:sz w:val="20"/>
                <w:szCs w:val="20"/>
                <w:color w:val="auto"/>
              </w:rPr>
            </w:pPr>
            <w:r>
              <w:rPr>
                <w:rFonts w:ascii="Arial" w:cs="Arial" w:eastAsia="Arial" w:hAnsi="Arial"/>
                <w:sz w:val="18"/>
                <w:szCs w:val="18"/>
                <w:color w:val="auto"/>
              </w:rPr>
              <w:t>o</w:t>
            </w:r>
          </w:p>
        </w:tc>
        <w:tc>
          <w:tcPr>
            <w:tcW w:w="488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r>
        <w:trPr>
          <w:trHeight w:val="270"/>
        </w:trPr>
        <w:tc>
          <w:tcPr>
            <w:tcW w:w="22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8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bl>
    <w:p>
      <w:pPr>
        <w:spacing w:after="0" w:line="1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voting and non-voting common equity of the registrant held by nonaffiliates as of June 30, 2018: $524,401,246</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22, 2019: 133,918,693 shares</w:t>
      </w:r>
    </w:p>
    <w:p>
      <w:pPr>
        <w:spacing w:after="0" w:line="11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which is currently scheduled to be held on May 30, 2019, are incorporated by reference into Part III, Items 10 - 14.</w:t>
      </w:r>
    </w:p>
    <w:p>
      <w:pPr>
        <w:sectPr>
          <w:pgSz w:w="11900" w:h="16838" w:orient="portrait"/>
          <w:cols w:equalWidth="0" w:num="1">
            <w:col w:w="11420"/>
          </w:cols>
          <w:pgMar w:left="240" w:top="36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2018 FORM 10-K ANNUAL REPORT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9680" w:type="dxa"/>
            <w:vAlign w:val="bottom"/>
            <w:vMerge w:val="restart"/>
          </w:tcPr>
          <w:p>
            <w:pPr>
              <w:jc w:val="center"/>
              <w:ind w:right="50"/>
              <w:spacing w:after="0"/>
              <w:rPr>
                <w:rFonts w:ascii="Arial" w:cs="Arial" w:eastAsia="Arial" w:hAnsi="Arial"/>
                <w:sz w:val="18"/>
                <w:szCs w:val="18"/>
                <w:b w:val="1"/>
                <w:bCs w:val="1"/>
                <w:color w:val="auto"/>
                <w:w w:val="98"/>
              </w:rPr>
            </w:pPr>
            <w:hyperlink w:anchor="page5">
              <w:r>
                <w:rPr>
                  <w:rFonts w:ascii="Arial" w:cs="Arial" w:eastAsia="Arial" w:hAnsi="Arial"/>
                  <w:sz w:val="18"/>
                  <w:szCs w:val="18"/>
                  <w:b w:val="1"/>
                  <w:bCs w:val="1"/>
                  <w:color w:val="auto"/>
                  <w:w w:val="98"/>
                </w:rPr>
                <w:t>PART I</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Item 1A.</w:t>
              </w:r>
            </w:hyperlink>
          </w:p>
        </w:tc>
        <w:tc>
          <w:tcPr>
            <w:tcW w:w="9680" w:type="dxa"/>
            <w:vAlign w:val="bottom"/>
          </w:tcPr>
          <w:p>
            <w:pPr>
              <w:ind w:left="140"/>
              <w:spacing w:after="0"/>
              <w:rPr>
                <w:rFonts w:ascii="Arial" w:cs="Arial" w:eastAsia="Arial" w:hAnsi="Arial"/>
                <w:sz w:val="18"/>
                <w:szCs w:val="18"/>
                <w:color w:val="auto"/>
              </w:rPr>
            </w:pPr>
            <w:hyperlink w:anchor="page16">
              <w:r>
                <w:rPr>
                  <w:rFonts w:ascii="Arial" w:cs="Arial" w:eastAsia="Arial" w:hAnsi="Arial"/>
                  <w:sz w:val="18"/>
                  <w:szCs w:val="18"/>
                  <w:color w:val="auto"/>
                </w:rPr>
                <w:t>Risk Factors</w:t>
              </w:r>
            </w:hyperlink>
          </w:p>
        </w:tc>
        <w:tc>
          <w:tcPr>
            <w:tcW w:w="8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1B.</w:t>
              </w:r>
            </w:hyperlink>
          </w:p>
        </w:tc>
        <w:tc>
          <w:tcPr>
            <w:tcW w:w="9680" w:type="dxa"/>
            <w:vAlign w:val="bottom"/>
          </w:tcPr>
          <w:p>
            <w:pPr>
              <w:ind w:left="140"/>
              <w:spacing w:after="0"/>
              <w:rPr>
                <w:rFonts w:ascii="Arial" w:cs="Arial" w:eastAsia="Arial" w:hAnsi="Arial"/>
                <w:sz w:val="18"/>
                <w:szCs w:val="18"/>
                <w:color w:val="auto"/>
              </w:rPr>
            </w:pPr>
            <w:hyperlink w:anchor="page42">
              <w:r>
                <w:rPr>
                  <w:rFonts w:ascii="Arial" w:cs="Arial" w:eastAsia="Arial" w:hAnsi="Arial"/>
                  <w:sz w:val="18"/>
                  <w:szCs w:val="18"/>
                  <w:color w:val="auto"/>
                </w:rPr>
                <w:t>Unresolved Staff Comments</w:t>
              </w:r>
            </w:hyperlink>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2.</w:t>
              </w:r>
            </w:hyperlink>
          </w:p>
        </w:tc>
        <w:tc>
          <w:tcPr>
            <w:tcW w:w="968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Properties</w:t>
              </w:r>
            </w:hyperlink>
          </w:p>
        </w:tc>
        <w:tc>
          <w:tcPr>
            <w:tcW w:w="8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968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4.</w:t>
              </w:r>
            </w:hyperlink>
          </w:p>
        </w:tc>
        <w:tc>
          <w:tcPr>
            <w:tcW w:w="968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Mine Safety Disclosures</w:t>
              </w:r>
            </w:hyperlink>
          </w:p>
        </w:tc>
        <w:tc>
          <w:tcPr>
            <w:tcW w:w="8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50"/>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5.</w:t>
              </w:r>
            </w:hyperlink>
          </w:p>
        </w:tc>
        <w:tc>
          <w:tcPr>
            <w:tcW w:w="968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Market for Registrant’s Common Equity, Related Stockholder Matters and Issuer Purchases of Equity Securities</w:t>
              </w:r>
            </w:hyperlink>
          </w:p>
        </w:tc>
        <w:tc>
          <w:tcPr>
            <w:tcW w:w="8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6.</w:t>
              </w:r>
            </w:hyperlink>
          </w:p>
        </w:tc>
        <w:tc>
          <w:tcPr>
            <w:tcW w:w="96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Selected Financial Data</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7.</w:t>
              </w:r>
            </w:hyperlink>
          </w:p>
        </w:tc>
        <w:tc>
          <w:tcPr>
            <w:tcW w:w="9680" w:type="dxa"/>
            <w:vAlign w:val="bottom"/>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7A.</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8.</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Financial Statements and Supplementary Data</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9.</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9A.</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9B.</w:t>
              </w:r>
            </w:hyperlink>
          </w:p>
        </w:tc>
        <w:tc>
          <w:tcPr>
            <w:tcW w:w="9680" w:type="dxa"/>
            <w:vAlign w:val="bottom"/>
          </w:tcPr>
          <w:p>
            <w:pPr>
              <w:ind w:left="140"/>
              <w:spacing w:after="0"/>
              <w:rPr>
                <w:rFonts w:ascii="Arial" w:cs="Arial" w:eastAsia="Arial" w:hAnsi="Arial"/>
                <w:sz w:val="18"/>
                <w:szCs w:val="18"/>
                <w:color w:val="auto"/>
              </w:rPr>
            </w:pPr>
            <w:hyperlink w:anchor="page94">
              <w:r>
                <w:rPr>
                  <w:rFonts w:ascii="Arial" w:cs="Arial" w:eastAsia="Arial" w:hAnsi="Arial"/>
                  <w:sz w:val="18"/>
                  <w:szCs w:val="18"/>
                  <w:color w:val="auto"/>
                </w:rPr>
                <w:t>Other Information</w:t>
              </w:r>
            </w:hyperlink>
          </w:p>
        </w:tc>
        <w:tc>
          <w:tcPr>
            <w:tcW w:w="8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auto"/>
              </w:rPr>
            </w:pPr>
            <w:hyperlink w:anchor="page94">
              <w:r>
                <w:rPr>
                  <w:rFonts w:ascii="Arial" w:cs="Arial" w:eastAsia="Arial" w:hAnsi="Arial"/>
                  <w:sz w:val="18"/>
                  <w:szCs w:val="18"/>
                  <w:b w:val="1"/>
                  <w:bCs w:val="1"/>
                  <w:color w:val="auto"/>
                </w:rPr>
                <w:t>PART III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10.</w:t>
              </w:r>
            </w:hyperlink>
          </w:p>
        </w:tc>
        <w:tc>
          <w:tcPr>
            <w:tcW w:w="9680" w:type="dxa"/>
            <w:vAlign w:val="bottom"/>
          </w:tcPr>
          <w:p>
            <w:pPr>
              <w:ind w:left="140"/>
              <w:spacing w:after="0"/>
              <w:rPr>
                <w:rFonts w:ascii="Arial" w:cs="Arial" w:eastAsia="Arial" w:hAnsi="Arial"/>
                <w:sz w:val="18"/>
                <w:szCs w:val="18"/>
                <w:color w:val="auto"/>
              </w:rPr>
            </w:pPr>
            <w:hyperlink w:anchor="page94">
              <w:r>
                <w:rPr>
                  <w:rFonts w:ascii="Arial" w:cs="Arial" w:eastAsia="Arial" w:hAnsi="Arial"/>
                  <w:sz w:val="18"/>
                  <w:szCs w:val="18"/>
                  <w:color w:val="auto"/>
                </w:rPr>
                <w:t>Directors, Executive Officers and Corporate Governance</w:t>
              </w:r>
            </w:hyperlink>
          </w:p>
        </w:tc>
        <w:tc>
          <w:tcPr>
            <w:tcW w:w="8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11.</w:t>
              </w:r>
            </w:hyperlink>
          </w:p>
        </w:tc>
        <w:tc>
          <w:tcPr>
            <w:tcW w:w="9680" w:type="dxa"/>
            <w:vAlign w:val="bottom"/>
          </w:tcPr>
          <w:p>
            <w:pPr>
              <w:ind w:left="140"/>
              <w:spacing w:after="0"/>
              <w:rPr>
                <w:rFonts w:ascii="Arial" w:cs="Arial" w:eastAsia="Arial" w:hAnsi="Arial"/>
                <w:sz w:val="18"/>
                <w:szCs w:val="18"/>
                <w:color w:val="auto"/>
              </w:rPr>
            </w:pPr>
            <w:hyperlink w:anchor="page94">
              <w:r>
                <w:rPr>
                  <w:rFonts w:ascii="Arial" w:cs="Arial" w:eastAsia="Arial" w:hAnsi="Arial"/>
                  <w:sz w:val="18"/>
                  <w:szCs w:val="18"/>
                  <w:color w:val="auto"/>
                </w:rPr>
                <w:t>Executive Compensation</w:t>
              </w:r>
            </w:hyperlink>
          </w:p>
        </w:tc>
        <w:tc>
          <w:tcPr>
            <w:tcW w:w="8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12.</w:t>
              </w:r>
            </w:hyperlink>
          </w:p>
        </w:tc>
        <w:tc>
          <w:tcPr>
            <w:tcW w:w="9680" w:type="dxa"/>
            <w:vAlign w:val="bottom"/>
          </w:tcPr>
          <w:p>
            <w:pPr>
              <w:ind w:left="140"/>
              <w:spacing w:after="0"/>
              <w:rPr>
                <w:rFonts w:ascii="Arial" w:cs="Arial" w:eastAsia="Arial" w:hAnsi="Arial"/>
                <w:sz w:val="18"/>
                <w:szCs w:val="18"/>
                <w:color w:val="auto"/>
              </w:rPr>
            </w:pPr>
            <w:hyperlink w:anchor="page94">
              <w:r>
                <w:rPr>
                  <w:rFonts w:ascii="Arial" w:cs="Arial" w:eastAsia="Arial" w:hAnsi="Arial"/>
                  <w:sz w:val="18"/>
                  <w:szCs w:val="18"/>
                  <w:color w:val="auto"/>
                </w:rPr>
                <w:t>Security Ownership of Certain Beneficial Owners and Management and Related Stockholder Matters</w:t>
              </w:r>
            </w:hyperlink>
          </w:p>
        </w:tc>
        <w:tc>
          <w:tcPr>
            <w:tcW w:w="8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5">
              <w:r>
                <w:rPr>
                  <w:rFonts w:ascii="Arial" w:cs="Arial" w:eastAsia="Arial" w:hAnsi="Arial"/>
                  <w:sz w:val="18"/>
                  <w:szCs w:val="18"/>
                  <w:color w:val="auto"/>
                </w:rPr>
                <w:t>Item 13.</w:t>
              </w:r>
            </w:hyperlink>
          </w:p>
        </w:tc>
        <w:tc>
          <w:tcPr>
            <w:tcW w:w="9680" w:type="dxa"/>
            <w:vAlign w:val="bottom"/>
          </w:tcPr>
          <w:p>
            <w:pPr>
              <w:ind w:left="140"/>
              <w:spacing w:after="0"/>
              <w:rPr>
                <w:rFonts w:ascii="Arial" w:cs="Arial" w:eastAsia="Arial" w:hAnsi="Arial"/>
                <w:sz w:val="18"/>
                <w:szCs w:val="18"/>
                <w:color w:val="auto"/>
              </w:rPr>
            </w:pPr>
            <w:hyperlink w:anchor="page95">
              <w:r>
                <w:rPr>
                  <w:rFonts w:ascii="Arial" w:cs="Arial" w:eastAsia="Arial" w:hAnsi="Arial"/>
                  <w:sz w:val="18"/>
                  <w:szCs w:val="18"/>
                  <w:color w:val="auto"/>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5">
              <w:r>
                <w:rPr>
                  <w:rFonts w:ascii="Arial" w:cs="Arial" w:eastAsia="Arial" w:hAnsi="Arial"/>
                  <w:sz w:val="18"/>
                  <w:szCs w:val="18"/>
                  <w:color w:val="auto"/>
                </w:rPr>
                <w:t>Item 14.</w:t>
              </w:r>
            </w:hyperlink>
          </w:p>
        </w:tc>
        <w:tc>
          <w:tcPr>
            <w:tcW w:w="9680" w:type="dxa"/>
            <w:vAlign w:val="bottom"/>
          </w:tcPr>
          <w:p>
            <w:pPr>
              <w:ind w:left="140"/>
              <w:spacing w:after="0"/>
              <w:rPr>
                <w:rFonts w:ascii="Arial" w:cs="Arial" w:eastAsia="Arial" w:hAnsi="Arial"/>
                <w:sz w:val="18"/>
                <w:szCs w:val="18"/>
                <w:color w:val="auto"/>
              </w:rPr>
            </w:pPr>
            <w:hyperlink w:anchor="page95">
              <w:r>
                <w:rPr>
                  <w:rFonts w:ascii="Arial" w:cs="Arial" w:eastAsia="Arial" w:hAnsi="Arial"/>
                  <w:sz w:val="18"/>
                  <w:szCs w:val="18"/>
                  <w:color w:val="auto"/>
                </w:rPr>
                <w:t>Principal Accounting Fees and Services</w:t>
              </w:r>
            </w:hyperlink>
          </w:p>
        </w:tc>
        <w:tc>
          <w:tcPr>
            <w:tcW w:w="80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auto"/>
              </w:rPr>
            </w:pPr>
            <w:hyperlink w:anchor="page95">
              <w:r>
                <w:rPr>
                  <w:rFonts w:ascii="Arial" w:cs="Arial" w:eastAsia="Arial" w:hAnsi="Arial"/>
                  <w:sz w:val="18"/>
                  <w:szCs w:val="18"/>
                  <w:b w:val="1"/>
                  <w:bCs w:val="1"/>
                  <w:color w:val="auto"/>
                </w:rPr>
                <w:t xml:space="preserve">PART </w:t>
              </w:r>
            </w:hyperlink>
            <w:r>
              <w:rPr>
                <w:rFonts w:ascii="Arial" w:cs="Arial" w:eastAsia="Arial" w:hAnsi="Arial"/>
                <w:sz w:val="18"/>
                <w:szCs w:val="18"/>
                <w:b w:val="1"/>
                <w:bCs w:val="1"/>
                <w:color w:val="auto"/>
              </w:rPr>
              <w:t>IV</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5">
              <w:r>
                <w:rPr>
                  <w:rFonts w:ascii="Arial" w:cs="Arial" w:eastAsia="Arial" w:hAnsi="Arial"/>
                  <w:sz w:val="18"/>
                  <w:szCs w:val="18"/>
                  <w:color w:val="auto"/>
                </w:rPr>
                <w:t>Item 15.</w:t>
              </w:r>
            </w:hyperlink>
          </w:p>
        </w:tc>
        <w:tc>
          <w:tcPr>
            <w:tcW w:w="9680" w:type="dxa"/>
            <w:vAlign w:val="bottom"/>
          </w:tcPr>
          <w:p>
            <w:pPr>
              <w:ind w:left="140"/>
              <w:spacing w:after="0"/>
              <w:rPr>
                <w:rFonts w:ascii="Arial" w:cs="Arial" w:eastAsia="Arial" w:hAnsi="Arial"/>
                <w:sz w:val="18"/>
                <w:szCs w:val="18"/>
                <w:color w:val="auto"/>
              </w:rPr>
            </w:pPr>
            <w:hyperlink w:anchor="page95">
              <w:r>
                <w:rPr>
                  <w:rFonts w:ascii="Arial" w:cs="Arial" w:eastAsia="Arial" w:hAnsi="Arial"/>
                  <w:sz w:val="18"/>
                  <w:szCs w:val="18"/>
                  <w:color w:val="auto"/>
                </w:rPr>
                <w:t>Exhibits, Financial Statement Schedules</w:t>
              </w:r>
            </w:hyperlink>
          </w:p>
        </w:tc>
        <w:tc>
          <w:tcPr>
            <w:tcW w:w="80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486"/>
        </w:trPr>
        <w:tc>
          <w:tcPr>
            <w:tcW w:w="900" w:type="dxa"/>
            <w:vAlign w:val="bottom"/>
          </w:tcPr>
          <w:p>
            <w:pPr>
              <w:spacing w:after="0"/>
              <w:rPr>
                <w:rFonts w:ascii="Arial" w:cs="Arial" w:eastAsia="Arial" w:hAnsi="Arial"/>
                <w:sz w:val="18"/>
                <w:szCs w:val="18"/>
                <w:color w:val="auto"/>
              </w:rPr>
            </w:pPr>
            <w:hyperlink w:anchor="page100">
              <w:r>
                <w:rPr>
                  <w:rFonts w:ascii="Arial" w:cs="Arial" w:eastAsia="Arial" w:hAnsi="Arial"/>
                  <w:sz w:val="18"/>
                  <w:szCs w:val="18"/>
                  <w:color w:val="auto"/>
                </w:rPr>
                <w:t>Item 16.</w:t>
              </w:r>
            </w:hyperlink>
          </w:p>
        </w:tc>
        <w:tc>
          <w:tcPr>
            <w:tcW w:w="9680" w:type="dxa"/>
            <w:vAlign w:val="bottom"/>
          </w:tcPr>
          <w:p>
            <w:pPr>
              <w:ind w:left="140"/>
              <w:spacing w:after="0"/>
              <w:rPr>
                <w:rFonts w:ascii="Arial" w:cs="Arial" w:eastAsia="Arial" w:hAnsi="Arial"/>
                <w:sz w:val="18"/>
                <w:szCs w:val="18"/>
                <w:color w:val="auto"/>
              </w:rPr>
            </w:pPr>
            <w:hyperlink w:anchor="page100">
              <w:r>
                <w:rPr>
                  <w:rFonts w:ascii="Arial" w:cs="Arial" w:eastAsia="Arial" w:hAnsi="Arial"/>
                  <w:sz w:val="18"/>
                  <w:szCs w:val="18"/>
                  <w:color w:val="auto"/>
                </w:rPr>
                <w:t>Form 10-K Summary</w:t>
              </w:r>
            </w:hyperlink>
          </w:p>
        </w:tc>
        <w:tc>
          <w:tcPr>
            <w:tcW w:w="80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44"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44"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 looking statements and this may happen again. Important factors that could cause actual results to differ include, but are not limited to, the risks discussed in “Risk Factors” and the following:</w:t>
      </w:r>
    </w:p>
    <w:p>
      <w:pPr>
        <w:spacing w:after="0" w:line="71" w:lineRule="exact"/>
        <w:rPr>
          <w:sz w:val="20"/>
          <w:szCs w:val="20"/>
          <w:color w:val="auto"/>
        </w:rPr>
      </w:pPr>
    </w:p>
    <w:p>
      <w:pPr>
        <w:ind w:left="660" w:right="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because of regulatory investigations, litigation, cease and desist orders or settlements;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litigation, cease and desist orders or settlements by key counterparties or others, including lenders, the Federal National Mortgage Association (Fannie Mae), the Federal Home Loan Mortgage Corporation (Freddie Mac, and together with Fannie Mae, the GSEs) and the Government National Mortgage Association (Ginnie Mae);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terms of our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the terms of our debt agreements, including the financial and other covenants contained in them;</w:t>
      </w:r>
    </w:p>
    <w:p>
      <w:pPr>
        <w:ind w:left="660" w:right="3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interpret correctly and comply with liquidity, net worth and other financial and other requirements of regulators as well as those set forth in our debt and other agreements;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invest available funds at adequate risk-adjusted returns;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regulatory restrictions on our ability to repurchase our own stock;</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and other security measures or breach of our privacy protections, including any failure to protect customers’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5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dependence of our business on New Residential Investment Corp. (NRZ), our largest client and the source for a substantial portion of our advance funding for non-prime, subprime or private-label (commonly referred to as non-Agency) mortgage servicing rights (MSRs);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transfer MSRs under our agreements with NRZ and our ability to maintain our long-term relationship with NRZ;</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ind w:left="660" w:right="4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PHH Corporation (PHH) and its business, and to realize the strategic objectives and other benefits of the acquisition at the time anticipated or at all, including our ability to integrate, maintain and enhance PHH’s servicing, subservicing and other business relationships, including its relationship with NRZ;</w:t>
      </w:r>
    </w:p>
    <w:p>
      <w:pPr>
        <w:ind w:left="660" w:right="520" w:hanging="328"/>
        <w:spacing w:after="0" w:line="22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transition loan servicing to the Black Knight Financial Services, Inc. (Black Knight)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(Black Knight MSP) within the time and cost parameters anticipated and without significant disruptions to our customers and operations;</w:t>
      </w:r>
    </w:p>
    <w:p>
      <w:pPr>
        <w:ind w:left="660" w:right="4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replenish and grow our portfolio, including our ability to identify and acquire MSRs that deliver appropriate economic returns through such means as bulk and mini-bulk purchases of MSRs (i.e., purchases of large and small batches of MSRs), the GSE’s (collectively referred to as Agency) co-issue programs (where a lender transfers the servicing rights for a mortgage loan to Ocwen at the same time it sells the loan to the Fannie Mae, Freddie Mac or Ginnie Mae), executing servicer call rights (i.e., rights of the servicer to acquire the remaining loans in a pool of loans subject to an RMBS trust once the pool reaches a set threshold, generally 10% of the original pool size) and expanding into other lending channels;</w:t>
      </w:r>
    </w:p>
    <w:p>
      <w:pPr>
        <w:spacing w:after="0" w:line="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loss of the services of our senior managers and our ability to execute effective chief executive and chief financial officer leadership transitions;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3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GSEs, Ginnie Mae and trustees regarding loan put-backs, penalties and legal actions;</w:t>
      </w:r>
    </w:p>
    <w:p>
      <w:pPr>
        <w:ind w:left="660" w:right="10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or Department of Veterans Affairs (VA) ceasing to provide insurance;</w:t>
      </w: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manage and maintain real estate owned (REO) properties and vacant properties collateralizing loans that we service;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right="4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relationships with third party vendors, including Altisource Portfolio Solutions S.A. (Altisource) and the status of our agreements with them as we transition to a new servicing system;</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capital requirements established by, or agreed with, regulators or counterparties;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restructure our operations, including our ability to do so in an environment of significant uncertainty regarding the impact of the U.S. tax code on our plans to move certain assets out of the United States Virgin Islands (USVI);</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political or economic stability of the United States and of the foreign countries in which we have operations; and</w:t>
      </w:r>
    </w:p>
    <w:p>
      <w:pPr>
        <w:spacing w:after="0" w:line="20" w:lineRule="exact"/>
        <w:rPr>
          <w:rFonts w:ascii="Arial" w:cs="Arial" w:eastAsia="Arial" w:hAnsi="Arial"/>
          <w:sz w:val="17"/>
          <w:szCs w:val="17"/>
          <w:color w:val="auto"/>
        </w:rPr>
      </w:pPr>
    </w:p>
    <w:p>
      <w:pPr>
        <w:ind w:left="660" w:right="24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positive relationships with our large shareholders and obtain their support for management proposals requiring shareholder approval.</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we disclaim any obligation to update or revise forward-looking statements whether because of new information, future events or otherwise.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When we use the terms “Ocwen,” “OCN,” “we,” “us” and “our,” we are referring to Ocwen Financial Corporation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a financial services company that services and originates loans. We have a strong track record of success as a leader in the servicing industry in foreclosure prevention and loss mitigation that helps homeowners stay in their homes and improves financial outcomes for mortgage loan investors. This long-standing core competency will continue to be a guiding principle as we move forward. Our near-term priority is to return to profitability in the shortest timeframe possible within an appropriate risk and compliance environment. We believe our acquisition of PHH provides us with the opportunity to transform into a stronger, more efficient company better able to serve our customers and clients, and positions us for a return to growth.</w:t>
      </w:r>
    </w:p>
    <w:p>
      <w:pPr>
        <w:spacing w:after="0" w:line="15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October 4, 2018, we completed our acquisition of PHH. The aggregate consideration paid to the former holders of PHH common stock was $358.4 million in cash, with $325.0 million funded from PHH’s cash on hand and $33.4 million funded from Ocwen’s cash on hand. The transaction was initially cash and book value accretive, with PHH having an opening cash balance of $423.1 million, $64.7 million more than the purchase price. The purchase price we negotiated contemplated that PHH would incur losses after the acquisition date. PHH’s net loss from continuing operations of $24.8 million is included in our consolidated statements of operations from the date of acquisition through December 31, 2018.</w:t>
      </w:r>
    </w:p>
    <w:p>
      <w:pPr>
        <w:spacing w:after="0" w:line="17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have established a set of initiatives to achieve our objective of returning to growth and profitability. Our phase one initiatives address our critical near-term challenges. These include:</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on the PHH integration to create value;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Reengineer our cost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funding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Replenish portfolio runoff and restore growth focus;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Fulfill our regulatory commitments and resolve remaining legacy matters.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acquisition of PHH will provide the following benefits to enable the execution of the phase one initiatives: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our transition to Black Knight MSP versus a de novo implementation;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fixed costs, on a combined basis, through reductions in duplicative corporate overhead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economies of scale through growth in our servicing portfolio;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a foundation to enable the combined business to resume new business and growth activities that will, at a minimum, offset portfolio runoff.</w:t>
      </w:r>
    </w:p>
    <w:p>
      <w:pPr>
        <w:spacing w:after="0" w:line="23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Key to achieving our cost synergies are the elimination of redundant corporate overhead and completion of the loan transfers to Black Knight MSP. We have successfully completed two transfers, totaling approximately 240,000 loans as of February 27, 2019. The remaining portfolio will be transferred in multiple waves with the final transfer targeted to be completed in the second quarter of 2019. Our integration plans call for extensive pre- and post-transfer testing, quality checks and customer communications and support. To the extent any unexpected challenges are encountered, our transfer timeline may be extended. In addition to eliminating the dual servicing system environment, once we have completed the loan transfers to Black Knight MSP, we plan to drive further expense reductions through greater utilization of the cost advantages of our off-shore infrastructure and reductions in on-shore costs.</w:t>
      </w:r>
    </w:p>
    <w:p>
      <w:pPr>
        <w:spacing w:after="0" w:line="5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While certain restrictions remain, and while we continue to work to satisfy the remaining conditions, we are able to resume some growth activities following our acquisition of PHH. With the easing of restrictions, we intend to pursue origination and acquisition activities that will, at a minimum, replenish our expected annual portfolio runoff. We intend to pursue growth in a responsible and disciplined manner, with return targets that are prudent and aligned with our core competencies. We believe our core competency serving underserved and at-risk borrowers will provide a competitive advantage for certain acquisitions of MSRs. We are also working prudently to expand products and programs to serve underserved customers, including self-employed borrowers and borrowers who ‘just miss’ qualifying for GSE programs, and we are evaluating opportunities to re-enter forward correspondent and other lending channels.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phase two initiatives will focus on ensuring sustainability. These include:</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Digitizing our business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Diversifying our business model by leveraging our core competencies;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Rebuilding our reputation.</w:t>
      </w:r>
    </w:p>
    <w:p>
      <w:pPr>
        <w:spacing w:after="0" w:line="10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leveraging technology to deliver superior accuracy, cost, speed and customer satisfaction is critical to our long- term success. Once we have completed our transition to Black Knight MSP, we will focus our technology efforts on improving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6" w:right="259" w:bottom="1440" w:gutter="0" w:footer="0" w:header="0"/>
        </w:sectPr>
      </w:pPr>
    </w:p>
    <w:bookmarkStart w:id="5" w:name="page6"/>
    <w:bookmarkEnd w:id="5"/>
    <w:p>
      <w:pPr>
        <w:ind w:right="240"/>
        <w:spacing w:after="0" w:line="342" w:lineRule="auto"/>
        <w:rPr>
          <w:sz w:val="20"/>
          <w:szCs w:val="20"/>
          <w:color w:val="auto"/>
        </w:rPr>
      </w:pPr>
      <w:r>
        <w:rPr>
          <w:rFonts w:ascii="Arial" w:cs="Arial" w:eastAsia="Arial" w:hAnsi="Arial"/>
          <w:sz w:val="16"/>
          <w:szCs w:val="16"/>
          <w:color w:val="auto"/>
        </w:rPr>
        <w:t>our operating performance by, among others, implementing cognitive technologies to automate repetitive low complexity tasks, and improve our customer experience through implementing digital interfaces. These technologies exist today and are being used throughout the consumer finance industry.</w:t>
      </w:r>
    </w:p>
    <w:p>
      <w:pPr>
        <w:spacing w:after="0" w:line="1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As part of our cost re-engineering plans, we expect to reduce total staffing levels significantly and to close a number of our U.S. facilities. We believe these steps are necessary in order to drive stronger financial performance and, in the longer term, simplify our operations. By the end of 2019, we intend to be primarily operating out of four U.S. and USVI locations: West Palm Beach, FL, Mount Laurel, NJ, Rancho Cordova, CA, and St. Croix, USVI.</w:t>
      </w:r>
    </w:p>
    <w:p>
      <w:pPr>
        <w:spacing w:after="0" w:line="147"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We are headquartered in West Palm Beach, Florida with offices located throughout the United States (U.S.) and in the USVI and operations in India and the Philippines. Ocwen Financial Corporation is a Florida corporation organized in February 1988. With our predecessors, we have been servicing residential mortgage loans since 1988. We have been originating forward mortgage loans since 2012 and reverse mortgage loans since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LINES</w:t>
      </w:r>
    </w:p>
    <w:p>
      <w:pPr>
        <w:spacing w:after="0" w:line="12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Servicing and Lending are our primary lines of business. Our other business activities that are currently individually insignificant are included in the Corporate Items and Other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most of our total revenues. Our servicing clients include some of the largest financial institutions in the U.S., including the GSEs, Ginnie Mae, NRZ and non-Agency residential mortgage-backed securities (RMBS) trusts. As of December 31, 2018, our residential servicing portfolio consisted of 1,562,238 loans with an unpaid principal balance (UPB) of $256.0 billion.</w:t>
      </w:r>
    </w:p>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Servicing involves the collection of principal and interest payments from borrowers, the administration of tax and insurance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(REO) on behalf of mortgage loan investors or other servicers. Master servicing involves the collection of payments from servicers and the distribution of funds to investors in mortgage and asset-backed securities and whole loan packages. We earn contractual monthly servicing fees (which are typically payable as a percentage of UPB) pursuant to servicing agreements as well as other ancillary fees relating to our servicing activities such as late fees and, in certain circumstances, REO referral commissions.</w:t>
      </w:r>
    </w:p>
    <w:p>
      <w:pPr>
        <w:spacing w:after="0" w:line="17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own MSRs outright, where we receive all the servicing economics, and we subservice on behalf of other institutions that own the MSRs or Rights to MSRs, in which case we earn a fee for performing the subservicing activities. Special servicing is a form of subservicing where we generally manage only delinquent loans on behalf of a loan owner. We typically earn subservicing and special servicing fees either as a percentage of UPB or on a per loan basis.</w:t>
      </w:r>
    </w:p>
    <w:p>
      <w:pPr>
        <w:spacing w:after="0" w:line="14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are amounts that we, as servicer, are required to advance to, or on behalf of, our servicing clients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such that we are entitled to repayment of the advances from the loan or property liquidation proceeds before most other claims on these proceeds. The costs incurred in meeting advancing obligations consist principally of the interest expense incurred in financing the advance receivables and the costs of arranging such financing.</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thus are generally less costly to service. While increasing borrower participation in loan modification programs is a critical component of our ability to reduce delinquencies, borrower compliance with those modifications is also an important factor.</w:t>
      </w:r>
    </w:p>
    <w:p>
      <w:pPr>
        <w:spacing w:after="0" w:line="7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While we have been successful in reducing the size and costs of our servicing operations in line with declines in our residential servicing portfolio, in order to return to sustainable profitability, we believe we will need to increase the size of our servicing portfolio. While certain restrictions remain, and while we continue to work to satisfy the remaining conditions, we are able to resume some growth activities. With the easing of restrictions, we intend to pursue origination and acquisition activities that will, at a minimum, replenish our expected annual portfolio runoff.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2018, our Lending business originated or purchased forward and reverse mortgage loans with a UPB of $870.3 million and $593.7 million, respectively. These loans were acquired through three primary channels: directly with mortgage customers (retail), through correspondent lender relationships (correspondent) and through broker relationships (wholesale). Per-loan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92" w:right="279" w:bottom="1440" w:gutter="0" w:footer="0" w:header="0"/>
        </w:sectPr>
      </w:pPr>
    </w:p>
    <w:bookmarkStart w:id="6" w:name="page7"/>
    <w:bookmarkEnd w:id="6"/>
    <w:p>
      <w:pPr>
        <w:ind w:right="360"/>
        <w:spacing w:after="0" w:line="264" w:lineRule="auto"/>
        <w:rPr>
          <w:sz w:val="20"/>
          <w:szCs w:val="20"/>
          <w:color w:val="auto"/>
        </w:rPr>
      </w:pPr>
      <w:r>
        <w:rPr>
          <w:rFonts w:ascii="Arial" w:cs="Arial" w:eastAsia="Arial" w:hAnsi="Arial"/>
          <w:sz w:val="18"/>
          <w:szCs w:val="18"/>
          <w:color w:val="auto"/>
        </w:rPr>
        <w:t>margins vary by channel, with correspondent typically being the lowest margin and retail the highest. We exited the forward lending correspondent and wholesale channels in the second and fourth quarters of 2017, respectively. Our forward lending business is primarily focused on portfolio recapture (i.e., refinancing loans in our servicing portfolio).</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forward mortgage loans are conventional (conforming to the underwriting standards of the GSEs, collectively Agency loans) and government-insured (insured by the FHA or VA). After origination, we generally package and sell the loans in the secondary mortgage market, through GSE and Ginnie Mae guaranteed securitizations and whole loan transactions. We typically retain the associated MSRs on securitizations, providing the Servicing business with a source of new MSRs to replenish our servicing portfolio and partially offset the impact of amortization and prepayments, i.e., portfolio runoff. Whole loan transactions are generally completed on a servicing released basis.</w:t>
      </w:r>
    </w:p>
    <w:p>
      <w:pPr>
        <w:spacing w:after="0" w:line="8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also originate and purchase Home Equity Conversion Mortgages (HECM or reverse mortgage loans), which are generally insured by the FHA, through our Liberty Home Equity Solutions, Inc. (Liberty) operations. Loans originated under this program are generally guaranteed by the FHA, which provides investors with protection against risk of borrower default. The reverse mortgage channel provides both current period and future period gain on sale revenue from new originations because of subsequent tail draws taken by the borrower. While we focus on current period reported earnings, we also utilize our market experience to invest in future asset value when returns are at attractive levels. These future cash flows are not guaranteed but viewed as probable given our historic asset quality and slow prepayment speeds.</w:t>
      </w:r>
    </w:p>
    <w:p>
      <w:pPr>
        <w:spacing w:after="0" w:line="8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Retail Lending</w:t>
      </w:r>
      <w:r>
        <w:rPr>
          <w:rFonts w:ascii="Arial" w:cs="Arial" w:eastAsia="Arial" w:hAnsi="Arial"/>
          <w:sz w:val="18"/>
          <w:szCs w:val="18"/>
          <w:color w:val="auto"/>
        </w:rPr>
        <w:t>. We originate forward and reverse mortgage loans directly with borrowers through our retail lending business. Our forward lending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benefits from our significant servicing portfolio by offering refinance options to qualified borrowers seeking to lower their mortgage payments. Depending on borrower eligibility, we refinance eligible customers into conforming or government-insured products. We also are increasing our ability to originate retail loans to non-Ocwen servicing customers through various marketing channels and a centralized call center. Through lead campaigns and direct marketing, the retail channel seeks to convert leads into loans in a cost-efficient manner. We are focused on increasing recapture rates on our existing servicing portfolio to grow this business.</w:t>
      </w:r>
    </w:p>
    <w:p>
      <w:pPr>
        <w:spacing w:after="0" w:line="19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reverse correspondent lending operation purchases mortgage loans that have been originated by a network of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lenders. We are currently evaluating re-entering the forward correspondent lending channel.</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Wholesale Lending</w:t>
      </w:r>
      <w:r>
        <w:rPr>
          <w:rFonts w:ascii="Arial" w:cs="Arial" w:eastAsia="Arial" w:hAnsi="Arial"/>
          <w:sz w:val="18"/>
          <w:szCs w:val="18"/>
          <w:color w:val="auto"/>
        </w:rPr>
        <w:t>. We originate reverse mortgage loans through a network of approved brokers. Brokers are subject to a formal approval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process. We underwrite all loans originated through this channel consistent with the underwriting standards required by the ultimate investor prior to funding.</w:t>
      </w:r>
    </w:p>
    <w:p>
      <w:pPr>
        <w:spacing w:after="0" w:line="7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All the lenders participating in our correspondent lending program are approved by senior management members of our lending and compliance teams.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79"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provide customary origination representations and warranties to investors in connection with our loan sales and securitization activities. We receive customary origination representations and warranties from our network of approved originators relating to loans we purchase through our correspondent lending channel.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(Servicing, Lending and Corporate Items and Other) are included in the individual business operations sections of Management’s Discussion and Analysis of Financial Condition and Results of Operations. Financial information related to reportable operating segments is provided in Note 22 — Business Segment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business is subject to extensive oversight and regulation by federal, state and local governmental authorities, including the CFPB, HUD and various state agencies that license and conduct examinations of our loan servicing, origination and collection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2" w:right="239" w:bottom="1440" w:gutter="0" w:footer="0" w:header="0"/>
        </w:sectPr>
      </w:pPr>
    </w:p>
    <w:bookmarkStart w:id="7" w:name="page8"/>
    <w:bookmarkEnd w:id="7"/>
    <w:p>
      <w:pPr>
        <w:ind w:right="100" w:firstLine="324"/>
        <w:spacing w:after="0" w:line="297"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this constantly changing environment. We devote substantial resources to regulatory compliance, while, at the same time, striving to meet the needs and expectations of our customers, clients and other stakeholders. Our actual or alleged failure to comply with applicable federal, state and local laws, regulations and licensing requirements could lead to any of the following:</w:t>
      </w:r>
    </w:p>
    <w:p>
      <w:pPr>
        <w:spacing w:after="0" w:line="5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to amounts paid to resolve regulatory matters, we incur costs to comply with the terms of such resolutions, including the costs of third-party firms to monitor our compliance with such resolutions. We recognized $177.5 million in such third-party monitoring costs relating to the 2013 Ocwen National Mortgage Settlement, our 2014 settlement with the New York Department of Financial Services (NY DFS) and our 2015 settlement with the California Department of Business Oversight (CA DBO). Further, as described below, the costs of complying with our regulatory settlements include the costs of conducting an escrow analysis, Maryland organizational assessments, Massachusetts data integrity audits, and transition to Black Knight MSP. The remediation of errors identified during the escrow analysis could result in payments, credits or other actions to remediate such errors and other actions could be taken against us by regulators or others with respect to such errors.</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Wall Street Reform and Consumer Protection Act (the Dodd-Frank Act),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as well as individual state laws pertaining to licensing, general mortgage origination and servicing practices and foreclosure,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w:t>
      </w:r>
    </w:p>
    <w:p>
      <w:pPr>
        <w:spacing w:after="0" w:line="7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recent years, the general trend among federal, state and local lawmakers and regulators has been toward increasing laws, regulations and investigative proceedings with regard to residential mortgage lenders and servicers. The CFPB continues to take a very active role in the mortgage industry, and its rule-making and regulatory agenda relating to loan servicing and origination continues to evolve. Individual states have also been active, as have other regulatory organizations such as the Multistate Mortgage Committee (MMC), a multistate coalition of various mortgage banking regulators. We also believe there has been a shift among certain regulators towards a broader view of the scope of regulatory oversight responsibilities with respect to mortgage lenders and servicers. In addition to their traditional focus on licensing and examination matters, certain regulators have begun to make observations, recommendations or demands with respect to areas such as corporate governance, safety and soundness and risk and compliance management.</w:t>
      </w:r>
    </w:p>
    <w:p>
      <w:pPr>
        <w:spacing w:after="0" w:line="5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CFPB and state regulators have also focused on the use and adequacy of technology in the mortgage servicing industry. In 2016, the CFPB issued a special edition supervision report that stressed the need for mortgage servicers to assess and make necessary improvements to their information technology systems to ensure compliance with the CFPB’s mortgage servicing requirements. The NY DFS also issued Cybersecurity Requirements for Financial Services Companies, which took effect in 2017, and which required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2" w:right="259" w:bottom="1440" w:gutter="0" w:footer="0" w:header="0"/>
        </w:sectPr>
      </w:pPr>
    </w:p>
    <w:bookmarkStart w:id="8" w:name="page9"/>
    <w:bookmarkEnd w:id="8"/>
    <w:p>
      <w:pPr>
        <w:ind w:right="48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subpoenas, civil investigative demands, requests for information and other actions, which could result in further adverse regulatory action against us.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 the extent that an examination, audit or other regulatory engagement identifies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Finally, there are a number of foreign laws and regulations that are applicable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counties, (ii) fines, penalties or sanctions or (iii) reputational damage.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229"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In April 2017, the CFPB filed a lawsuit in the federal district court for the Southern District of Florida against Ocwen, Ocwen Mortgage Servicing, Inc. (OMS) and Ocwen Loan Servicing, LLC (OLS) alleging violations of federal consumer financial laws relating to our servicing business dating back to 2014. The CFPB’s claims include allegations regarding (1) the adequacy of Ocwen’s servicing system and integrity of Ocwen’s mortgage servicing data, (2)</w:t>
      </w:r>
    </w:p>
    <w:p>
      <w:pPr>
        <w:ind w:right="40"/>
        <w:spacing w:after="0" w:line="253" w:lineRule="auto"/>
        <w:rPr>
          <w:sz w:val="20"/>
          <w:szCs w:val="20"/>
          <w:color w:val="auto"/>
        </w:rPr>
      </w:pPr>
      <w:r>
        <w:rPr>
          <w:rFonts w:ascii="Arial" w:cs="Arial" w:eastAsia="Arial" w:hAnsi="Arial"/>
          <w:sz w:val="18"/>
          <w:szCs w:val="18"/>
          <w:color w:val="auto"/>
        </w:rPr>
        <w:t>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w:t>
      </w:r>
    </w:p>
    <w:p>
      <w:pPr>
        <w:spacing w:after="0" w:line="19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Prior to the CFPB instituting legal proceedings, we had been engaged with the CFPB in efforts to resolve the matter. We have recorded $12.5 million as of December 31, 2018 as a result of these discussions. If we are successful in defending ourselves against the CFPB, it is possible that our losses could be less than $12.5 million. It is also possible that we could incur losses that materially exceed the amount accrued, and the resolution of the matters raised by the CFPB could have a material adverse impact on our business, reputation, financial condition, liquidity and results of operations. We cannot currently estimate the amount, if any, of reasonably possible loss above amounts previously accrued.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State Attorneys General and Other Matters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We believe our licensed entities were in compliance with all of their minimum net worth requirements at December 31, 2018. However, it is possible that regulators could disagree with our calculations, and one state regulator has disagreed with our calculation for a prior year period; we are currently discussing the matter with the regulator.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9" w:name="page10"/>
    <w:bookmarkEnd w:id="9"/>
    <w:p>
      <w:pPr>
        <w:ind w:right="120"/>
        <w:spacing w:after="0" w:line="259" w:lineRule="auto"/>
        <w:rPr>
          <w:sz w:val="20"/>
          <w:szCs w:val="20"/>
          <w:color w:val="auto"/>
        </w:rPr>
      </w:pPr>
      <w:r>
        <w:rPr>
          <w:rFonts w:ascii="Arial" w:cs="Arial" w:eastAsia="Arial" w:hAnsi="Arial"/>
          <w:sz w:val="18"/>
          <w:szCs w:val="18"/>
          <w:color w:val="auto"/>
        </w:rPr>
        <w:t>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 and such resolutions could have material and adverse effects on our business, reputation, operations, results of operations and financial condition.</w:t>
      </w:r>
    </w:p>
    <w:p>
      <w:pPr>
        <w:spacing w:after="0" w:line="7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In general, the regulatory actions took the form of “cease and desist orders,” and we use that term to refer to all the orders for ease of reference; for ease of reference, we also include the District of Columbia as a state when we reference states below. All the cease and desist orders were applicable to OLS, but additional Ocwen entities were named in some orders, including Ocwen Financial Corporation, OMS, Homeward Residential, Inc. (Homeward) and Liberty. Following the issuance of the orders, we reached agreements with certain regulatory agencies to obtain delays in the enforcement of certain terms or exceptions to certain terms contained in the cease and desist orders. Additionally, we revised our operations based on the terms of the orders while we sought to negotiate resolutions.</w:t>
      </w:r>
    </w:p>
    <w:p>
      <w:pPr>
        <w:spacing w:after="0" w:line="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entered into agreements with all 29 states plus the District of Columbia to resolve these regulatory actions. These agreements generally contained the following key terms (the Multi-State Common Settlement Terms):</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Ocwen would not acquire any new residential MSRs until April 30, 2018.</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Ocwen would develop a plan of action and milestones regarding its transition from the REALServicing</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servicing system to an alternate servicing system and, with certain exceptions, would not board any new loans onto the REALServicing system.</w:t>
      </w:r>
    </w:p>
    <w:p>
      <w:pPr>
        <w:ind w:left="660" w:right="5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that Ocwen chose to merge with or acquire an unaffiliated company or its assets in order to effectuate a transfer of loans from the REALServicing system, Ocwen was required to comply with regulatory notice and waiting period requirements.</w:t>
      </w:r>
    </w:p>
    <w:p>
      <w:pPr>
        <w:ind w:left="660" w:right="2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Ocwen would engage a third-party auditor to perform an analysis with respect to our compliance with certain federal and state laws relating to escrow by testing approximately 9,000 loan files relating to residential real property in various states, and Ocwen would develop corrective action plans for any errors identified by the third-party auditor.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Ocwen would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Ocwen would provide financial condition reporting on a confidential basis as part of each state’s supervisory framework through September 2020.</w:t>
      </w:r>
    </w:p>
    <w:p>
      <w:pPr>
        <w:spacing w:after="0" w:line="12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the following additional terms:</w:t>
      </w:r>
    </w:p>
    <w:p>
      <w:pPr>
        <w:spacing w:after="0" w:line="181" w:lineRule="exact"/>
        <w:rPr>
          <w:sz w:val="20"/>
          <w:szCs w:val="20"/>
          <w:color w:val="auto"/>
        </w:rPr>
      </w:pPr>
    </w:p>
    <w:p>
      <w:pPr>
        <w:ind w:left="660" w:right="28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agreed with the Connecticut Department of Banking to pay certain amounts only in the event we fail to comply with certain requirements under our agreement with Connecticut.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its agreement with the Maryland Office of the Commissioner of Financial Regulation, Ocwen agreed to complete an independent management assessment and enterprise risk assessment and to a prohibition, with certain de minimis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spacing w:after="0" w:line="2" w:lineRule="exact"/>
        <w:rPr>
          <w:rFonts w:ascii="Arial" w:cs="Arial" w:eastAsia="Arial" w:hAnsi="Arial"/>
          <w:sz w:val="16"/>
          <w:szCs w:val="16"/>
          <w:color w:val="auto"/>
        </w:rPr>
      </w:pPr>
    </w:p>
    <w:p>
      <w:pPr>
        <w:ind w:left="660" w:right="14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Ocwen agreed with the Massachusetts Division of Banks to pay $1.0 million to the Commonwealth of Massachusetts Mortgage Education Trust. Ocwen and the Massachusetts regulatory agency also agreed on a schedule pursuant to which we will regain eligibility to acquire residential MSRs on Massachusetts loans (including loans originated by Ocwen) as it meets certain thresholds in its transition to a new servicing system. All restrictions on Massachusetts MSR acquisitions will be lifted when Ocwen completes the second phase of a three-phase data integrity audit which will be conducted by an independent third-party following completion of Ocwen’s servicing system transition. The first phase of this audit, which was required to be completed prior to transitioning any Massachusetts loans to a new servicing system, has already been completed.</w:t>
      </w:r>
    </w:p>
    <w:p>
      <w:pPr>
        <w:spacing w:after="0" w:line="4" w:lineRule="exact"/>
        <w:rPr>
          <w:rFonts w:ascii="Arial" w:cs="Arial" w:eastAsia="Arial" w:hAnsi="Arial"/>
          <w:sz w:val="16"/>
          <w:szCs w:val="16"/>
          <w:color w:val="auto"/>
        </w:rPr>
      </w:pPr>
    </w:p>
    <w:p>
      <w:pPr>
        <w:ind w:left="660" w:right="2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Ocwen agreed with the Nebraska Department of Banking and Finance until April 30, 2019, to limit its growth through acquisition from correspondent relationships to no more than ten percent per year for Nebraska loans (based on the total number of loans held at the prior calendar year-end).</w:t>
      </w:r>
    </w:p>
    <w:p>
      <w:pPr>
        <w:spacing w:after="0" w:line="82" w:lineRule="exact"/>
        <w:rPr>
          <w:sz w:val="20"/>
          <w:szCs w:val="20"/>
          <w:color w:val="auto"/>
        </w:rPr>
      </w:pPr>
    </w:p>
    <w:p>
      <w:pPr>
        <w:ind w:right="320" w:firstLine="324"/>
        <w:spacing w:after="0" w:line="258" w:lineRule="auto"/>
        <w:rPr>
          <w:sz w:val="20"/>
          <w:szCs w:val="20"/>
          <w:color w:val="auto"/>
        </w:rPr>
      </w:pPr>
      <w:r>
        <w:rPr>
          <w:rFonts w:ascii="Arial" w:cs="Arial" w:eastAsia="Arial" w:hAnsi="Arial"/>
          <w:sz w:val="18"/>
          <w:szCs w:val="18"/>
          <w:color w:val="auto"/>
        </w:rPr>
        <w:t>In addition to the payments described above, we will also incur costs complying with the terms of these settlements, including in connection with the escrow analysis, Maryland organizational assessments, Massachusetts data integrity audits,</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and transition to Black Knight MSP. The remediation of errors identified during the escrow analysis could result in payments, credits or other actions to remediate such errors and other actions could be taken against us by regulators or others with respect to such errors.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92" w:right="279" w:bottom="1440" w:gutter="0" w:footer="0" w:header="0"/>
        </w:sectPr>
      </w:pPr>
    </w:p>
    <w:bookmarkStart w:id="10" w:name="page11"/>
    <w:bookmarkEnd w:id="10"/>
    <w:p>
      <w:pPr>
        <w:ind w:firstLine="324"/>
        <w:spacing w:after="0" w:line="286" w:lineRule="auto"/>
        <w:rPr>
          <w:sz w:val="20"/>
          <w:szCs w:val="20"/>
          <w:color w:val="auto"/>
        </w:rPr>
      </w:pPr>
      <w:r>
        <w:rPr>
          <w:rFonts w:ascii="Arial" w:cs="Arial" w:eastAsia="Arial" w:hAnsi="Arial"/>
          <w:sz w:val="16"/>
          <w:szCs w:val="16"/>
          <w:color w:val="auto"/>
        </w:rPr>
        <w:t>Although we have resolved all of the administrative actions taken by state regulators in April 2017 and shortly thereafter, we have not resolved all of the legal actions. In April 2017,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As previously disclosed, the Massachusetts Attorney General had sent us a civil investigative demand requesting information relating to various aspects of our servicing practices, including lender-placed insurance and property preservation fees. Subsequently, 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The Massachusetts Attorney General’s lawsuit seeks injunctive and equitable relief, costs, and civil money penalties of $5,000 per confirmed violation of the applicable statute. 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Certain of the state regulators’ cease and desist orders referenced a confidential supervisory memorandum of understanding (MOU) that we entered into with the MMC and six states relating to a servicing examination from 2013 to 2015. The MOU contained various provisions relating to servicing practices and safety and soundness aspects of the regulatory review, as a step toward closing the 2013 - 2015 examination. Ocwen responded to the MOU items and continues to provide certain reports and other information pursuant to the MOU. There were no monetary or other penalties imposed under the MOU. However, the MOU prohibited us from repurchasing stock during the development of a going forward plan and, thereafter, except as permitted by the plan. We prepared and submitted a plan that contained no stock repurchase restrictions and, therefore, we do not believe we are currently restricted from repurchasing stock. However, the MMC may not agree with our interpretation. For this reason, and on the basis of our progress to date responding to our obligations under the MOU, we have requested that the MOU be terminated. To the extent that we cannot terminate the MOU, we may remain subject to a share repurchase restriction and continued reporting obligations.</w:t>
      </w:r>
    </w:p>
    <w:p>
      <w:pPr>
        <w:spacing w:after="0" w:line="7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January 2018, prior to our acquisition of PHH, PHH Mortgage Corporation (PMC) entered into a settlement agreement with the MMC and consent orders with certain state attorneys general to resolve and close out findings of an MMC examination of PMC’s legacy mortgage servicing practices. Under the terms of these settlements, PMC agreed to comply with certain servicing standards, to conduct testing of compliance with such servicing standards for a period of three years, and to report to the MMC regarding the same. To the extent PMC does not comply with the terms of the servicing standards, the MMC or state attorneys general could take regulatory action against us, including imposing fines or penalties or otherwise restricting our business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We continue to provide information to the Department of Justice and we are engaged in ongoing discussions with the Department of Justice relating to this inquiry.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18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2016, Ocwen received a subpoena from the Office of Inspector General of HUD requesting the production of documentation related to HECM loans originated by Liberty. We understand that other lenders in the industry have received similar subpoenas. In May 2017, Ocwen received a subpoena from the Office of the Special Inspector General for the Troubled Asset Relief Program (SIGTARP) requesting the production of documents related to Ocwen’s participation from 2009 to the present in the Treasury Department’s Making Home Affordable Program and its Home Affordable Modification Program (HAMP). We have been providing documents and information in response to these subpoenas.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March 2017, we entered into a consent order with the NY DFS (the 2017 NY Consent Order) that provided for the termination of the engagement of a monitor appointed pursuant to an earlier 2014 consent order and for us to address certain concerns raised by the NY DFS that primarily relate to our servicing operations, as well as for us to comply with certain reporting and other obligations. In addition, in connection with the NY DFS’ approval in September 2018, of our acquisition of PHH, we agreed to satisfy certain post-closing requirements, including reporting obligations and record retention and other requirements relating to the transfer of loans collateralized by New York property (New York loans) onto Black Knight MSP and certain requirements with respect to the evaluation and supervision of management of both Ocwen Financial Corporation and PMC. In addition, we are prohibited from boarding any additional loans onto the current REALServicing system and we must transfer all New York loans off the REALServicing system by April 30, 2020. The conditional approval also modified a preexisting restriction on our ability to acquire MSRs such that the restriction applies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system have been successfully migrated to Black Knight MSP and that Ocwen has developed a satisfactory infrastructure to board sizable portfolios of MSRs.</w:t>
      </w:r>
    </w:p>
    <w:p>
      <w:pPr>
        <w:spacing w:after="0" w:line="18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February 17, 2017, OLS and two other subsidiaries, Ocwen Business Solutions, Inc. (OBS) and Ocwen Financial Solutions Private Limited (OFSPL), reached an agreement, in three consent orders (collectively, the 2017 CA Consent Order), with the CA DBO that terminated an earlier 2015 consent order and resolved open matters between the CA DBO and OLS, OBS and OFSPL, including certain matters relating to OLS’ servicing practices and the licensed activities of OBS and OFSPL.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Still outstanding, however, is our completion of $198.0 million in debt forgiveness for California borrowers by June 30, 2019. As of December 31, 2018, we estimate that we have approximately $15.0 million of debt forgiveness remaining to complete. Based on internal forecasting, we currently believe that we will be able to complete this requirement by June 30, 2019. However, if we are unable to complete this requirement by the deadline or obtain an extension, the 2017 CA Consent Order obligates us to pay the remaining amount to the CA DBO in cash. Our debt forgiveness activities take place as we modify loans - our loan modifications are designed to be sustainable for homeowners while providing a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 If the CA DBO were to allege that we failed to comply with our obligations under the 2017 CA Consent Order or that we otherwise were in breach of applicable laws, regulations or licensing requirements, the CA DBO could also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 and non-bank entities, in the servicing and lending markets. Our competitors include large banks, such as Wells Fargo, JPMorgan Chase, Bank of America and Citibank, large non-bank servicers such as Mr. Cooper and Ditech Financial, market disruptors such as Quicken Loans, SunTrust Mortgage and Regions Mortgage who are aggressively investing in the digital transformation of their business platforms, and real estate investment trusts, including New Residential Investment Corp.</w:t>
      </w:r>
    </w:p>
    <w:p>
      <w:pPr>
        <w:spacing w:after="0" w:line="188"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In the servicing industry, we compete based on price, quality and counterparty risk. Potential counterparties also (1) assess our regulatory compliance track record and examine our systems and processes for maintaining and demonstrating regulatory compliance, (2) consider our customer satisfaction rankings, and (3) consider our third-party servicer ratings. Certain of our competitors, especially large banks, may have substantially lower costs of capital and greater financial resources, which makes it challenging to compete. We believe that our competitive strengths flow from our ability to control and drive down delinquencies using proprietary processes and our lower cost to service non-performing, non-Agency loans. Notwithstanding</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8" w:right="239" w:bottom="144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color w:val="auto"/>
        </w:rPr>
        <w:t>these strengths, we have suffered reputational damage as a result of our regulatory settlements and the associated scrutiny of our business. We believe this has weakened our competitive position against both our bank and non-bank servicing competitors.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the lending industry, we face intense competition in most areas, including product offerings, rates, fees and customer service. Some of our competitors, including the larger banks, have substantially lower costs of capital and strong retail presence, which makes it challenging to compete. In addition,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We believe our competitive strengths flow from our existing role as a mortgage servicer, which provides us with an existing customer relationship to capture refinance volume from our servicing portfolio and from our customer service.</w:t>
      </w:r>
    </w:p>
    <w:p>
      <w:pPr>
        <w:spacing w:after="0" w:line="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reverse lending market faces many of the same competitive pressures as the forward market. In addition, the reverse market is significantly smaller than the forward market with a higher market share concentration among the top five Ginnie Mae HMBS issuers. These higher concentration levels can, at times, lead to significant price competition. We believe our competitive advantage flows from Liberty’s long tenure in the industry (Liberty began operations in 2004), which provides us with significant experience and contributes to our name recognition, our strategic partnerships and our use of technology to produce higher levels of productivity to drive down per-loan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 (Fitch). Favorable ratings from these agencies are important to the conduct of our loan servicing and lending businesses.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38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2"/>
              </w:rPr>
              <w:t>Ocwen Loan Servicing, LLC</w:t>
            </w:r>
          </w:p>
        </w:tc>
        <w:tc>
          <w:tcPr>
            <w:tcW w:w="126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PHH Corporation</w:t>
            </w:r>
          </w:p>
        </w:tc>
        <w:tc>
          <w:tcPr>
            <w:tcW w:w="1240" w:type="dxa"/>
            <w:vAlign w:val="bottom"/>
          </w:tcPr>
          <w:p>
            <w:pPr>
              <w:spacing w:after="0"/>
              <w:rPr>
                <w:sz w:val="20"/>
                <w:szCs w:val="20"/>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16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Moody’s</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Fitch</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S&amp;P</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3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62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0"/>
              </w:rPr>
              <w:t>SQ3-</w:t>
            </w:r>
          </w:p>
        </w:tc>
        <w:tc>
          <w:tcPr>
            <w:tcW w:w="13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RPS3-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4"/>
              </w:rPr>
              <w:t>RPS3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Residential Primary Servicer</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SQ3</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RPS3</w:t>
            </w:r>
          </w:p>
        </w:tc>
      </w:tr>
      <w:tr>
        <w:trPr>
          <w:trHeight w:val="27"/>
        </w:trPr>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Subprime Servicer</w:t>
            </w:r>
          </w:p>
        </w:tc>
        <w:tc>
          <w:tcPr>
            <w:tcW w:w="162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0"/>
              </w:rPr>
              <w:t>SQ3-</w:t>
            </w:r>
          </w:p>
        </w:tc>
        <w:tc>
          <w:tcPr>
            <w:tcW w:w="13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RPS3-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SQ3</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6"/>
              </w:rPr>
              <w:t>Average</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Residential Special Servicer</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SQ3-</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RSS3-</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SQ3</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RPS3</w:t>
            </w:r>
          </w:p>
        </w:tc>
      </w:tr>
      <w:tr>
        <w:trPr>
          <w:trHeight w:val="27"/>
        </w:trPr>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08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Residential Second/Subordinate Lien</w:t>
            </w:r>
          </w:p>
        </w:tc>
        <w:tc>
          <w:tcPr>
            <w:tcW w:w="15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0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Servicer</w:t>
            </w:r>
          </w:p>
        </w:tc>
        <w:tc>
          <w:tcPr>
            <w:tcW w:w="162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0"/>
              </w:rPr>
              <w:t>SQ3-</w:t>
            </w:r>
          </w:p>
        </w:tc>
        <w:tc>
          <w:tcPr>
            <w:tcW w:w="13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RPS3-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SQ3</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6"/>
              </w:rPr>
              <w:t>Average</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4"/>
              </w:rPr>
              <w:t>RPS3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Residential Home Equity Servicer</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RPS3-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RPS3</w:t>
            </w:r>
          </w:p>
        </w:tc>
      </w:tr>
      <w:tr>
        <w:trPr>
          <w:trHeight w:val="27"/>
        </w:trPr>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Alt-A Servicer</w:t>
            </w:r>
          </w:p>
        </w:tc>
        <w:tc>
          <w:tcPr>
            <w:tcW w:w="162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RPS3-</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4"/>
              </w:rPr>
              <w:t>RPS3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Master Servicing</w:t>
            </w:r>
          </w:p>
        </w:tc>
        <w:tc>
          <w:tcPr>
            <w:tcW w:w="162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SQ3</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RMS3-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Ratings Outlook</w:t>
            </w:r>
          </w:p>
        </w:tc>
        <w:tc>
          <w:tcPr>
            <w:tcW w:w="1620" w:type="dxa"/>
            <w:vAlign w:val="bottom"/>
            <w:tcBorders>
              <w:bottom w:val="single" w:sz="8" w:color="EAF9E8"/>
            </w:tcBorders>
            <w:gridSpan w:val="2"/>
            <w:shd w:val="clear" w:color="auto" w:fill="EAF9E8"/>
          </w:tcPr>
          <w:p>
            <w:pPr>
              <w:jc w:val="center"/>
              <w:ind w:left="5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6"/>
              </w:rPr>
              <w:t>Stable</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Stable</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Stable</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Stable</w:t>
            </w:r>
          </w:p>
        </w:tc>
      </w:tr>
      <w:tr>
        <w:trPr>
          <w:trHeight w:val="230"/>
        </w:trPr>
        <w:tc>
          <w:tcPr>
            <w:tcW w:w="3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080" w:type="dxa"/>
            <w:vAlign w:val="bottom"/>
            <w:shd w:val="clear" w:color="auto" w:fill="EAF9E8"/>
          </w:tcPr>
          <w:p>
            <w:pPr>
              <w:spacing w:after="0"/>
              <w:rPr>
                <w:sz w:val="19"/>
                <w:szCs w:val="19"/>
                <w:color w:val="auto"/>
              </w:rPr>
            </w:pPr>
          </w:p>
        </w:tc>
        <w:tc>
          <w:tcPr>
            <w:tcW w:w="15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February 26,</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October 30,</w:t>
            </w: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November 1,</w:t>
            </w:r>
          </w:p>
        </w:tc>
      </w:tr>
      <w:tr>
        <w:trPr>
          <w:trHeight w:val="230"/>
        </w:trPr>
        <w:tc>
          <w:tcPr>
            <w:tcW w:w="3080" w:type="dxa"/>
            <w:vAlign w:val="bottom"/>
            <w:shd w:val="clear" w:color="auto" w:fill="EAF9E8"/>
          </w:tcPr>
          <w:p>
            <w:pPr>
              <w:ind w:left="40"/>
              <w:spacing w:after="0"/>
              <w:rPr>
                <w:sz w:val="20"/>
                <w:szCs w:val="20"/>
                <w:color w:val="auto"/>
              </w:rPr>
            </w:pPr>
            <w:r>
              <w:rPr>
                <w:rFonts w:ascii="Arial" w:cs="Arial" w:eastAsia="Arial" w:hAnsi="Arial"/>
                <w:sz w:val="18"/>
                <w:szCs w:val="18"/>
                <w:color w:val="auto"/>
              </w:rPr>
              <w:t>Date of last action (1)</w:t>
            </w:r>
          </w:p>
        </w:tc>
        <w:tc>
          <w:tcPr>
            <w:tcW w:w="1620" w:type="dxa"/>
            <w:vAlign w:val="bottom"/>
            <w:gridSpan w:val="2"/>
            <w:shd w:val="clear" w:color="auto" w:fill="EAF9E8"/>
          </w:tcPr>
          <w:p>
            <w:pPr>
              <w:jc w:val="center"/>
              <w:ind w:left="50"/>
              <w:spacing w:after="0"/>
              <w:rPr>
                <w:sz w:val="20"/>
                <w:szCs w:val="20"/>
                <w:color w:val="auto"/>
              </w:rPr>
            </w:pPr>
            <w:r>
              <w:rPr>
                <w:rFonts w:ascii="Arial" w:cs="Arial" w:eastAsia="Arial" w:hAnsi="Arial"/>
                <w:sz w:val="18"/>
                <w:szCs w:val="18"/>
                <w:color w:val="auto"/>
                <w:w w:val="93"/>
              </w:rPr>
              <w:t>April 24, 2017</w:t>
            </w: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EAF9E8"/>
          </w:tcPr>
          <w:p>
            <w:pPr>
              <w:spacing w:after="0"/>
              <w:rPr>
                <w:sz w:val="20"/>
                <w:szCs w:val="20"/>
                <w:color w:val="auto"/>
              </w:rPr>
            </w:pP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July 27, 2018</w:t>
            </w: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October 8, 2018</w:t>
            </w: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308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Moody’s placed the OLS servicer ratings on Watch for Downgrade on April 24, 2017.</w:t>
      </w:r>
    </w:p>
    <w:p>
      <w:pPr>
        <w:spacing w:after="0" w:line="21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See Item 1A. Risk Factors - Risks Relating to Our Business for further discussion of the adverse effects that a failure to maintain minimum servicer ratings could have on our business, financing activities, financial condition or results of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NEW RESIDENTIAL INVESTMENT CORP. RELATIONSHIP</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NRZ is our largest servicing counterparty, and consequently our servicing business is highly dependent on our continued relationship with NRZ. NRZ related servicing accounted for 51% of the UPB of residential assets serviced as of December 31, 2018. We service loans on behalf of NRZ under various agreements including in connection with Rights to MSRs, where Ocwen retains legal title to the underlying MSRs but NRZ has generally assumed risks and rewards consistent with an MSR owner, and traditional subservicing agreements, where NRZ is the legal MSR owner. As legal MSR owner, or in compliance with the Rights to MSRs agreements, NRZ is responsible to finance all servicing advance obligations in connection with the loans underlying the MSRs. At December 31, 2018, such servicing advances were approximately $2.7 billion.</w:t>
      </w:r>
    </w:p>
    <w:p>
      <w:pPr>
        <w:spacing w:after="0" w:line="178" w:lineRule="exact"/>
        <w:rPr>
          <w:sz w:val="20"/>
          <w:szCs w:val="20"/>
          <w:color w:val="auto"/>
        </w:rPr>
      </w:pPr>
    </w:p>
    <w:p>
      <w:pPr>
        <w:ind w:right="20" w:firstLine="324"/>
        <w:spacing w:after="0" w:line="235" w:lineRule="auto"/>
        <w:rPr>
          <w:sz w:val="20"/>
          <w:szCs w:val="20"/>
          <w:color w:val="auto"/>
        </w:rPr>
      </w:pPr>
      <w:r>
        <w:rPr>
          <w:rFonts w:ascii="Arial" w:cs="Arial" w:eastAsia="Arial" w:hAnsi="Arial"/>
          <w:sz w:val="18"/>
          <w:szCs w:val="18"/>
          <w:color w:val="auto"/>
        </w:rPr>
        <w:t>The Ocwen subservicing agreement has an initial five-year term, ending July 2022. NRZ may terminate the agreements for convenience, subject to Ocwen’s right to receive a termination fee and proper notice at any time during the initial five-year term. The subservicing agreement can be renewed for three-month terms at NRZ’s option. In addition to a base servicing fee, we receive ancillary income, which primarily includes late fees, loan modification fees and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NRZ receives all float earnings and deferred servicing fees related to delinquent borrower payments, as well as certain REO-related income including REO referral commissions.</w:t>
      </w:r>
    </w:p>
    <w:p>
      <w:pPr>
        <w:spacing w:after="0" w:line="2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working towards obtaining the remaining third-party consents to transfer legal title to NRZ for all of the MSRs such that in the future the relationship will be purely a subservicing relationship. With respect to its Rights to MSRs interests, NRZ has the right to sell its servicing rights to a third party if these third-party consents are not obtained and Ocwen does not elect to purchase NRZ’s servicing rights. If NRZ sells its servicing rights to a third party, the transaction can only be completed if the third-party buyer can obtain the necessary third-party consents to transfer the MSRs as required pursuant to the underlying servicing agreements. NRZ also has the obligation to use reasonable efforts to encourage such third-party buyer to enter into a subservicing agreement with Ocwen. However, Ocwen would lose future compensation for subservicing, if no subservicing agreement were ultimately entered into with the third-party buyer.</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PHH subservicing agreement has an initial three-year term, ending June 2020, and contain certain transfer and termination provisions whereby NRZ has the ability to terminate over the three-year term, beginning with the ability to terminate with respect to 25% of the loans covered thereby in June 2018 and 25% beginning in June 2019. NRZ has not provided notice of termination under this 25% termination provision. The PHH subservicing agreement automatically renews for successive one-year terms. Both NRZ and PHH have the right to terminate the subservicing agreement without cause with proper notice. In addition to a base servicing fee based on the delinquency status of each loan, we also receive and ancillary income, which primarily includes late fees, loan modification fees and Speedpay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VENDOR RELATIONSHIP</w:t>
      </w:r>
    </w:p>
    <w:p>
      <w:pPr>
        <w:spacing w:after="0" w:line="229"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Each of Ocwen Financial Corporation and OMS are parties to a Services Agreement, a Technology Products Services Agreement, an Intellectual Property Agreement and a Data Center and Disaster Recovery Services Agreement with a subsidiary of Altisource. Under the Services Agreements, Altisource provides residential property valuation services, property preservation and inspection services and title services, among other things. Altisource provides certain technology products and support services under the Technology Products Services Agreements and the Data Center and Disaster Recovery Services Agreements, including licensing us the REALServicing loan servicing system under a statement of work under the Technology Products Services Agreements. These agreements expire August 31, 2025. Ocwen and Altisource have also entered into a Master Services Agreement pursuant to which Altisource provides title services to Liberty and a General Referral Fee agreement pursuant to which Ocwen receives referral fees that are paid out of the commission that would otherwise be paid to Altisource as the selling broker in connection with certain real estate sales.</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currently in the process of transitioning to Black Knight MSP to REALServicing. On February 22, 2019, Ocwen and Altisource S.à r.l (a subsidiary of Altisource) signed a Binding Term Sheet, which among other things, confirms Altisource’s cooperation with the de-boarding of loans from Altisource’s REALServicing servicing system to Black Knight’s MSP servicing system. The Binding Term Sheet also includes provisions regarding assuring that data is accurately transferred to Ocwen, including Ocwen having the ability to verify data accuracy and having continued access to the REALServicing system for an acceptable period of time. We have successfully completed two transfers of loans to Black Knight MSP, totaling approximately 240,000 loans, as of February 27, 2019.</w:t>
      </w:r>
    </w:p>
    <w:p>
      <w:pPr>
        <w:spacing w:after="0" w:line="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Binding Term Sheet also amends certain provisions set forth in the Services Agreements. After certain conditions have been met and where Ocwen has the right to select the services provider, Ocwen will use Altisource to provide the types of services that Altisource currently provides under the Services Agreements for at least 90% of services for all portfolios for which Ocwen is the servicer or subservicer, except that Altisource will be the provider for all such services for the portfolios: (i) acquired by Ocwen pursuant to loan servicing under agreements from Homeward (acquired in 2012) or assigned and assumed by Ocwen from Residential Capital, LLC, et al (assets acquired in 2013); and (ii) acquired from Ocwen, excluding certain portfolios in which PHH has an interest, by NRZ or its affiliates prior to the date of the Binding Term Sheet. Notwithstanding the foregoing, Altisource will be the provider of mortgage charge-off collections services under the Services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4" w:name="page15"/>
    <w:bookmarkEnd w:id="14"/>
    <w:p>
      <w:pPr>
        <w:ind w:right="40"/>
        <w:spacing w:after="0" w:line="255" w:lineRule="auto"/>
        <w:rPr>
          <w:sz w:val="20"/>
          <w:szCs w:val="20"/>
          <w:color w:val="auto"/>
        </w:rPr>
      </w:pPr>
      <w:r>
        <w:rPr>
          <w:rFonts w:ascii="Arial" w:cs="Arial" w:eastAsia="Arial" w:hAnsi="Arial"/>
          <w:sz w:val="18"/>
          <w:szCs w:val="18"/>
          <w:color w:val="auto"/>
        </w:rPr>
        <w:t>Agreements. The Binding Term Sheet also sets forth a framework for negotiating additional service level changes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referrals received by Altisource after the effective date of the Binding Term Sheet, the provisions include reciprocal indemnification obligations in the event of negligence by either Party and Altisource’s indemnification obligations of Ocwen in the event of any breach by Altisource of its obligations under the Services Agreements. The limitations of liability provisions include an exception for losses either party suffers as a result of third-party claims.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USVI OPERATIONS</w:t>
      </w:r>
    </w:p>
    <w:p>
      <w:pPr>
        <w:spacing w:after="0" w:line="162"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As part of an initiative to reorganize the ownership and management of our global servicing assets and operations under a single entity and cost-effectively expand our U.S.-based origination and servicing activities, Ocwen formed OMS in 2012 under the laws of the USVI where OMS is incorporated and has its principal place of business. OMS is headquartered in Christiansted, St. Croix, USVI and is located in a federally recognized economic development zone where qualified entities are eligible for certain tax benefits. We refer to these benefits as “EDC Benefits” as they are granted by the USVI Economic Development Commission (EDC). We were approved as a Category IIA service business, and are therefore entitled to receive significant benefits that may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Although we are eligible for a reduced tax rate in the USVI, the reduced tax rate has not provided Ocwen with a foreign tax benefit in recent tax years as we have been incurring taxable losses in the USVI.</w:t>
      </w:r>
    </w:p>
    <w:p>
      <w:pPr>
        <w:spacing w:after="0" w:line="7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acquisition of PHH and our overall corporate simplification and cost reduction efforts, we are planning a legal entity reorganization that will involve our two primary licensed entities, OLS and Homeward merging into PHH’s primary licensed entity, PMC. As a result of this reorganization, a portion of our USVI operations and assets will be transferred to the U.S. We plan to continue to maintain operations and the EDC Benefits in the USVI until, through and after the reorganization. We expect the reorganization to result in efficiencies and operational cost savings through reduced complexity and a simplification of our global structure.</w:t>
      </w:r>
    </w:p>
    <w:p>
      <w:pPr>
        <w:spacing w:after="0" w:line="18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On December 22, 2017, significant revisions to the Internal Revenue Code of 1986, as amended, were signed into law (Tax Act). The newly enacted federal income tax law, among other things, contains significant changes to corporate taxation, including reduction of the U.S. corporate tax rate from a top marginal rate of 35% to a flat rate of 21%, elimination of U.S. tax on foreign earnings (subject to certain important exceptions), and a new minimum tax enacted to prevent companies from stripping earnings out of the U.S. through U.S. tax deductible payments made to foreign affiliates. The reduction in the statutory U.S. federal rate is expected to positively impact our future U.S. after-tax earnings. However, the ultimate impact of the Tax Act on our future after tax earnings is subject to the effect of other complex provisions in the Tax Act, including the Base Erosion and Anti-Abuse Tax (BEAT), Global Intangible Low-Taxed Income (GILTI), and revised interest deductibility limitations. It is possible that the impact of these provisions could significantly reduce the benefit of the reduction in the statutory U.S. federal rate and may also negatively impact the tax advantages received from the EDC Benefits. In addition, Ocwen is continuing to evaluate the impact of the new tax legislation and guiding regulations (which are still being promulgated and finalized) on its global tax position. Certain provisions of the new tax laws and regulations are currently expected to result in an increase to our current income tax obligations.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had a total of approximately 7,200 and 7,600 employees at December 31, 2018 and 2017, respectively. We maintain operations in the U.S., USVI, India and the Philippines. At December 31, 2018, approximately 4,100 of our employees were located in India and approximately 500 were based in the Philippines. Of our foreign-based employees, more than 80% were engaged in our Servicing operations as of December 31, 2018. Because of the large number of employees in India, our operations could be impacted by significant changes to the political or economic conditions in India or in the political or regulatory climate in the U.S. with respect to U.S. businesses engaging in foreign operations.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21.1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annual report on Form 10-K, quarterly reports on Form 10-Q, current reports on Form 8-K and all amendments to those reports are made available free of charge through our website (www.ocwen.com) as soon as reasonably practicable after such material is electronically filed with or furnished to the SEC. The SEC maintains an Internet site that contains reports,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proxy and information statements and other information regarding issuers, including Ocwen, that file electronically with the SEC. The address of that site is www.sec.gov. We have also posted on our website, and have available in print upon request (1) the charters for our Audit Committee, Compensation Committee, Nomination/Governance Committee, Compliance Committee, Risk Committee and Independent Review Committee, (2) our Corporate Governance Guidelines, (3) our Code of Business Conduct and Ethics and (4) our Code of Ethics for Senior Financial Officers. Within the time period required by the SEC and the New York Stock Exchange, we will post on our website any amendment to or waiver of the Code of Ethics for Senior Financial Officers, as well as any amendment to the Code of Business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An investment in our common stock involves significant risk. We describe below the most significant risks that management believes affect or could affect us. Understanding these risks is important to understanding any statement in this Annual Report and to evaluating an investment in our common stock. You should carefully read and consider the risks and uncertainties described below together with all the other information included or incorporated by reference in this Annual Report before you make any decision regarding an investment in our common stock. You should also consider the information set forth above under “Forward Looking Statements.” If any of the following risks actually occur, our business, financial condition and results of operations could be materially and adversely affected. If this were to happen, the value of our common stock could significantly decline, and you could lose some or all of your investment. While the following discussion provides a description of some of the important risks that could cause our results to vary materially from those expressed in public statements or documents, other factors besides those discussed within this Annual Report or elsewhere in other of our reports filed with or furnished to the SEC could also affect our business or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CFPB, HUD, the SEC and various state agencies that license and conduct examinations of our servicing and lending activities. In addition, we operate under a number of regulatory settlements that subject us to ongoing reporting and other obligations. See the next risk factor below for additional detail concerning these regulatory settlements.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FHFA), Ginnie Mae, the United States Treasury Department, various investors, non-Agency securitization trustees and others also subject us to periodic reviews and audits.</w:t>
      </w:r>
    </w:p>
    <w:p>
      <w:pPr>
        <w:spacing w:after="0" w:line="5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must devote substantial resources to regulatory compliance, and we incurred, and expect to continue to incur, significant ongoing costs to comply with new and existing laws and governmental regulation of our business. If we fail to effectively manage our regulatory and contractual compliance, the resources we are required to devote and our compliance expenses would likely increase. We have identified fulfilling our regulatory commitments and resolving remaining legacy matters as a key initiative in the first phase of our plan to return to profitability while executing the integration with PHH. Any significant delay or complication in fulfilling our regulatory commitments may jeopardize our ability to return to profitability and to obtain the anticipated benefits of our acquisition of PHH.</w:t>
      </w:r>
    </w:p>
    <w:p>
      <w:pPr>
        <w:spacing w:after="0" w:line="17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Dodd-Frank Act, the Gramm-Leach-Bliley Act, the Fair Debt Collection Practices Act, RESPA, TILA, the Fair Credit Reporting Act, the Servicemembers Civil Relief Act, the Homeowners Protection Act, the Federal Trade Commission Act, the Telephone Consumer Protection Act,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See “Business - Regulation” for additional information regarding our regulators and the laws that apply to us.</w:t>
      </w:r>
    </w:p>
    <w:p>
      <w:pPr>
        <w:spacing w:after="0" w:line="1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To be successful, we must structure and operate our business to comply with applicable laws and regulations and the terms of our regulatory settlements. This can require judgment with respect to the requirements of such laws and regulations and such</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6" w:name="page17"/>
    <w:bookmarkEnd w:id="16"/>
    <w:p>
      <w:pPr>
        <w:jc w:val="both"/>
        <w:ind w:right="760"/>
        <w:spacing w:after="0" w:line="264" w:lineRule="auto"/>
        <w:rPr>
          <w:sz w:val="20"/>
          <w:szCs w:val="20"/>
          <w:color w:val="auto"/>
        </w:rPr>
      </w:pPr>
      <w:r>
        <w:rPr>
          <w:rFonts w:ascii="Arial" w:cs="Arial" w:eastAsia="Arial" w:hAnsi="Arial"/>
          <w:sz w:val="18"/>
          <w:szCs w:val="18"/>
          <w:color w:val="auto"/>
        </w:rPr>
        <w:t>settlements. While we endeavor to engage regularly with our regulators in an effort to ensure we do so correctly, if we fail to interpret correctly the requirements of such laws and regulations or the terms of our regulatory settlements, we could be found to be in breach of such laws, regulations or settlements.</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actual or alleged failure to comply with the terms of our regulatory settlements or applicable federal, state and local consumer protection laws, regulations and licensing requirements could lead to any of the following: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raise capital or otherwise secure the necessary financing to operate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to our operations that may otherwise not occur in the normal course, and that could cause us to incur significant transition costs; or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recent years, the general trend among federal, state and local lawmakers and regulators has been toward increasing laws, regulations and investigative proceedings with regard to residential mortgage lenders and servicers. The CFPB continues to take a very active role in the mortgage industry, and its rule-making and regulatory agenda relating to loan servicing and originations continues to evolve. Individual states have also been active, as have other regulatory organizations such as the MMC. We also believe there has been a shift among certain regulators towards a broader view of the scope of regulatory oversight responsibilities with respect to mortgage originators and servicers. In addition to their traditional focus on licensing and examination matters, certain regulators have begun to make observations, recommendations or demands with respect to such areas as corporate governance, safety and soundness, and risk and compliance management. We must endeavor to work cooperatively with our regulators to understand all their concerns if we are to be successful in our business.</w:t>
      </w:r>
    </w:p>
    <w:p>
      <w:pPr>
        <w:spacing w:after="0" w:line="8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Following the 2018 Congressional elections, a level of heightened uncertainty exists with respect to the future of regulation of mortgage lending and servicing, including the future of the Dodd Frank Act and CFPB. We cannot predict the specific legislative or executive actions that may result or what actions federal or state regulators might take in response to potential changes to the Dodd Frank Act or to the federal regulatory environment generally. Such actions could impact the industry generally or us specifically, could impact our relationships with other regulators, and could adversely impact our business and limit our ability to reach an appropriate resolution with the CFPB with which we are engaged to attempt to resolve certain concerns relating to our mortgage servicing practices, as described in the next risk factor.</w:t>
      </w:r>
    </w:p>
    <w:p>
      <w:pPr>
        <w:spacing w:after="0" w:line="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CFPB and state regulators have also increasingly focused on the use, and adequacy, of technology in the mortgage servicing industry. In 2016, the CFPB issued a special edition supervision report that stressed the need for mortgage servicers to assess and make necessary improvements to their information technology systems in order to ensure compliance with the CFPB’s mortgage servicing requirements. The NY DFS also issued Cybersecurity Requirements for Financial Services Companies, effective in 2017, which require banks, insurance companies, and other financial services institutions regulated by the NY DFS to establish and maintain a cybersecurity program designed to protect consumers and ensure the safety and soundness of New York State’s financial services industry.</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Governmental bodies have taken regulatory and legal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results of operations, ability to grow and reputation.</w:t>
      </w:r>
    </w:p>
    <w:p>
      <w:pPr>
        <w:spacing w:after="0" w:line="181"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are subject to a number of ongoing federal and state regulatory examinations, consent orders, inquiries, subpoenas, civil investigative demands, requests for information and other actions that could result in further adverse regulatory action against us. These matters are summarized below.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CFPB</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7" w:name="page18"/>
    <w:bookmarkEnd w:id="17"/>
    <w:p>
      <w:pPr>
        <w:ind w:right="40" w:firstLine="324"/>
        <w:spacing w:after="0" w:line="253" w:lineRule="auto"/>
        <w:rPr>
          <w:sz w:val="20"/>
          <w:szCs w:val="20"/>
          <w:color w:val="auto"/>
        </w:rPr>
      </w:pPr>
      <w:r>
        <w:rPr>
          <w:rFonts w:ascii="Arial" w:cs="Arial" w:eastAsia="Arial" w:hAnsi="Arial"/>
          <w:sz w:val="18"/>
          <w:szCs w:val="18"/>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While we believe we have factual and legal defenses to the CFPB’s allegations and are vigorously defending ourselves, it is possible that resolution of the matters raised by the CFPB could have a material adverse impact on our business, reputation, financial condition, liquidity and results of operations.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Licensing and State Attorneys General</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We believe our licensed entities were in compliance with all of their minimum net worth requirements at December 31, 2018. However, it is possible that regulators could disagree with our calculations, and one state regulator has disagreed with our calculation for a prior year period; we are currently discussing the matter with the regulator.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w:t>
      </w:r>
    </w:p>
    <w:p>
      <w:pPr>
        <w:spacing w:after="0" w:line="18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These regulatory actions generally took the form of orders styled as “cease and desist orders” and prohibited a range of actions relating to our lending and servicing activities.</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entered into agreements with all 29 states plus the District of Columbia to resolve these regulatory actions. These agreements generally contained the Multi-State Common Settlement Terms.</w:t>
      </w:r>
    </w:p>
    <w:p>
      <w:pPr>
        <w:spacing w:after="0" w:line="170"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requirements to make certain monetary payments.</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will also incur costs complying with the terms of these settlements, including in connection with the escrow analysis and the transition to Black Knight MSP. In addition, the remediation of errors identified during the escrow analysis could result in payments, credits or other actions to remediate such errors and other actions could be taken against us by regulators or others with respect to such errors.</w:t>
      </w:r>
    </w:p>
    <w:p>
      <w:pPr>
        <w:spacing w:after="0" w:line="7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Although we have resolved all of the administrative actions taken by state regulators in April 2017 and shortly thereafter, we have not resolved all of the legal actions. In April 2017,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As previously disclosed, the Massachusetts Attorney General had sent us a civil investigative demand requesting information relating to various aspects of our servicing practices, including lender-placed insurance and property preservation fees. Subsequently, 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The Massachusetts Attorney General’s lawsuit seeks injunctive and equitable relief, costs, and civil money penalties of $5,000 per confirmed violation of the applicable statute. 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8" w:name="page19"/>
    <w:bookmarkEnd w:id="18"/>
    <w:p>
      <w:pPr>
        <w:ind w:right="320" w:firstLine="324"/>
        <w:spacing w:after="0" w:line="259" w:lineRule="auto"/>
        <w:rPr>
          <w:sz w:val="20"/>
          <w:szCs w:val="20"/>
          <w:color w:val="auto"/>
        </w:rPr>
      </w:pPr>
      <w:r>
        <w:rPr>
          <w:rFonts w:ascii="Arial" w:cs="Arial" w:eastAsia="Arial" w:hAnsi="Arial"/>
          <w:sz w:val="18"/>
          <w:szCs w:val="18"/>
          <w:color w:val="auto"/>
        </w:rPr>
        <w:t>Certain of the state regulators’ cease and desist orders referenced the MOU that we entered into with the MMC and six states relating to a servicing examination from 2013 to 2015. The MOU contained various provisions relating to servicing practices and safety and soundness aspects of the regulatory review, as a step toward closing the 2013 - 2015 examination. Ocwen responded to the MOU items and continues to provide certain reports and other information pursuant to the MOU.</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There were no monetary or other penalties imposed under the MOU. However, the MOU prohibited us from repurchasing stock during the development of a going forward plan and, thereafter, except as permitted by the plan. We prepared and submitted a plan that contained no stock repurchase restrictions and, therefore, we do not believe we are currently restricted from repurchasing stock. However, the MMC may not agree with our interpretation. For this reason, and on the basis of our progress to date responding to our obligations under the MOU, we have requested that the MOU be terminated. To the extent that we cannot terminate the MOU, we may remain subject to a share repurchase restriction and continued reporting obligations.</w:t>
      </w:r>
    </w:p>
    <w:p>
      <w:pPr>
        <w:spacing w:after="0" w:line="5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January 2018, prior to our acquisition of PHH, PMC entered into a settlement agreement with the MMC and consent orders with certain state attorneys general to resolve and close out findings of an MMC examination of PMC’s legacy mortgage servicing practices. Under the terms of these settlements, PMC agreed to comply with certain servicing standards, to conduct testing of compliance with such servicing standards for a period of three years, and to report to the MMC regarding the same. To the extent PMC does not comply with the terms of the servicing standards, the MMC or state attorneys general could take regulatory action against us, including imposing fines or penalties or otherwise restricting our business activities.</w:t>
      </w:r>
    </w:p>
    <w:p>
      <w:pPr>
        <w:spacing w:after="0" w:line="6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the 2017 CA Consent Order, we continue to work on completing our debt forgiveness obligations. As of December 31, 2018, we estimate that we have approximately $15.0 million of debt forgiveness remaining to complete. Based on internal forecasting, we currently believe that we will be able to complete this requirement by June 30, 2019. However, if we are unable to complete this requirement by the deadline or obtain an extension, the 2017 CA Consent Order obligates us to pay the remaining amount to the CA DBO in cash. If the CA DBO were to allege that we failed to comply with our obligations under the 2017 CA Consent Order or that we otherwise were in breach of applicable laws, regulations or licensing requirements, the CA DBO could also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occasion, we engage with agencies of the federal government on various matters, including the Department of Justice, the Office of Inspector General of HUD and SIGTARP. In addition to the expense of responding to subpoenas and other requests for information from such agencies, in the event that any of these engagements result in allegations of wrongdoing by us, we may incur fines or penalties or significant legal expenses defending ourselves against such allegations.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recent years, we have entered into significant settlements with the NY DFS and the CA DBO, and the 2013 Ocwen National Mortgage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Settlement. These settlements involved payments of monetary amounts, ongoing monitoring by third-party firms for which we were financially responsible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restrictions on our business. For example, we recognized $177.5 million in third-party monitoring costs alone relating to these settlements. While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are not currently subject to active monitorships under these settlements, we remain obligated to comply with the commitments made to our regulators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we violate those commitments one or more of these entities could take regulatory action against us. In addition, to the extent we are unable to avoid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settlements or other regulatory actions against us, our business, operating results and financial condition will continue to be adversely affected.</w:t>
      </w:r>
    </w:p>
    <w:p>
      <w:pPr>
        <w:spacing w:after="0" w:line="21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 the extent that an examination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92" w:right="25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our operating expenses and reduce our revenues, hamper our ability to grow or otherwise materially and adversely affect our business, reputation, financial condition, liquidity and results of operations.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regulatory settlements and public allegations regarding our business practices by regulators and other third parties may affect other regulators’ and rating agencies’ perceptions, as well as our overall public reputation, all of which can have a direct impact on our financial results and ongoing operations.</w:t>
      </w:r>
    </w:p>
    <w:p>
      <w:pPr>
        <w:spacing w:after="0" w:line="73"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Our regulatory settlements and public allegations regarding our business practices by regulators and other third parties may affect other regulators’ and rating agencies’ perceptions of us. As a result, our ordinary course interactions with regulators may be adversely affected. We may incur additional compliance costs and management time may be diverted from other aspects of our business to address regulatory issues. It is possible that we may incur additional fines or penalties or even that we could lose the licenses and approvals necessary to engage in our servicing and lending businesses. In addition, certain regulators have begun to make observations, recommendations or demands with respect to areas such as corporate governance, safety and soundness and risk and compliance management, which could result in additional obligations such as liquidity and capital requirements or restrictions on business conduct such as engaging in stock repurchases.</w:t>
      </w:r>
    </w:p>
    <w:p>
      <w:pPr>
        <w:spacing w:after="0" w:line="17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Further, our ability to serve and retain customers and conduct business transactions with our counterparties could be adversely affected to the extent our public reputation is damaged. Our failure to address, or to appear to fail to address, the various regulatory and operational challenges facing Ocwen could give rise to further reputational risk and cause additional harm to us and our business prospects. Reputational issues include, but are not limited to:</w:t>
      </w:r>
    </w:p>
    <w:p>
      <w:pPr>
        <w:spacing w:after="0" w:line="14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news about Ocwen or the mortgage industry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ethical issues, including alleged deceptive or unfair servicing or lending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practices relating to collections, foreclosures, property preservation, modifications, loans impacted by natural disasters, escrow and insurance;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privacy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financial fraud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security issues related to our customers 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issues and cyber incidents, whether actual, threatened, or perceived;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recordkeeping;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service or consumer complaints;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proper identification of the legal, reputational, credit, liquidity and market risks inherent in our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downgrade of or negative watch warning on any of our servicer or credit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appropriately addressing potential conflicts of interest;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company performance.</w:t>
      </w:r>
    </w:p>
    <w:p>
      <w:pPr>
        <w:spacing w:after="0" w:line="211"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proliferation of social media websites as well as the personal use of social media by our employees and others, including personal blogs and social network profiles, also may increase the risk that negative, inappropriate or unauthorized information may be posted or released publicly that could harm our reputation or have other negative consequences, including as a result of our employees interacting with our customers in an unauthorized manner in various social media outlets. The failure to address, or the perception that we have failed to address any of these issues appropriately could give rise to increased regulatory action, which could adversely affect our results of operations.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Disruptions and failures of our systems or those of our vendors may interrupt or delay our ability to provide services to our customers, expose us to remedial costs and reputational damage, and otherwise adversely affect our operations. The secure transmission of confidential information over the Internet and other electronic distribution and communication systems is essential to our maintaining consumer confidence in certain of our services. We have programs in place to detect and respond to security incidents. However, because the techniques used to obtain unauthorized access, disable or degrade service, or sabotage systems change frequently and may be difficult to detect for long periods of time, we may be unable to anticipate these techniques or implement adequate preventive measures. None of the cybersecurity incidents we have experienced to date has been material to our business, financial condition or operations.</w:t>
      </w:r>
    </w:p>
    <w:p>
      <w:pPr>
        <w:spacing w:after="0" w:line="1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 As such, the NY DFS Cybersecurity Regulation requires New York insurance companies, banks, and other regulated financial services institutions - including Ocwen as a non-bank financial services company licensed in the state of New York - to assess their cybersecurity risk profile. In particular, regulated entities are required, among other things, to adopt the core requirements of a cybersecurity program, including a cybersecurity policy, effective access privileges, cybersecurity risk assessments, training and monitoring for all authorized users, and appropriate governance processes. This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0" w:name="page21"/>
    <w:bookmarkEnd w:id="20"/>
    <w:p>
      <w:pPr>
        <w:ind w:right="560"/>
        <w:spacing w:after="0" w:line="264" w:lineRule="auto"/>
        <w:rPr>
          <w:sz w:val="20"/>
          <w:szCs w:val="20"/>
          <w:color w:val="auto"/>
        </w:rPr>
      </w:pPr>
      <w:r>
        <w:rPr>
          <w:rFonts w:ascii="Arial" w:cs="Arial" w:eastAsia="Arial" w:hAnsi="Arial"/>
          <w:sz w:val="18"/>
          <w:szCs w:val="18"/>
          <w:color w:val="auto"/>
        </w:rPr>
        <w:t>regulation also requires regulated entities to submit notices to the NY DFS of any security breaches or other cybersecurity events, and to certify their compliance with all aspects of the regulation on an annual basis. Ocwen has enhanced its existing cybersecurity program in order to comply with these requirements.</w:t>
      </w:r>
    </w:p>
    <w:p>
      <w:pPr>
        <w:spacing w:after="0" w:line="18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Security breaches, computer viruses, cyberattacks, hacking and other acts of vandalism are increasing in frequency and sophistication, and could result in a compromise or breach of the technology that we use to protect our borrowers’ personal information and transaction data and other information that we must keep secure. Our financial, accounting, data processing or other operating systems and facilities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regulatory settlements have significantly reduced the size of our servicing portfolio and harmed our reputation with potential future customers.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Our ability to maintain the size of our servicing portfolio depends on our ability to acquire the right to service or subservice additional pools of mortgage loans or to originate additional loans for which we retain the MSRs.</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regulatory settlements have significantly impacted our ability to maintain or grow our servicing portfolio because we agreed to certain restrictions that effectively prohibited future bulk acquisitions of residential servicing. While certain of these restrictions have been eased in connection with our resolution of state regulatory matters and acquisition of PHH, we are still restricted in our ability to grow our portfolio under the terms of our agreements with the NY DFS, the Massachusetts Division of Banks, and the Nebraska Department of Banking and Finance. If we are unable to satisfy the conditions of the regulatory commitments we made to these and other regulators, or if a future regulatory settlement restricts our ability to acquire MSRs, we will be unable to grow or even maintain the size of our servicing portfolio through acquisitions and our business could be materially and adversely affected. Moreover, even when regulatory restrictions are lifted, the reputational damage done by these actions may inhibit our ability to acquire new business.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identified replenishing portfolio runoff and restoring a growth focus as key initiatives in the first phase of our plan to return to profitability while executing the integration with PHH. An inability to execute on these initiatives may jeopardize our ability to return to profitability and to obtain the anticipated benefits of our acquisition of PHH.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respond effectively to routine or other regulatory examinations, our business and financial conditions may be adversely affected.</w:t>
      </w:r>
    </w:p>
    <w:p>
      <w:pPr>
        <w:spacing w:after="0" w:line="24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Regulatory examinations by state and federal regulators are part of our ordinary course business activities. If we are unable to respond effectively to regulatory examinations, our business and financial conditions may be adversely affected. For example, our January 2015 consent order with the CA DBO, which has now been terminated, arose out of an alleged failure to respond adequately to requests from the CA DBO as part of a routine regulatory examination. If, in the future, we fail to respond effectively to regulatory examinations, we may incur fines or penalties or we could lose the licenses and approvals necessary to engage in our servicing and lending businesses. We could also suffer from reputational harm and become subject to private litigation.</w:t>
      </w:r>
    </w:p>
    <w:p>
      <w:pPr>
        <w:spacing w:after="0" w:line="15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The Dodd-Frank Act has significantly impacted our business and may continue to do so, and new rules and regulations or more stringent interpretations of existing rules and regulations by the CFPB could result in increased compliance costs and, potentially, regulatory action against us.</w:t>
      </w:r>
    </w:p>
    <w:p>
      <w:pPr>
        <w:spacing w:after="0" w:line="10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Dodd-Frank Act and regulation by the CFPB, which the Dodd-Frank Act created, impact our business in the areas of mortgage servicing, loan origination, sales and securitization.</w:t>
      </w:r>
    </w:p>
    <w:p>
      <w:pPr>
        <w:spacing w:after="0" w:line="1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have devoted substantial resources and incurred significant compliance costs responding to the Dodd-Frank Act and the rules and regulations issued thereunder, including CFPB rules. We expect to continue to do so. If we fail to comply with the Dodd-Frank Act and the rules and regulations issued thereunder, including CFPB rules and subsequent amendments, we could be subject to financial penalties, restrictions on our business activities, private litigation, breaches of our contractual obligations to counterparties (including our debt agreements) and adverse actions by the GSEs or other entities, any of which could have a material adverse effect on our business, financial position, results of operations or cash flows.</w:t>
      </w:r>
    </w:p>
    <w:p>
      <w:pPr>
        <w:spacing w:after="0" w:line="1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subject to various pending private legal proceedings, including purported class actions, challenging whether certain of our loan servicing practices and other aspects of our business comply with applicable laws and regulatory requirements. For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color w:val="auto"/>
        </w:rPr>
        <w:t>example, we are currently a defendant in various matters alleging that (1) certain fees imposed on borrowers relating to payment processing, payment facilitation, or payment convenience violate the Fair Debt Collection Practices Act (FDCPA), (2) we violated the Telephone Consumer Protection Act by using an automated telephone dialing system to call class members’ cell phones without their consent, (3) we committed securities fraud in connection with certain of our public disclosures, (4) certain fees we assess on borrowers are marked up improperly in violation of applicable state and federal law and (5) the solicitation and marketing to borrowers of certain ancillary products was unfair and deceptive. In the future, we are likely to become subject to other private legal proceedings alleging failures to comply with applicable laws and regulations, including putative class actions, in the ordinary course of our business. While we do not currently believe that the resolution of the vast majority of the legal proceedings we face will have a material adverse effect on our financial condition or results of operations, we cannot express a view with respect to all of these proceedings. The outcome of any pending legal matter is never certain, and it is possible that adverse results in private legal proceedings could materially and adversely affect our financial results and operations. We have paid significant amounts to settle private legal proceedings in recent periods and paid significant amounts in legal and other costs in connection with such proceedings. To the extent we are unable to avoid such costs in future periods, our business, financial position, results of operations and cash flows could be materially and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laws and regulations could lead to termination of servicing agreements or defaults under our debt agreements.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 We could also suffer reputational damage and trustees, lenders and other counterparties could cease wanting to do business with us.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new laws and regulations lengthen foreclosure times or introduce new regulatory requirements regarding foreclosure procedures, our operating costs could increase and we could be subject to regulatory action.</w:t>
      </w:r>
    </w:p>
    <w:p>
      <w:pPr>
        <w:spacing w:after="0" w:line="17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1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 and Ginnie Mae initiatives and other actions may affect our financial condition and results of operations.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Due to the significant role that the GSEs play in the secondary mortgage market, new initiatives and other actions that they may implement could become prevalent in the mortgage servicing industry generally. To the extent that FHFA and/or the GSEs implement reforms that materially affect the market not only for conventional and/or government-insured loans but also the non-qualifying loan markets, such reforms could have a material adverse effect on the creation of new MSRs, the economics or performance of any MSRs that we acquire, servicing fees that we can charge and costs that we incur to comply with new servicing requirements.</w:t>
      </w:r>
    </w:p>
    <w:p>
      <w:pPr>
        <w:spacing w:after="0" w:line="188"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In addition, our ability to generate revenues through mortgage loan sales to institutional investors depends to a significant degree on programs administered by the GSEs, Ginnie Mae, and others that facilitate the issuance of MBS in the secondary market. These entities play a critical role in the residential mortgage industry and we have significant business relationships with many of them. If it is not possible for us to complete the sale or securitization of certain of our mortgage loans due to changes in GSE and Ginnie Mae programs, we may lack liquidity to continue to fund mortgage loans and our revenues and margins on new loan originations would be materially and negatively impacted.</w:t>
      </w:r>
    </w:p>
    <w:p>
      <w:pPr>
        <w:spacing w:after="0" w:line="1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plans to acquire MSRs will require approvals and cooperation by the GSEs and Ginnie Mae. Should approval or cooperation be withheld, we would have difficulty meeting our MSR acquisition objectives.</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There are various proposals that deal with the future of the GSEs, including with respect to their ownership and role in the mortgage market, as well as proposals to implement GSE reforms relating to borrowers, lenders and investors in the mortgage market. Thus, the long-term future of the GSEs remains uncertain. Any change in the ownership of the GSEs, or in their programs or role within the mortgage market, could materially and adversely affect our business, liquidity, financial position and results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2" w:name="page23"/>
    <w:bookmarkEnd w:id="22"/>
    <w:p>
      <w:pPr>
        <w:ind w:right="58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6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There are federal and state legislative and GSE initiatives that could adversely affect our loan origination business and secured asset financing arrangements. For instance, the risk retention requirements under the Dodd-Frank Act require securitization sponsors to retain a portion of the credit risk of the securitized assets, subject to certain exemptions. The risk retention requirement could result in higher costs of certain lending operations and impose on us additional compliance requirements to meet servicing and originations criteria for securitized mortgage loans. Additionally, the amendments to Regulation AB and other regulations applicable asset-backed securities (ABS) adopted by the SEC pursuant to the Dodd-Frank Act and other relevant regulations have increased and may further increase compliance costs for ABS issuers, such as ourselves, which will in turn increase our cost of funding and operations.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the TILA-RESPA Integrated Disclosure (TRID) rules, our business and operations could be materially and adversely affected and our plans to expand our lending business could be adversely impacted.</w:t>
      </w:r>
    </w:p>
    <w:p>
      <w:pPr>
        <w:spacing w:after="0" w:line="17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TRID rules include requirements relating to consumer facing disclosure and waiting periods to allow consumers to reconsider committing to loans after receiving required disclosures.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holding costs and interest expense. We could also be subject to regulatory actions or private lawsuits.</w:t>
      </w:r>
    </w:p>
    <w:p>
      <w:pPr>
        <w:spacing w:after="0" w:line="173"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response to the TRID rules, we have implemented significant modifications and enhancements to our loan production processes and systems, and we continue to devote significant resources to TRID compliance. As regulatory guidance and enforcement and the views of the GSEs and other market participants such as warehouse loan lenders evolve, we may need to modify further our loan production processes and systems in order to adjust to evolution in the regulatory landscape and successfully operate our lending business. In such circumstances, if we are unable to make the necessary adjustments, our business and operations could be adversely affected and we may not be able to execute on our plans to grow our lending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Home Mortgage Disclosure Act (HMDA) and related CFPB regulations could adversely impact our business.</w:t>
      </w:r>
    </w:p>
    <w:p>
      <w:pPr>
        <w:spacing w:after="0" w:line="1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HMDA requires financial institutions to report certain mortgage data in an effort to provide the regulators and the public with information that will help show whether financial institutions are serving the housing credit needs of the neighborhoods and communities in which they are located. The data points include information related to the loan applicant/borrower (e.g., age, ethnicity, race and credit score), the underwriting process, loan terms and fees, lender credits and interest rate, among others. The scope of the information available to the public could increase fair lending regulatory scrutiny and third-party plaintiff litigation, as the changes will expand the ability of regulators and third parties to compare a particular lender to its peers in an effort to determine differences among lenders in certain demographic borrower populations. We have devoted, and will need to devote, significant resources to establishing systems and processes for complying with HMDA on an ongoing basis. If we are not successful in capturing and reporting the new HMDA data, and analyzing and correcting any adverse patterns, we could be exposed to regulatory actions and private litigation against us, we could suffer reputational damage and we could incur losses, any of which could materially and adversely impact our business, financial condition and results of operations.</w:t>
      </w:r>
    </w:p>
    <w:p>
      <w:pPr>
        <w:spacing w:after="0" w:line="5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As a participant in the now ended HAMP program, we are subject to review by SIGTARP, which could adversely affect our business, reputation, and financial condition.</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 significant portion of Ocwen’s loan modifications in recent years have been in connection with the now ended HAMP program. SIGTARP has indicated that it is assessing potential unlawful conduct by servicers in the HAMP program. In May 2017, we received a subpoena from SIGTARP requesting various documents and information relating to Ocwen’s participation in the HAMP program, and we have been providing documents and information in response to that subpoena. If SIGTARP were to allege breaches of the HAMP program, such allegations could be referred to the enforcement authorities within the Department of the Treasury or the Department of Justice and if such enforcement authorities elected to take action against Ocwen, it could adversely affect our business, reputation and financial condition, regardless of the outcome of any such enforcement action.</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If we fail to satisfy minimum net worth and liquidity requirements established by regulators, GSEs, Ginnie Mae, lenders, or other counterparties, our business, financing activities, financial condition or results of operations could be materially and adversely affected.</w:t>
      </w:r>
    </w:p>
    <w:p>
      <w:pPr>
        <w:spacing w:after="0" w:line="14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As a result of our servicing and loan origination activities, we are subject to minimum net worth and liquidity requirements established by state regulators, GSEs, Ginnie Mae, lenders, and other counterparties. We have been incurring losses for the last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692" w:right="27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five years, which has eroded our net worth. In addition, we must structure our business so each subsidiary satisfies the net worth and liquidity requirements applicable to it, which can be challenging.</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minimum net worth and liquidity requirements to which our licensed entities are subject vary by state and type of license. We must also satisfy the minimum net worth and liquidity requirements of the GSEs and Ginnie Mae in order to maintain our approved status with such agencies and the minimum net worth and liquidity requirements set forth in our agreements with our lenders.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Minimum net worth requirements and liquidity are generally calculated using specific formulas that often exclude various items, such as intangible assets or certain intercompany receivables. Changes to these formulas have the potential to significantly affect net worth and liquidity calculations, and increases to the minimum required thresholds have the potential to cause non-compliance, both of which could imperil our ability to satisfy future minimum net worth and liquidity requirements. We believe our licensed entities were in compliance with all of their minimum net worth requirements at December 31, 2018. However, it is possible that regulators could disagree with our calculations, and one state regulator has disagreed with our calculation for a prior year period; we are currently discussing the matter with the regulator.</w:t>
      </w:r>
    </w:p>
    <w:p>
      <w:pPr>
        <w:spacing w:after="0" w:line="193"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If we fail to satisfy minimum net worth requirements, absent a waiver or other accommodation, we could lose our licenses or have other regulatory action taken against us, we could lose our ability to sell and service loans to or on behalf of the GSEs or Ginnie Mae, or it could trigger a default under our debt agreements. Any of these occurrences could have a material adverse effect on our business, financing activities, financial condition or results of operations.</w:t>
      </w:r>
    </w:p>
    <w:p>
      <w:pPr>
        <w:spacing w:after="0" w:line="14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us and the reverse mortgage industry as a whole.</w:t>
      </w:r>
    </w:p>
    <w:p>
      <w:pPr>
        <w:spacing w:after="0" w:line="147"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HECM program, which provides FHA government insurance for qualifying HECM loans, or that they will not make material changes to the laws, regulations, rules or practices applicable to reverse mortgage programs. For example, HUD previously implemented certain lending limits for the HECM program, and added credit-based underwriting criteria designed to assess a borrower’s ability and willingness to satisfy future tax and insurance obligations. In addition, Ginnie Mae’s participation in the reverse mortgage 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Regulators continue to be active in the reverse mortgage space, including due to the perceived susceptibility of older borrowers to be influenced by deceptive or misleading marketing activities. Regulators have also focused on appraisal practices because reverse mortgages are largely dependent on collateral valuation. If we fail to comply with applicable laws and regulations relating to the origination of reverse mortgages, we could be subject to adverse regulatory actions, including potential fines, penalties or sanctions, and our business, reputation, financial condition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predatory lending and/or servicing laws could negatively affect our business.</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FHA underwriting guidelines could adversely impact our business.</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must comply with FHA underwriting guidelines in order to successfully originate FHA loans. If we fail to do so, we may not be able collect on FHA insurance. In addition, we could be subject to allegations of violations of the False Claims Act asserting that we submitted claims for FHA insurance on loans that had not been underwritten in accordance with FHA</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4" w:name="page25"/>
    <w:bookmarkEnd w:id="24"/>
    <w:p>
      <w:pPr>
        <w:ind w:right="220"/>
        <w:spacing w:after="0" w:line="264" w:lineRule="auto"/>
        <w:rPr>
          <w:sz w:val="20"/>
          <w:szCs w:val="20"/>
          <w:color w:val="auto"/>
        </w:rPr>
      </w:pPr>
      <w:r>
        <w:rPr>
          <w:rFonts w:ascii="Arial" w:cs="Arial" w:eastAsia="Arial" w:hAnsi="Arial"/>
          <w:sz w:val="18"/>
          <w:szCs w:val="18"/>
          <w:color w:val="auto"/>
        </w:rPr>
        <w:t>underwriting guidelines. If we are found to have violated FHA underwriting guidelines, we could face regulatory penalties and damages in litigation, suffer reputational damage, and we could incur losses due to an inability to collect on such insurance, any of which could materially and adversely impact our business, financial condition and results of operations.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Failure to comply with United States and foreign laws and regulations applicable to our global operations could have an adverse effect on our business, financial position, results of operations or cash flows.</w:t>
      </w:r>
    </w:p>
    <w:p>
      <w:pPr>
        <w:spacing w:after="0" w:line="170"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As a business with a global workforce, we need to ensure that our activities, including those of our foreign subsidiaries, comply with applicable United States and foreign laws and regulations. Various states have implemented regulations which specifically restrict the ability to perform certain servicing and originations functions offshore and, from time to time, various state regulators have scrutinized the operations of our foreign subsidiaries. For example, as previously disclosed, in 2016, two of our foreign subsidiaries entered into a Consent Order with the Washington State Department of Financial Institutions relating to the activities of those entities in Washington State under the Washington Consumer Loan Act. Our failure to comply with applicable laws and regulations could, among other things, result in restrictions on our operations, loss of licenses, fines, penalties or reputational damage and have an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S.A.F.E. Act could adversely impact our business.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comply with the S.A.F.E. Act licensing requirements could adversely impact Ocwen’s origination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strategies to return to profitability will be successful.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18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Losses have significantly eroded stockholders’ equity and weakened our financial condition. Our near-term priority is to return to profitability in the shortest timeframe possible within an appropriate risk and compliance environment. While we believe our acquisition of PHH provides us with the opportunity to transform into a stronger, more efficient company better able to serve our customers and clients, and positions us for a return to growth, we believe we must execute on five key initiatives in order to drive stronger financial performance. First, we must successfully execute on the integration of PHH’s business with ours, including a smooth transition onto Black Knight MSP. Second, we must re-engineer our cost structure to go beyond eliminating redundant costs through the integration process. Third, we must fulfill our regulatory commitments and resolve our remaining legal and regulatory matters on satisfactory terms. Fourth, we must replenish our servicing portfolio through expanding our lending business and permissible MSR acquisitions that are prudent and well-executed with appropriate financial return targets. Finally, we must ensure that we continue to manage our balance sheet to provide a solid platform for executing on our growth and other initiatives.</w:t>
      </w:r>
    </w:p>
    <w:p>
      <w:pPr>
        <w:spacing w:after="0" w:line="18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There can be no assurance that we will be successful in executing on these initiatives. Further, there can be no assurance that even if we execute on these initiatives we will be able to return to profitability. In addition to successful operational execution of our key initiatives, our success will also depend on market conditions and other factors outside of our control. If we continue to experience losses, our share price, business, reputation, financial condition, liquidity and results of operations could be materially and adversely affected.</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business requires substantial amounts of capital and our financing strategy includes the use of leverage. Accordingly, our ability to finance our operations and repay maturing obligations rests in large part on our ability to continue to borrow money at reasonable rates. If we are unable to maintain adequate financing, or other sources of capital are not available, we could be forced to suspend, curtail or reduce our operations, which could harm our revenues, results of operations, liquidity, financial condition and business prospects. Our ability to borrow money is affected by a variety of factors including:</w:t>
      </w:r>
    </w:p>
    <w:p>
      <w:pPr>
        <w:spacing w:after="0" w:line="154" w:lineRule="exact"/>
        <w:rPr>
          <w:sz w:val="20"/>
          <w:szCs w:val="20"/>
          <w:color w:val="auto"/>
        </w:rPr>
      </w:pPr>
    </w:p>
    <w:p>
      <w:pPr>
        <w:ind w:left="660" w:right="18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ectPr>
          <w:pgSz w:w="11900" w:h="16838" w:orient="portrait"/>
          <w:cols w:equalWidth="0" w:num="1">
            <w:col w:w="11420"/>
          </w:cols>
          <w:pgMar w:left="240" w:top="69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92" w:right="239" w:bottom="1440" w:gutter="0" w:footer="0" w:header="0"/>
          <w:type w:val="continuous"/>
        </w:sectPr>
      </w:pPr>
    </w:p>
    <w:bookmarkStart w:id="25" w:name="page26"/>
    <w:bookmarkEnd w:id="25"/>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 and</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borrowing under our advance facilities and mortgage loan warehouse facilities due to structural features in these facilities and the amount of eligible collateral that is pledged.</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188"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Our advance financing facilities are comprised of (i) revolving notes issued to global financial institutions that generally have a revolving period of less than two years, and (ii) term notes issued to institutional investors with one-, two- and three-year periods. At December 31, 2018, we had $778.3 million outstanding under these facilities. The revolving periods for variable funding notes with a total borrowing capacity of $290.0 million end in 2019.</w:t>
      </w:r>
    </w:p>
    <w:p>
      <w:pPr>
        <w:spacing w:after="0" w:line="147"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In the event we are unable to renew, replace or extend the revolving period of one or more of these advance financing facilities, repayment of the outstanding balances on the revolving and term notes must begin at the end of the applicable revolving period and end of the term, respectively. In addition, we use mortgage loan warehouse facilities to fund newly originated loans on a short-term basis until they are sold to secondary market investors, including GSEs or other third-party investors. Currently, our master repurchase and participation agreements for financing new loan originations generally have 364-day terms, and similar to the revolving notes in the advance financing facilities, they are typically renewed, replaced or extended annually. At December 31, 2018, we had $155.7 million outstanding under these warehouse financing arrangements, all under agreements maturing in 2019.</w:t>
      </w:r>
    </w:p>
    <w:p>
      <w:pPr>
        <w:spacing w:after="0" w:line="16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currently plan to renew, replace or extend all these debt agreements consistent with our historical experience. There can be no assurance that we will be able to renew, replace or extend all our debt agreements on appropriate terms or at all and, if we fail to do so, we may not have adequate sources of funding for our business.</w:t>
      </w:r>
    </w:p>
    <w:p>
      <w:pPr>
        <w:spacing w:after="0" w:line="181"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effect or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18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An actual or alleged default under any of our debt agreements, negative ratings action by a rating agency,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the above could have an adverse effect on our business, financing activities, financial condition and results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market conditions or lenders’ perceptions of us at the time of any renewal or refinancing may mean that we are unable to renew or refinance our advance financing facilities or obtain additional facilities on favorable terms or at all.</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servicing business is highly dependent on our continued relationship with NRZ, our largest client. NRZ-related servicing constituted approximately 51% of the Ocwen servicing portfolio by UPB as of December 31, 2018. Our agreements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b w:val="1"/>
          <w:bCs w:val="1"/>
          <w:i w:val="1"/>
          <w:iCs w:val="1"/>
          <w:color w:val="auto"/>
        </w:rPr>
        <w:t>with NRZ provide NRZ with certain termination and transfer rights. Should NRZ choose to exercise these rights, we could be materially and adversely impacted due to the large proportion of our servicing portfolio to which these rights apply.</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Under agreements relating to subservicing and Rights to MSRs for loans with approximately $130.5 billion in outstanding UPB as of December 31, 2018 (representing 51% of the Ocwen servicing portfolio), any failure under a financial covenant could result in NRZ terminating Ocwen as subservicer under the subservicing agreements or in directing the transfer of servicing away from Ocwen under the Rights to MSRs agreements. Similarly, failure by Ocwen to meet operational requirements, including service levels, critical reporting and other obligations, could also result in termination or transfer for cause. A termination for cause and transfer of servicing could materially and adversely affect Ocwen’s financial condition and share value.</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Further, under our 2017 subservicing agreement with NRZ, at any time during the initial five-year term, NRZ may terminate these agreements for convenience, subject to Ocwen’s right to receive a termination fee and proper notice. In addition, under the 2018 agreements relating to NRZ’s Rights to MSRs, NRZ has the right to sell its servicing rights to a third-party if third-party consents to transfer the MSRs to NRZ are not obtained and Ocwen does not elect to purchase NRZ’s servicing rights. If NRZ sells its servicing rights to a third party, the transaction can only be completed if the third-party buyer can obtain the necessary third-party consents to transfer the MSRs. NRZ also has the obligation to use reasonable efforts to encourage such third-party buyer to enter into a subservicing agreement with Ocwen. Ocwen may lose future compensation for subservicing, however, if no subservicing agreement is ultimately entered into with the third-party buyer.</w:t>
      </w:r>
    </w:p>
    <w:p>
      <w:pPr>
        <w:spacing w:after="0" w:line="18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PHH also has a substantial relationship with NRZ that we assumed as a result of the PHH acquisition. As part of the sale of substantially all of PHH’s MSRs and related servicing advances to NRZ, PHH entered into a subservicing agreement with NRZ for the subservicing of the loans to which the MSRs relate for an initial three-year period beginning June 2017, subject to certain transfer and termination provisions. The loans subject to the subservicing agreement represent $42.3 billion in UPB as of December 31, 2018. NRZ has the ability to terminate portions of the subservicing agreement over the three-year term, beginning with the ability to terminate with respect to 25% of the loans covered thereby in June 2018 and 25% beginning in June 2019. If NRZ terminates this relationship, in full or in part, it could have a material adverse impact on our revenue. In addition, the sale transaction has not been completed with respect to loans representing $3.4 billion in UPB and $73.3 million of servicing advances as of December 31, 2018. There is a risk that the sale of these remaining assets may not be completed, in which case we would not receive the sale proceeds.</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Because of the large percentage of our servicing business that is represented by agreements with NRZ that provide NRZ with the termination or transfer rights described above, our financial condition could be materially and adversely affected if NRZ exercised a significant portion of these rights. More generally, if NRZ were to decline to continue doing business with us and we were unable to develop relationships with new servicing clients on a similar scale, our servicing business, results of operations and financial condition could be materially and adversely affected.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NRZ were to fail to comply with its servicing advance obligations under its agreements with us, it could materially and adversely affect us.</w:t>
      </w:r>
    </w:p>
    <w:p>
      <w:pPr>
        <w:spacing w:after="0" w:line="14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Rights to MSRs agreements, NRZ is responsible for financing all servicing advance obligations in connection with the loans underlying the MSRs. At December 31, 2018, such servicing advances were approximately $2.3 billion. However, under the Rights to MSRs structure, we are contractually required under our servicing agreements with the RMBS trusts to make the relevant servicing advances even if NRZ does not perform its contractual obligations to fund those advances. Therefore, if NRZ were unable to meet its advance financing obligations, we would remain obligated to meet our advance financing obligations with respect to the loans underlying these Rights to MSRs, which could materially and adversely affect our liquidity, financial condition and servicing operations.</w:t>
      </w:r>
    </w:p>
    <w:p>
      <w:pPr>
        <w:spacing w:after="0" w:line="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NRZ currently uses advance financing facilities to fund a substantial portion of the servicing advances that NRZ is contractually obligated to make pursuant the Rights to MSRs agreements. Although we are not an obligor or guarantor under NRZ’s advance financing facilities, we are a party to certain of the facility documents as the entity performing the work of servicing the underlying loans on which advances are being financed. As such, we make certain representations, warranties and covenants, including representations and warranties in connection with our sale of advances to NRZ. If we were to make representations or warranties that were untrue or if we were otherwise to fail to comply with our contractual obligations, we could become subject to claims for damages or events of default under such facilities could be asserted.</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 failure to maintain minimum servicer ratings could have an adverse effect on our business, financing activities, financial condition or results of operations.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S&amp;P, Moody’s, Fitch and others rate us as a mortgage servicer. 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92" w:right="279" w:bottom="1440" w:gutter="0" w:footer="0" w:header="0"/>
        </w:sectPr>
      </w:pPr>
    </w:p>
    <w:bookmarkStart w:id="27" w:name="page28"/>
    <w:bookmarkEnd w:id="27"/>
    <w:p>
      <w:pPr>
        <w:ind w:right="180"/>
        <w:spacing w:after="0" w:line="264" w:lineRule="auto"/>
        <w:rPr>
          <w:sz w:val="20"/>
          <w:szCs w:val="20"/>
          <w:color w:val="auto"/>
        </w:rPr>
      </w:pPr>
      <w:r>
        <w:rPr>
          <w:rFonts w:ascii="Arial" w:cs="Arial" w:eastAsia="Arial" w:hAnsi="Arial"/>
          <w:sz w:val="18"/>
          <w:szCs w:val="18"/>
          <w:color w:val="auto"/>
        </w:rPr>
        <w:t>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81" w:lineRule="exact"/>
        <w:rPr>
          <w:sz w:val="20"/>
          <w:szCs w:val="20"/>
          <w:color w:val="auto"/>
        </w:rPr>
      </w:pPr>
    </w:p>
    <w:p>
      <w:pPr>
        <w:ind w:right="180" w:firstLine="324"/>
        <w:spacing w:after="0" w:line="288" w:lineRule="auto"/>
        <w:rPr>
          <w:sz w:val="20"/>
          <w:szCs w:val="20"/>
          <w:color w:val="auto"/>
        </w:rPr>
      </w:pPr>
      <w:r>
        <w:rPr>
          <w:rFonts w:ascii="Arial" w:cs="Arial" w:eastAsia="Arial" w:hAnsi="Arial"/>
          <w:sz w:val="16"/>
          <w:szCs w:val="16"/>
          <w:color w:val="auto"/>
        </w:rPr>
        <w:t>Certain of our servicing agreements require that we maintain specified servicer ratings. Out of 3,140 non-Agency servicing agreements, 697 with $25.9 billion of UPB as of December 31, 2018 have minimum servicer ratings criteria. As a result of our current servicer ratings, termination rights have been triggered in 171 of these non-Agency servicing agreements. This represents approximately $8.2 billion in UPB as of December 31, 2018, or approximately</w:t>
      </w:r>
    </w:p>
    <w:p>
      <w:pPr>
        <w:spacing w:after="0" w:line="270" w:lineRule="auto"/>
        <w:rPr>
          <w:sz w:val="20"/>
          <w:szCs w:val="20"/>
          <w:color w:val="auto"/>
        </w:rPr>
      </w:pPr>
      <w:r>
        <w:rPr>
          <w:rFonts w:ascii="Arial" w:cs="Arial" w:eastAsia="Arial" w:hAnsi="Arial"/>
          <w:sz w:val="17"/>
          <w:szCs w:val="17"/>
          <w:color w:val="auto"/>
        </w:rPr>
        <w:t>7% of our total non-Agency servicing portfolio. While the holders of these termination rights have not exercised them to date, they have not waived the right to do so, and we could, in the future, be subject to terminations either as a result of servicer ratings downgrades or future adverse actions by ratings agencies, which could have an adverse effect on our business, financing activities, financial condition and results of operations. Downgrades in our servicer ratings could also affect the terms and availability of advance financing facilities that we may seek in the future. 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17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 of an increase in advances is through increased interest expense as we finance a large portion of servicing advance obligations.</w:t>
      </w:r>
    </w:p>
    <w:p>
      <w:pPr>
        <w:spacing w:after="0" w:line="16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Higher delinquencies also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generally leads to lower balances in custodial and escrow accounts (float balances) and lower net earnings on custodial and escrow accounts (float earnings). Additionally, an increase in delinquencies in our GSE servicing portfolio will result in lower revenue because we collect servicing fees from GSEs only on performing loans.</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Foreclosures are involuntary prepayments resulting in a reduction in UPB. This may result in higher amortization expense as well as charges to recognize impairment and declines in the value of our MSRs.</w:t>
      </w:r>
    </w:p>
    <w:p>
      <w:pPr>
        <w:spacing w:after="0" w:line="170"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Adverse economic conditions could also negatively impact our lending businesses. For example, declining home prices and increasing loan-to-value ratios may preclude many potential borrowers from refinancing their existing loans. Further, an increase in prevailing interest rates could decrease originations volume.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could adversely affect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660" w:right="8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decrease in the UPB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60" w:hanging="328"/>
        <w:spacing w:after="0" w:line="29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MSRs is one of our largest operating expenses. Since we amortize servicing rights in proportion to total expected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life of a portfolio, an increase in prepayment speeds leads to increased amortization expense as we revise downward our estimate of total expected income. Faster prepayment speeds also result in higher compensating interest expense, which represents the difference between the full month of interest we are required to remit in the month a loan pays off and the amount of interest we collect from the borrower for that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8" w:name="page29"/>
    <w:bookmarkEnd w:id="28"/>
    <w:p>
      <w:pPr>
        <w:ind w:left="660" w:right="320"/>
        <w:spacing w:after="0" w:line="282" w:lineRule="auto"/>
        <w:rPr>
          <w:sz w:val="20"/>
          <w:szCs w:val="20"/>
          <w:color w:val="auto"/>
        </w:rPr>
      </w:pPr>
      <w:r>
        <w:rPr>
          <w:rFonts w:ascii="Arial" w:cs="Arial" w:eastAsia="Arial" w:hAnsi="Arial"/>
          <w:sz w:val="18"/>
          <w:szCs w:val="18"/>
          <w:color w:val="auto"/>
        </w:rPr>
        <w:t>month. Decreases in prepayment speeds lead to decreased amortization expense as the period over which we amortize MSRs is extended. Slower prepayment speeds also lead to lower compensating interest expense.</w:t>
      </w:r>
    </w:p>
    <w:p>
      <w:pPr>
        <w:spacing w:after="0" w:line="1" w:lineRule="exact"/>
        <w:rPr>
          <w:sz w:val="20"/>
          <w:szCs w:val="20"/>
          <w:color w:val="auto"/>
        </w:rPr>
      </w:pPr>
    </w:p>
    <w:p>
      <w:pPr>
        <w:ind w:left="660" w:right="100" w:hanging="328"/>
        <w:spacing w:after="0" w:line="29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Valuation of MSRs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base the price we pay for MSRs and the rate of amortization of those rights on, among other things, our projection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from the related pool of mortgage loans. Our expectation of prepayment speeds is a significant assumption underlying those cash flow projections. If prepayment speeds were significantly greater than expected, the fair value of our MSRs, which we carry at fair value, could decrease. When the fair value of these MSRs decreases, we record a loss on fair value, which also has a negative impact on our financial results. Effective January 1, 2018, we elected fair value accounting for our MSRs previously accounted for using the amortization method.</w:t>
      </w:r>
    </w:p>
    <w:p>
      <w:pPr>
        <w:spacing w:after="0" w:line="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trustees or master servicers, or by investors in the trusts which own the mortgage loans (or other third parties). As a result, we could become subject to litigation claims seeking damages or other remedies arising from alleged breaches of our servicing agreements. Indeed, several trustees are currently defending themselves against claims by RMBS investors that the trustees failed to properly oversee mortgage servicers-including Ocwen-in the servicing of hundreds of trusts. Trustees subject to those suits have informed Ocwen that they may seek indemnification for losses they suffer as a result of the filings.</w:t>
      </w:r>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we do not comply with our servicing agreements, we may be terminated as servicer, or we may be required to make indemnification or other payments or provide other remedies. Such actions may have a significant negative impact on our profitability and lead to lower earnings in the future.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6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OLS, Homeward, Liberty and PMC are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agencies has communicated any material sanction, suspension or prohibition in connection with our seller/servicer obligations. We believe we were in compliance with the related net worth requirements at December 31, 2018. Our non-Agency servicing agreements also contain requirements regarding servicing practices and other matters, and a failure to comply with these requirements could have an adverse impact on our business. See Note 25 — Contingencies for additional information relating to our recent interactions with Ginnie Mae as a result of the state regulatory actions discussed in that note.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GSEs or Ginnie Mae may curtail or terminate our ability to sell, service or securitize newly originated loans to them.</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noted in the prior risk factor, if we do not comply with our seller/servicer obligations, the GSEs or Ginnie Mae may utilize a variety of remedies against us. Such remedies include curtailment of our ability to sell newly originated loans or even termination of our ability to sell, service or securitize such loans altogether.</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Technology or process failures could damage our business operations or reputation, harm our relationships with key stakeholders and lead to regulatory sanctions or penalties.</w:t>
      </w:r>
    </w:p>
    <w:p>
      <w:pPr>
        <w:spacing w:after="0" w:line="6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Operational risk is inherent in virtually all of our activities. While we have established and maintain an overall risk framework that is designed to balance strong corporate oversight with well-defined independent risk management, we continue to be subject to some degree of operational risk. Our business is substantially dependent on our ability to process and monitor a large number of transactions, many of which are complex, across various parts of our business. These transactions often must adhere to the terms of a complex set of legal and regulatory standards, as well as the terms of our servicing and other agreements. In addition, given the volume of transactions that we process and monitor, certain errors may be repeated or compounded before they are discovered and rectified. For example, in the area of borrower correspondence, in 2014, problems were identified with our letter dating processes such that erroneously dated letters were sent to borrowers, which damaged our reputation and relationships with borrowers, regulators, important counterparties and other stakeholders. Because in an average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11" w:right="239" w:bottom="1440" w:gutter="0" w:footer="0" w:header="0"/>
        </w:sectPr>
      </w:pPr>
    </w:p>
    <w:bookmarkStart w:id="29" w:name="page30"/>
    <w:bookmarkEnd w:id="29"/>
    <w:p>
      <w:pPr>
        <w:ind w:right="200"/>
        <w:spacing w:after="0" w:line="277" w:lineRule="auto"/>
        <w:rPr>
          <w:sz w:val="20"/>
          <w:szCs w:val="20"/>
          <w:color w:val="auto"/>
        </w:rPr>
      </w:pPr>
      <w:r>
        <w:rPr>
          <w:rFonts w:ascii="Arial" w:cs="Arial" w:eastAsia="Arial" w:hAnsi="Arial"/>
          <w:sz w:val="18"/>
          <w:szCs w:val="18"/>
          <w:color w:val="auto"/>
        </w:rPr>
        <w:t>month we mail over 2 million letters, a process problem such as erroneous letter dating has the potential to negatively affect many parts of our business and have widespread negative implications.</w:t>
      </w:r>
    </w:p>
    <w:p>
      <w:pPr>
        <w:spacing w:after="0" w:line="6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are responsible for developing and maintaining sophisticated operational systems and infrastructure, which is challenging. The CFPB and other regulators have emphasized their focus on the importance of servicers’ and lenders’ systems and infrastructure operating effectively. If our systems and infrastructure fail to operate effectively, such failures could damage our business and reputation, harm our relationships with key stakeholders and lead to regulatory sanctions or penalties.</w:t>
      </w:r>
    </w:p>
    <w:p>
      <w:pPr>
        <w:spacing w:after="0" w:line="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similarly dependent on our employees. We could be materially adversely affected if an employee or employees, acting alone or in concert with non-affiliated third parties, causes a significant operational break-down or failure, either because of human error or where an individual purposefully sabotages or fraudulently manipulates our operations or systems, including, without limitation, by means of cyberattack or denial-of-service attack. Third parties with which we do business could also be sources of operational risk to us, including risks relating to break-downs or failures of such parties’ own systems or employees. Any of these occurrences could diminish our ability to operate one or more of our businesses, potential liability to clients, reputational damage and regulatory intervention, all of which could materially adversely affect us.</w:t>
      </w:r>
    </w:p>
    <w:p>
      <w:pPr>
        <w:spacing w:after="0" w:line="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Certain of our operational systems and infrastructure are provided by third-party vendors. If any of these vendors fail to provide us with effective operational systems and infrastructure or appropriate levels of service, we could also be required to take legal action against or replace such vendors, which could be costly, involve a diversion of management time and energy and lead to operational disruptions.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and other vendors for much of our technology and other services.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vendor relationships subject us to a variety of risks. We have significant exposure to third-party risks, as we are dependent on vendors for a number of key services, including our servicing system that runs on an information technology system that we license under agreements with Altisource. Our servicing business operates on this system and we have used it for many years. In 2017, we entered into an agreement with Black Knight pursuant to which we plan to transition to Black Knight MSP during 2019. On February 22, 2019, Ocwen and Altisource S.à r.l (a subsidiary of Altisource) signed a Binding Term Sheet (the Term Sheet), which among other things, confirms Altisource’s cooperation with the de-boarding of loans from Altisource’s REALServicing servicing system to Black Knight’s MSP servicing system.</w:t>
      </w:r>
    </w:p>
    <w:p>
      <w:pPr>
        <w:spacing w:after="0" w:line="8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to the Term Sheet, Ocwen and Altisource S.à r.l also entered into a letter agreement confirming that, except in relation to Ocwen’s transfer off of the REALServicing technology beginning in February 2019 or termination of the REALServicing statement of work, each party reserves its rights and remedies in the event of any disputes between them. While the Term Sheet does not restrict Ocwen’s rights to sell MSRs in any way, the letter agreement specifically includes a reservation of each party’s rights to assert damage claims against the other party regarding such transactions including any transfer by Ocwen to NRZ (or its affiliates) or any third party of the rights to designate a vendor. Ocwen does not believe its agreements with Altisource restrict Ocwen’s rights to sell MSRs or to restrict Ocwen from allowing an owner of MSRs, or owner of the economics thereto, the right to designate vendors. As such, Ocwen believes any asserted claims by Altisource against Ocwen arising from Ocwen’s sale of MSRs or related to the rights to designate a vendor to a third party, would be without merit and we have so informed Altisource. However, if Altisource were to assert such claims against us, such disputes could cause us to incur costs, divert the attention of management, and potentially disrupt our operations which rely on Altisource-provided services, regardless of whether such claims were ultimately resolved in our favor.</w:t>
      </w:r>
    </w:p>
    <w:p>
      <w:pPr>
        <w:spacing w:after="0" w:line="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If Altisource were to fail to properly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an effective and competitive platform, our business could suffer. Similarly, we are reliant on other vendors for the proper maintenance and support of our technological systems and our business and operations would suffer if these vendors do not perform as required. If Altisource or our other vendors do not adequately maintain and support our systems, including our servicing systems, loan originations and financial reporting systems, our business and operations could be materially and adversely affected.</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8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addition to our reliance on the vendors discussed above, our business is reliant on a number of technological vendors that provide services such as integrated cloud applications and financial institutions that provide essential banking services on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0" w:name="page31"/>
    <w:bookmarkEnd w:id="30"/>
    <w:p>
      <w:pPr>
        <w:ind w:right="20"/>
        <w:spacing w:after="0" w:line="264" w:lineRule="auto"/>
        <w:rPr>
          <w:sz w:val="20"/>
          <w:szCs w:val="20"/>
          <w:color w:val="auto"/>
        </w:rPr>
      </w:pPr>
      <w:r>
        <w:rPr>
          <w:rFonts w:ascii="Arial" w:cs="Arial" w:eastAsia="Arial" w:hAnsi="Arial"/>
          <w:sz w:val="18"/>
          <w:szCs w:val="18"/>
          <w:color w:val="auto"/>
        </w:rPr>
        <w:t>daily basis. Even short-terms interruptions in the services provided by these vendors and financial institutions could be disruptive to our business and cause us financial loss. Significant or prolonged disruptions in the ability of these companies to provide services to us could have a material adverse impact on our operations.</w:t>
      </w:r>
    </w:p>
    <w:p>
      <w:pPr>
        <w:spacing w:after="0" w:line="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have undergone and continue to undergo significant change to our technology infrastructure and business processes. Failure to adequately update our systems and processes could harm our ability to run our business and adversely affect our results of operations.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making, and will continue to make, technology investments and process improvements to improve or replace the information processes and systems that are key to managing our business, to improve our compliance management system, and to reduce costs. Additionally, as part of the transition to Black Knight MSP and the integration of our information processes and systems with PHH, we have undergone and continue to undergo significant changes to our technology infrastructure and business processes. Failure to select the appropriate technology investments, or to implement them correctly and efficiently, could have a significant negative impact on our operations.</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our transition to a new servicing system does not go as planned, we could experience disruptions in our operations, and our relationships with regulators and our regulatory compliance could be negatively impacted.</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described above, we have entered into an agreement with Black Knight pursuant to which we plan to transition to Black Knight MSP during 2019. We are highly dependent on the successful functioning of our servicing system in order to operate our loan servicing business effectively and in compliance with our regulatory and contractual obligations. Implementing a large-scale transition to a new technology product such as a new servicing system is inherently complex and involves significant operational risk, including with respect to technical deficiencies that may impact customer data. We expect to devote significant capital and human resources to implementing this transition, and we may experience decreases in productivity and increased costs as our employees implement and become familiar with the new system. Further, both the costs and length of time required to implement the transition may exceed our expectations. Because PHH currently utilizes Black Knight MSP for its servicing operations, Ocwen intends to transfer the loans it services to PHH’s Black Knight MSP versus a separate instance of Black Knight MSP as it believes such a transfer can happen sooner and with less implementation and transfer risk. While we believe that such a transition poses less risk, it will still be subject to the operational and other risks summarized above. Accordingly, if our transition to Black Knight MSP does not go as planned, our business, financial condition and results of operations could be materially and adversely affected. In addition, delays or other issues with our transition to Black Knight MSP could negatively impact our relationships with regulators and our regulatory compliance.</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Disagreements with vendors, service providers or other contractual counterparties could materially and adversely affect our business, financing activities, financial condition or results of operations.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dependent on Altisource and other vendors and service providers for much of our technology and other services and on banks, NRZ and other financing sources to finance our business. Certain provisions of the agreements underlying our relationships with our vendors, service providers, financing sources and other contractual counterparties could be open to subjective interpretation. Disagreements with these counterparties, including disagreements over contract interpretation, could lead to business disruptions or could result in litigation or arbitration or mediation proceedings, any of which could be expensive and divert senior management’s attention from other matters. While we have been able to resolve disagreements with these counterparties in the past, if we were unable to resolve a disagreement, a court, arbitrator or mediator might be required to resolve the matter and there can be no assurance that the outcome of a material disagreement with a contractual counterparty would not materially and adversely affect our business, financing activities,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24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and in certain instances, we have assumed these obligations on loans we service. Our contracts with purchasers of originated loans contain provisions that require indemnification or repurchase of the related loans under certain circumstances. While the language in the purchase contracts varies, such contracts generally contain provisions that require us to indemnify purchasers of its loans or repurchase such loans if:</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involving non-prime mortgage loans, it assumed the origination representations and warranties even though it did not originate the loans.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At December 31, 2018, we had outstanding representation and warranty repurchase demands of $51.3 million UPB (316 loans).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believe that, because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relating to our past sales of Agency MSRs could adversely affect our business.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made representations, warranties and covenants relating to our past sales of Agency MSRs. In addition, PHH has also conducted past sales of Agency MSRs, including the sales of its Fannie Mae and Freddie Mac MSRs to NRZ, and we acquired these contractual liabilities in connection with our acquisition of PHH. To the extent that we (or PHH, as applicable) have made inaccurate representations or warranties or fail to perform our covenants, we could incur liability to the purchasers of these MSRs pursuant to the contractual provisions of our sale agreements. In addition, transfers of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devote significant time and resources to our compliance efforts and to engaging with such regulators in connection with our transfers of mortgage servicing, and we expect to continue to do so. If we fail to comply with regulations relating to servicing transfers in connection with dispositions of MSRs, we could be subject to adverse regulatory actions, which could materially and adversely affect our business.</w:t>
      </w:r>
    </w:p>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We are highly dependent on an experienced senior management team, including our President and Chief Executive Officer, and the loss of the services of one or more of our senior officers could have a material adverse effect on us. In addition, high turnover of management and non-management employees could harm our business.</w:t>
      </w:r>
    </w:p>
    <w:p>
      <w:pPr>
        <w:spacing w:after="0" w:line="73"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are highly dependent on an experienced management team. We do not maintain key man life insurance relating to our President and Chief Executive Officer, Glen A. Messina, or any of our other executive officers. The loss of the services of Mr. Messina or any of our other senior officers could have a material adverse effect on us. We could also be harmed by legal actions brought by former senior officers after they have ceased employment with Ocwen.</w:t>
      </w:r>
    </w:p>
    <w:p>
      <w:pPr>
        <w:spacing w:after="0" w:line="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2018, we experienced elevated management turnover, including the departure of our former President and Chief Executive Officer, Ronald M. Faris, and our former Chief Financial Officer, Michael R. Bourque, Jr. In addition, as we integrate business units following the PHH acquisition, we are experiencing significant turnover among both management and non-management employees. While planned departures form part of our plan to capture acquisition synergies, there is a risk that employee departures, even if planned, could lead to operational disruptions or other adverse impacts on our business. If we are unable to retain key talent as we execute the integration, it could impair our ability to obtain the anticipated benefits of the PHH acquisition.</w:t>
      </w:r>
    </w:p>
    <w:p>
      <w:pPr>
        <w:spacing w:after="0" w:line="15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The human capital and site closure components of our cost re-engineering efforts could disrupt operations, impair morale and productivity, and generate negative publicity, which could have a material adverse effect on our operations, business and financial performance.</w:t>
      </w:r>
    </w:p>
    <w:p>
      <w:pPr>
        <w:spacing w:after="0" w:line="14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As part of our cost re-engineering plans, we expect to reduce total staffing levels significantly and to close a number of our U.S. facilities. While we believe these steps are necessary in order to drive stronger financial performance and, in the longer term, simplify our operations, the process of closing these facilities will add complexity to our operations in the short term and divert management and employee attention from our other initiatives. In addition, the reduction in our workforce may negatively impact employee morale. It is possible that critical employees may seek other employment, or that employees needed to assist with the transition will depart prior to their scheduled departure dates. Further, it is possible that we have misjudged the number or allocation of positions needed to run our operations efficiently and critical functions could be understaffed. Finally, the potential negative publicity accompanying the site closures and workforce reductions may invite increased regulatory inquiries. Any of the above risks, or a combination of these risks, could impair our ability to realize anticipated integration synergies and result in a material adverse effect on our business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22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Our future success also depends, in part, on our ability to identify, attract and retain highly skilled servicing, lending, finance, risk, compliance and technical personnel. We face intense competition for qualified individuals from numerous financial services and other companies, some of which have far greater resources and better reputations than we do. We may be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2" w:name="page33"/>
    <w:bookmarkEnd w:id="32"/>
    <w:p>
      <w:pPr>
        <w:ind w:right="260"/>
        <w:spacing w:after="0" w:line="308" w:lineRule="auto"/>
        <w:rPr>
          <w:sz w:val="20"/>
          <w:szCs w:val="20"/>
          <w:color w:val="auto"/>
        </w:rPr>
      </w:pPr>
      <w:r>
        <w:rPr>
          <w:rFonts w:ascii="Arial" w:cs="Arial" w:eastAsia="Arial" w:hAnsi="Arial"/>
          <w:sz w:val="17"/>
          <w:szCs w:val="17"/>
          <w:color w:val="auto"/>
        </w:rPr>
        <w:t>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vulnerable to disruptions resulting from severe weather events.</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operations are vulnerable to disruptions resulting from severe weather events, including our operations in India, the Philippines, the USVI and Florida. Approximately 4,100, or 57%, of our employees as of December 31, 2018 are located in India. During 2017 and 2018, severe flooding caused disruptions to our operations in both India and the Philippines, and we remain vulnerable to future events of flooding and severe weather. In addition, OLS and OMS maintain their headquarters in St. Croix, in the USVI, where we also operate a call center. During 2017, two major hurricanes disrupted our operations in St. Croix for an extended period of time and we faced additional expense resulting from the evacuation of personnel and from property damage. Further, weather-related damage in St. Croix has made living there more burdensome, which could negatively impact our ability to retain and attract qualified personnel. The occurrence of severe weather events in the future could have a significant adverse effect on our business and results of operations.</w:t>
      </w:r>
    </w:p>
    <w:p>
      <w:pPr>
        <w:spacing w:after="0" w:line="16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are subject to, among other things, requirements regarding the effectiveness of our internal controls over financial reporting. If our internal controls over financial reporting are found to be inadequate, our financial condition and results of operations and the trading price of our common stock may be materially and adversely affected.</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As previously disclosed, in connection with the restatement of our consolidated financial statements for the year ended December 31, 2016, we identified a material weakness in internal control over financial reporting as a result of which we determined our disclosure controls and procedures were not effective. In response to changes implemented by management, and subsequent testing and evaluation, we consider this material weakness to be remediated and have concluded that these controls are operating effectively. However, we cannot be certain that any measures that we implemented will ensure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(GAAP), because of their inherent limitations, internal controls over financial reporting may not prevent or detect fraud or misstatements. Fraud or misstatement could adversely affect our financial condition and results of operations. Failure to implement required new or improved controls, or difficulties encountered in their implementation, could harm our results of operations or cause us to fail to meet our reporting obligations. In addition, investors could lose confidence in our financial reports and the trading price of our common stock may be adversely affected if our internal controls over financial reporting are found by management or by our independent registered public accounting firm not to be adequate.</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Approximately 4,100, or 57%, of our employees as of December 31, 2018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165"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We may need to increase the levels of our employee compensation more rapidly than in the past to retain talent in India. Unless we can continue to enhance the efficiency and productivity of our employees, wage increases in the long term may negatively impact our financial performance.</w:t>
      </w:r>
    </w:p>
    <w:p>
      <w:pPr>
        <w:spacing w:after="0" w:line="12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Political activity or other changes in the political or economic stability in India could affect our ability to operate our business effectively. For example, political protests disrupted our Indian operations in multiple cities for a number of days during 2018. Depending on the frequency and intensity of similar occurrences in the future, our Indian operations could be significantly adversely affected.</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operations in the Philippines are less substantial than our operations in India. However, they are still at risk of being affected by the same types of risks that affect our Indian operations. If they were to be so affected, our business could be materially and adversely affected.</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3" w:name="page34"/>
    <w:bookmarkEnd w:id="33"/>
    <w:p>
      <w:pPr>
        <w:jc w:val="both"/>
        <w:ind w:right="260"/>
        <w:spacing w:after="0" w:line="264" w:lineRule="auto"/>
        <w:rPr>
          <w:sz w:val="20"/>
          <w:szCs w:val="20"/>
          <w:color w:val="auto"/>
        </w:rPr>
      </w:pPr>
      <w:r>
        <w:rPr>
          <w:rFonts w:ascii="Arial" w:cs="Arial" w:eastAsia="Arial" w:hAnsi="Arial"/>
          <w:sz w:val="18"/>
          <w:szCs w:val="18"/>
          <w:color w:val="auto"/>
        </w:rPr>
        <w:t>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countries, (ii) fines, penalties or sanctions or (iii) reputational damage.</w:t>
      </w:r>
    </w:p>
    <w:p>
      <w:pPr>
        <w:spacing w:after="0" w:line="181"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highly competitive, and, to the extent we fail to meet these competitive challenges, it would have a material adverse effect on our business, financial position, results of operations or cash flows.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and non-bank lenders and mortgage servicers. Many of our competitors are substantially larger and have considerably greater financial, technical and marketing resources, and typically have access to greater financial resources and lower funding costs. While our acquisition of PHH is anticipated to help us increase scale and utilize resources more efficiently, we continue to face competitive disadvantages. Further, our competitors that are national banks may also benefit from a federal exemption from certain state regulatory requirements that is applicable to depository institutions. In addition, some of our competitors may have higher risk tolerances or different risk assessments, which could allow them to consider a wider variety of revenue generating options (e.g., originating types of loans that we choose not to originate) and establish more favorable relationships than we can.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Competition to service residential loans may result in lower margins. Because of the relatively limited number of servicing clients, our failure to meet the expectations of any significant client could materially impact our business. Ocwen has suffered reputational damage as a result of our regulatory settlements and the associated scrutiny of our business. We believe this may have weakened our competitive position against both our bank and non-bank mortgage servicing competitors. These competitive pressures could have a material adverse effect on our business, financial condition or results of operations.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originate and securitize reverse mortgages, which subjects us to risks that could have a material adverse effect on our business, reputation, liquidity, financial condition and results of operations.</w:t>
      </w:r>
    </w:p>
    <w:p>
      <w:pPr>
        <w:spacing w:after="0" w:line="6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originate, securitize and service reverse mortgages although we have retained third parties to subservice the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a default event under the terms of the mortgage occurs, the borrower dies, the borrower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occupy the home as their primary residence, maintain their property or fail to pay taxes or home insurance premiums. A general increase in foreclosure rates may adversely impact how reverse mortgage</w:t>
      </w:r>
      <w:r>
        <w:rPr>
          <w:rFonts w:ascii="Arial" w:cs="Arial" w:eastAsia="Arial" w:hAnsi="Arial"/>
          <w:sz w:val="16"/>
          <w:szCs w:val="16"/>
          <w:color w:val="auto"/>
          <w:strike w:val="1"/>
        </w:rPr>
        <w:t>s</w:t>
      </w:r>
      <w:r>
        <w:rPr>
          <w:rFonts w:ascii="Arial" w:cs="Arial" w:eastAsia="Arial" w:hAnsi="Arial"/>
          <w:sz w:val="16"/>
          <w:szCs w:val="16"/>
          <w:color w:val="auto"/>
        </w:rPr>
        <w:t xml:space="preserve"> are perceived by potential customers and thus reduce demand for reverse mortgages. Additionally, we could become subject to negative headline risk in the event that loan defaults on reverse mortgages lead to foreclosures or evictions of the elderly. The HUD HECM reverse mortgage program has in the past responded to scrutiny around similar issues by implementing rule changes, and may do so in the future. It is not possible to predict whether any such rule changes would negatively impact us. All of the above factors could have a material adverse effect on our business, reputation, liquidity, financial condition and results of operations.</w:t>
      </w:r>
    </w:p>
    <w:p>
      <w:pPr>
        <w:spacing w:after="0" w:line="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fund our tail commitments or securitize our HECM loans (including tails), this could have a material adverse effect on our business, financial condition, liquidity and results of operations.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originated and continue to service HECM loans under which the borrower has additional undrawn borrowing capacity in the form of undrawn lines of credit. We are obligated to fund future borrowings drawn on that capacity. As of December 31, 2018, our commitment to fund additional borrowing capacity was $1.4 billion. In addition, we are required to pay mortgage insurance premiums on behalf of HECM borrowers. We normally fund these obligations on a short-term basis using our cash resources, and from time to time securitize these amounts (along with our servicing fees) through the issuance of tails. If our cash resources are insufficient to fund these amounts and we are unable to fund them through the securitization of such tails, this could have a material adverse effect on our business, financial condition, liquidity and results of operations.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our captive reinsurance entity incurs losses from a severe catastrophe or series of catastrophes, particularly in areas where a significant portion of the insured properties are located, claims that result could substantially exceed our expectations, which could adversely impact our results of operation and financial condition.</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Florida, Texas, New York and Illinois, and our business may be significantly harmed by a slowdown in the economy or the occurrence of a natural disaster in those states.</w:t>
      </w:r>
    </w:p>
    <w:p>
      <w:pPr>
        <w:spacing w:after="0" w:line="1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A significant portion of the mortgage loans that we service and originate are secured by properties in California, Florida, Texas, New York and Illinois. Any adverse economic conditions in these markets, including a downturn in real estate values, could increase loan delinquencies. Delinquent loans are more costly to service and require us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litigation costs and related losses if the validity of a foreclosure action is challenged by a borrower or if a court overturns a foreclosure.</w:t>
      </w:r>
    </w:p>
    <w:p>
      <w:pPr>
        <w:spacing w:after="0" w:line="24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volatility.</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operating results have been and may in the future be significantly affected by inter-period variations in our results of operations, including variations due to expense fluctuations, sales or acquisitions of MSRs or changes in the value of MSRs due to, among other factors, increases or decreases in prepayment speeds, delinquencies or defaults.</w:t>
      </w:r>
    </w:p>
    <w:p>
      <w:pPr>
        <w:spacing w:after="0" w:line="18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Certain non-recurring gains and losses have significantly affected our operating results in the past, and non-recurring gains and losses may affect our operating results in future periods, resulting in substantial inter-period variations in financial performance. In particular, our financial results for the year ended December 31, 2018 reflect substantial costs relating to the integration of PHH, including costs relating to severance agreements and technology transitions. These costs may continue to have a significant impact on our future financial results.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and liabilities. If our estimates prove to be incorrect, we may be required to write down the value of these assets or write up the value of these liabilities, which could adversely affect our earnings.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18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At December 31, 2018, 77% and 73% of our consolidated total assets and liabilities are measured at fair value, respectively, on a recurring and nonrecurring basis, 97% and 100% of which are considered Level 3 valuations.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transfers of reverse mortgages do not qualify for sale accounting, we account for these transfers as secured financings and classify the transferred reverse mortgages as Loans held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2" w:right="259" w:bottom="1440" w:gutter="0" w:footer="0" w:header="0"/>
        </w:sectPr>
      </w:pPr>
    </w:p>
    <w:bookmarkStart w:id="35" w:name="page36"/>
    <w:bookmarkEnd w:id="35"/>
    <w:p>
      <w:pPr>
        <w:ind w:right="120"/>
        <w:spacing w:after="0" w:line="277" w:lineRule="auto"/>
        <w:rPr>
          <w:sz w:val="20"/>
          <w:szCs w:val="20"/>
          <w:color w:val="auto"/>
        </w:rPr>
      </w:pPr>
      <w:r>
        <w:rPr>
          <w:rFonts w:ascii="Arial" w:cs="Arial" w:eastAsia="Arial" w:hAnsi="Arial"/>
          <w:sz w:val="18"/>
          <w:szCs w:val="18"/>
          <w:color w:val="auto"/>
        </w:rPr>
        <w:t>for investment - reverse mortgages and recognize the related Financing liabilities. Holders of HMBS have no recourse against our assets, except for standard representations and warranties and our contractual obligations to service the reverse mortgages and HMBS.</w:t>
      </w:r>
    </w:p>
    <w:p>
      <w:pPr>
        <w:spacing w:after="0" w:line="17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estimate the fair value of our assets and liabilities utilizing assumptions that we believe are appropriate and are used by market participants. The methodology used to estimate these values is complex and uses asset- and liability-specific data and market inputs for assumptions including interest and discount rates, collateral status and expected future performance and liquidity dates. If these assumptions prove to be inaccurate, if market conditions change or if errors are found in our models, the value of certain of our assets may decrease, which could adversely affect our business, financial condition and results of operations, including through negative impacts on our ability to satisfy minimum net worth and liquidity covenants.</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adjust the value of certain assets, which could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of December 31, 2018, we have interest rate caps in place that limit our exposure to increases in interest rates on our match funded advance financing facilities. We currently have no economic hedge positions open to hedge our fair value MSRs. If we acquire additional servicing or subservicing rights in the future,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have entered into forward mortgage backed securities trades to hedge our mortgage loans held for sale at fair value and to hedge interest rate lock commitments (IRLCs) on loans that we have agreed to originate at a specified fixed or variable rate.</w:t>
      </w:r>
    </w:p>
    <w:p>
      <w:pPr>
        <w:spacing w:after="0" w:line="16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liquidity, interest rate and foreign currency exchange risks among other risks.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decision to originate and finance mortgage loans and sell mortgage loans into the secondary market. In general, we finance our operations through operating cash flows and various other sources of funding, including match funded borrowing agreements, secured lines of credit and repurchase agreements. We believe that we will have adequate financing for the next twelve months.</w:t>
      </w:r>
    </w:p>
    <w:p>
      <w:pPr>
        <w:spacing w:after="0" w:line="1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Among the more significant non-interest earning assets are servicing advances and MSRs. At December 31, 2018, we had total advances and match funded advances of $1.2 billion. We are also exposed to interest rate risk because a portion of our advance financing and other outstanding debt at December 31, 2018 is variable rate. Rising interest rates may increase our interest expense. Earnings on float balances partially offset this variability. At December 31, 2018, we had no interest rate swaps in place to hedge our exposure to rising interest rates, but we have interest rate caps in place as required by certain of our advance financing arrangements.</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loans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188" w:lineRule="exact"/>
        <w:rPr>
          <w:sz w:val="20"/>
          <w:szCs w:val="20"/>
          <w:color w:val="auto"/>
        </w:rPr>
      </w:pPr>
    </w:p>
    <w:p>
      <w:pPr>
        <w:jc w:val="both"/>
        <w:ind w:right="160" w:firstLine="324"/>
        <w:spacing w:after="0" w:line="302"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mortgage-backed securities trades to provide an economic hedge against those changes in fair value on mortgage loans held for sale. IRLCs represent an agreement to purchase loans from a third-party originator or an agreement to extend credit to a mortgage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6" w:name="page37"/>
    <w:bookmarkEnd w:id="36"/>
    <w:p>
      <w:pPr>
        <w:jc w:val="both"/>
        <w:ind w:right="80"/>
        <w:spacing w:after="0" w:line="312" w:lineRule="auto"/>
        <w:rPr>
          <w:sz w:val="20"/>
          <w:szCs w:val="20"/>
          <w:color w:val="auto"/>
        </w:rPr>
      </w:pPr>
      <w:r>
        <w:rPr>
          <w:rFonts w:ascii="Arial" w:cs="Arial" w:eastAsia="Arial" w:hAnsi="Arial"/>
          <w:sz w:val="16"/>
          <w:szCs w:val="16"/>
          <w:color w:val="auto"/>
        </w:rPr>
        <w:t>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also enter into forward contracts with respect to fixed or variable rate loan commitments.</w:t>
      </w:r>
    </w:p>
    <w:p>
      <w:pPr>
        <w:spacing w:after="0" w:line="14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currency operations to the extent that our foreign exchange positions remain unhedged. Our operations in the Philippines and India expose us to foreign currency exchange rate risk.</w:t>
      </w:r>
    </w:p>
    <w:p>
      <w:pPr>
        <w:spacing w:after="0" w:line="3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established policies and procedures intended to identify, monitor and manage the risks described above and other risks to which we are subject. See Item 7 - Management’s Discussion and Analysis of Financial Condition and Results of Operations - Risk Management. However, we cannot guarantee that our risk management policies and procedures will be effective, and to the extent they are not, our business, financial condition, and results of operations could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This risk factor discusses certain general risks raised by acquisitions. See “Risks Relating to the Integration of PHH” below for a discussion of certain specific risks relating to our 2018 acquisition of PHH.</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actively looking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 or assets or that the economic conditions underlying our acquisition decision have changed. For example, in 2014, we recognized an impairment loss of the full carrying value of goodwill totaling $420.2 million, which was primarily associated with certain large acquisitions in prior years.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to finance an acquisition, we may borrow funds, thereby increasing our leverage and diminishing our liquidity, or we could raise additional equity capital, which could dilute the interests of our existing shareholders.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timing of closing of our acquisitions is often uncertain. We have in the past and may in the future experience delays in closing our acquisitions, or certain tranches of them. For example, we and the applicable seller are often required to obtain certain regulatory and contractual consents as a prerequisite to closing, such as the consents of Fannie Mae or Freddie Mac, the FHFA and trustees to RMBS securitization trusts. Accordingly, even if we and the applicable seller are efficient and proactive, the actions of third parties can impact the timing under which such consents are obtained. We and the applicable seller may not be able to obtain all the required consents, which may mean that we are unable to acquire all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Integration of PHH</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7" w:name="page38"/>
    <w:bookmarkEnd w:id="37"/>
    <w:p>
      <w:pPr>
        <w:ind w:right="640"/>
        <w:spacing w:after="0" w:line="277" w:lineRule="auto"/>
        <w:rPr>
          <w:sz w:val="20"/>
          <w:szCs w:val="20"/>
          <w:color w:val="auto"/>
        </w:rPr>
      </w:pPr>
      <w:r>
        <w:rPr>
          <w:rFonts w:ascii="Arial" w:cs="Arial" w:eastAsia="Arial" w:hAnsi="Arial"/>
          <w:sz w:val="18"/>
          <w:szCs w:val="18"/>
          <w:b w:val="1"/>
          <w:bCs w:val="1"/>
          <w:i w:val="1"/>
          <w:iCs w:val="1"/>
          <w:color w:val="auto"/>
        </w:rPr>
        <w:t>We may not successfully integrate the businesses of Ocwen and PHH, which would impair our ability to return to profitability and execute on key initiatives throughout Ocwen.</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Successfully integrating the business, operations, and personnel of Ocwen and PHH is critical in order for us to create value, reengineer our cost structure, restore our focus on growth, and fulfill our regulatory commitments. If we cannot execute an efficient and effective integration process, it may not be possible to capture the expected synergies of our acquisition of PHH to the extent, or on the timeframe, anticipated. The integration of businesses is complex and time-consuming. The difficulties that could be encountered include with respect to the following:</w:t>
      </w:r>
    </w:p>
    <w:p>
      <w:pPr>
        <w:spacing w:after="0" w:line="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subservicing and other business relationships;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integrating operations and systems, including integration of information technology systems and our planned transition to Black Knight MSP;</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management’s ability to train and integrate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distraction of management and employees from operations and strategic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or conflicts in corporate culture;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retaining existing employees and attracting new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inefficiencies associated with the integration and management of the operations of the two companies.</w:t>
      </w:r>
    </w:p>
    <w:p>
      <w:pPr>
        <w:spacing w:after="0" w:line="10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there have been and will continue to be integration costs and non-recurring transaction costs. These costs include fees paid to legal, financial, accounting and other advisors, as well as the costs associated with combining operations, such as severance payments and the costs of executing technology transitions, and such costs may be significant.</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An inability to realize the full extent of the anticipated benefits of the acquisition, including estimated cost synergies, as well as any delays encountered in the integration process and realizing such benefits, could have an adverse effect upon our revenues, level of expenses and operating results, which may materially adversely affect the value of our shares of common stock.</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Continuing uncertainties associated with the PHH acquisition may cause a loss of employees or customers and may otherwise affect the future business and operations of Ocwen and the combined company.</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Continuing uncertainty about the effect of the PHH acquisition on employees and customers may have an adverse effect on Ocwen as we proceed with our integration plans. For instance, as noted above, following the acquisition of PHH, we have experienced significant turnover of both management and non-management employees. These uncertainties may impair our ability to retain and motivate key personnel and could also cause our servicing clients, suppliers, licensees, partners and other business partners to defer entering into contracts with, making other decisions concerning, or seeking to change existing business relationships with Ocwen. Because Ocwen depends on the experience and industry knowledge of its executives and other key personnel to execute their business plans, we may be unable to meet our strategic objectives.</w:t>
      </w:r>
    </w:p>
    <w:p>
      <w:pPr>
        <w:spacing w:after="0" w:line="17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Ocwen assumed all of PHH’s liabilities upon completion of the PHH acquisition, which could have a material adverse effect on Ocwen’s business, financial condition, or results of operation, or could otherwise reduce the anticipated benefits to Ocwen of the acquisition.</w:t>
      </w:r>
    </w:p>
    <w:p>
      <w:pPr>
        <w:spacing w:after="0" w:line="12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Upon completion of the acquisition of PHH, Ocwen assumed all of PHH’s liabilities by operation of law. Similar to Ocwen and other mortgage loan servicers and lenders, PHH and its subsidiaries are routinely, and currently, defendants in various legal proceedings that arise in the ordinary course of PHH's business, including class action proceedings. These proceedings are generally based on alleged violations of federal, state and local laws and regulations governing mortgage servicing and lending activities, and contractual obligations. Similar to Ocwen and other mortgage loan servicers and lenders, PHH and its subsidiaries are also routinely, and currently, subject to government and regulatory examinations, investigations and inquiries or other requests for information. The outcome of any legal or regulatory matter is inherently difficult to predict or estimate and the ultimate time to resolve any such matter may be protracted. In addition, the outcome in one or more legal or regulatory matters may affect the outcome of other pending or threatened legal or regulatory matters. The ultimate resolution of any particular legal or regulatory matter, whether through negotiated settlement, court rulings or otherwise, could be material to Ocwen’s business, reputation, financial condition, liquidity and results of operations or could otherwise reduce the anticipated benefits to Ocwen of the PHH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the tax benefits provided by the USVI would adversely affect our financial condition and results of operations.</w:t>
      </w:r>
    </w:p>
    <w:p>
      <w:pPr>
        <w:spacing w:after="0" w:line="225" w:lineRule="exact"/>
        <w:rPr>
          <w:sz w:val="20"/>
          <w:szCs w:val="20"/>
          <w:color w:val="auto"/>
        </w:rPr>
      </w:pPr>
    </w:p>
    <w:p>
      <w:pPr>
        <w:ind w:right="60" w:firstLine="338"/>
        <w:spacing w:after="0" w:line="277" w:lineRule="auto"/>
        <w:rPr>
          <w:sz w:val="20"/>
          <w:szCs w:val="20"/>
          <w:color w:val="auto"/>
        </w:rPr>
      </w:pPr>
      <w:r>
        <w:rPr>
          <w:rFonts w:ascii="Arial" w:cs="Arial" w:eastAsia="Arial" w:hAnsi="Arial"/>
          <w:sz w:val="18"/>
          <w:szCs w:val="18"/>
          <w:color w:val="auto"/>
        </w:rPr>
        <w:t>OMS is incorporated and headquartered in the USVI. The USVI has an EDC that provides EDC Benefits to certain qualified businesses that enable us to avail ourselves of significant tax benefits for a 30-year period. OMS received its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92" w:right="259" w:bottom="1440" w:gutter="0" w:footer="0" w:header="0"/>
        </w:sectPr>
      </w:pPr>
    </w:p>
    <w:bookmarkStart w:id="38" w:name="page39"/>
    <w:bookmarkEnd w:id="38"/>
    <w:p>
      <w:pPr>
        <w:spacing w:after="0" w:line="276" w:lineRule="auto"/>
        <w:rPr>
          <w:sz w:val="20"/>
          <w:szCs w:val="20"/>
          <w:color w:val="auto"/>
        </w:rPr>
      </w:pPr>
      <w:r>
        <w:rPr>
          <w:rFonts w:ascii="Arial" w:cs="Arial" w:eastAsia="Arial" w:hAnsi="Arial"/>
          <w:sz w:val="17"/>
          <w:szCs w:val="17"/>
          <w:color w:val="auto"/>
        </w:rPr>
        <w:t>certificate to operate as a company qualified for EDC Benefits in October 2012. It is possible that we may not be able to retain our qualifications for the EDC Benefits, or that changes in U.S. federal, state, local, territorial or USVI taxation statutes or applicable regulations may cause a reduction in or an elimination of the value of the EDC Benefits, all of which could result in an increase to our tax expense, and, therefore, adversely affect our financial condition and results of operations. Additionally, if the USVI were to undergo a financial reorganization, it is possible that the EDC Benefits could be adversely impacted as a part of any such reorganization, which could jeopardize our ability to return to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225"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193" w:lineRule="exact"/>
        <w:rPr>
          <w:sz w:val="20"/>
          <w:szCs w:val="20"/>
          <w:color w:val="auto"/>
        </w:rPr>
      </w:pPr>
    </w:p>
    <w:p>
      <w:pPr>
        <w:ind w:right="80" w:firstLine="338"/>
        <w:spacing w:after="0" w:line="259"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 In addition, changes in the Code, state statutes, regulations or court decisions relevant to the various aspects of our business such as various international tax reform proposals being considered by Congress could increase our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comprehensive tax reform legislation could adversely affect our business and financial condition.</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December 22, 2017, President Trump signed into law new legislation that significantly revises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and net operating loss carryforwards, one time taxation of offshore earnings at reduced rates regardless of whether they are repatriated, elimination of U.S. tax on foreign earnings (subject to certain important exceptions), a new minimum tax enacted to prevent companies from stripping earnings out of the U.S. through U.S. tax deductible payments made to foreign affiliates,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w:t>
      </w:r>
    </w:p>
    <w:p>
      <w:pPr>
        <w:spacing w:after="0" w:line="179"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In addition, it is uncertain if and to what extent various states will conform to the newly enacted federal tax law. The impact of this tax reform on holders of our common stock is also uncertain and could be adverse.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taxation and the ability to quantify such changes could adversely affect Ocwen’s financial results.</w:t>
      </w:r>
    </w:p>
    <w:p>
      <w:pPr>
        <w:spacing w:after="0" w:line="11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Ocwen is subject to taxation by the various taxing authorities at the Federal, state and local levels where it does business, both in the U.S. and outside the U.S. Legislation or regulation, which could affect Ocwen’s tax burden, could be enacted by any of these governmental authorities. Ocwen cannot predict the timing or extent of such tax-related developments, which could have a negative impact on the financial results.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“ownership change” as defined in Section 382 of the Internal Revenue Code could substantially limit our ability to utilize our net operating losses carryforwards.</w:t>
      </w:r>
    </w:p>
    <w:p>
      <w:pPr>
        <w:spacing w:after="0" w:line="6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of December 31, 2018, Ocwen had net operating loss (NOL) carryforwards of approximately $428.1 million, which we estimate to be worth approximately $57.2 million to Ocwen under our present assumptions related to Ocwen’s various relevant jurisdictional tax rates as a result of recently passed tax legislation (which assumptions reflect a significant degree of uncertainty). As of December 31, 2018, Ocwen had foreign tax credit carryforwards of $29.9 million in the U.S. jurisdiction. NOL carryforwards and certain built-in losses or deductions may be subject to annual limitations under Internal Revenue Code Section 382 (Section 382) (or comparable provisions of foreign or state law) in the event that certain changes in ownership were to occur as measured under Section 382. In addition, tax credit carryforwards may be subject to annual limitations under Internal Revenue Code Section 383 (Section 383). We periodically evaluate whether certain changes in ownership have occurred as measured under Section 382 that would limit our ability to utilize our NOL and tax credit carryforwards. If it is determined that an ownership change(s) has occurred, there may be annual limitations on the use of these NOL carryforwards, certain built-in losses or deductions, and tax credit carryforwards under Sections 382 and 383 (or comparable provisions of foreign or state law). We have evaluated whether we experienced an ownership change as measured under Section 382, and determined that an ownership change did occur in January 2015 and in December 2017 in the U.S. jurisdiction, which also results in an ownership change under Section 382 in the USVI jurisdiction. This determination was made based on information available as of the date of our Form 10-K filing for the fiscal year ended December 31, 2018. Due to the Section 382 and 383 limitations and the maximum carryforward period for our NOLs and tax credits, we will be unable to fully recognize certain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92" w:right="259" w:bottom="1440" w:gutter="0" w:footer="0" w:header="0"/>
        </w:sectPr>
      </w:pPr>
    </w:p>
    <w:bookmarkStart w:id="39" w:name="page40"/>
    <w:bookmarkEnd w:id="39"/>
    <w:p>
      <w:pPr>
        <w:ind w:right="60"/>
        <w:spacing w:after="0" w:line="272" w:lineRule="auto"/>
        <w:rPr>
          <w:sz w:val="20"/>
          <w:szCs w:val="20"/>
          <w:color w:val="auto"/>
        </w:rPr>
      </w:pPr>
      <w:r>
        <w:rPr>
          <w:rFonts w:ascii="Arial" w:cs="Arial" w:eastAsia="Arial" w:hAnsi="Arial"/>
          <w:sz w:val="17"/>
          <w:szCs w:val="17"/>
          <w:color w:val="auto"/>
        </w:rPr>
        <w:t>deferred tax assets. Accordingly, as of December 31, 2018, we have reduced our gross deferred tax asset related to our NOLs by $160.9 million, our foreign tax credit deferred tax asset by $29.5 million and corresponding valuation allowance by $55.7 million. The realization of all or a portion of our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 Our inability to utilize our pre-ownership change NOL carryforwards, any future recognized built-in losses or deductions, and tax credit carryforwards could have an adverse effect on our financial condition, results of operations and cash flows. Finally, any future changes in our ownership or sale of our stock could further limit the use of our NOLs and tax credits in the future.</w:t>
      </w:r>
    </w:p>
    <w:p>
      <w:pPr>
        <w:spacing w:after="0" w:line="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part of our Section 382 evaluation and consistent with the rules provided within Section 382, Ocwen relies strictly on the existence or absence, as well as the information contained in certain publicly available documents (</w:t>
      </w:r>
      <w:r>
        <w:rPr>
          <w:rFonts w:ascii="Arial" w:cs="Arial" w:eastAsia="Arial" w:hAnsi="Arial"/>
          <w:sz w:val="16"/>
          <w:szCs w:val="16"/>
          <w:i w:val="1"/>
          <w:iCs w:val="1"/>
          <w:color w:val="auto"/>
        </w:rPr>
        <w:t>e.g.</w:t>
      </w:r>
      <w:r>
        <w:rPr>
          <w:rFonts w:ascii="Arial" w:cs="Arial" w:eastAsia="Arial" w:hAnsi="Arial"/>
          <w:sz w:val="16"/>
          <w:szCs w:val="16"/>
          <w:color w:val="auto"/>
        </w:rPr>
        <w:t>, Schedule 13D, Schedule 13G or other documents filed with the SEC) to identify shareholders that own a 5-percent or greater interest in Ocwen 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 is received, Section 382 requires the inclusion of such actual knowledge, even if such inclusion is detrimental to the conclusion reached.</w:t>
      </w:r>
    </w:p>
    <w:p>
      <w:pPr>
        <w:spacing w:after="0" w:line="17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 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10-K, Ocwen has not received all requested responses from selected shareholders, and will continue to consider such shareholders as economic owners of Ocwen’s stock until actual knowledge is otherwise received.</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Ocwen is continuing to monitor the ownership in its stock to evaluate information that will become available later in 2019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planned reorganization of our USVI operations could adversely affect our business and financial condition.</w:t>
      </w:r>
    </w:p>
    <w:p>
      <w:pPr>
        <w:spacing w:after="0" w:line="225"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In connection with our acquisition of PHH, overall corporate simplification and cost reduction efforts, we are planning a legal entity reorganization whereby two primary licensed entities would be merged into PHH. As a result of this reorganization, a portion of our USVI operations and assets will be transferred to the U.S. At this time, we expect the reorganization to result in efficiencies and operational cost savings through reduced complexity and a simplification of our global structure.</w:t>
      </w:r>
    </w:p>
    <w:p>
      <w:pPr>
        <w:spacing w:after="0" w:line="187" w:lineRule="exact"/>
        <w:rPr>
          <w:sz w:val="20"/>
          <w:szCs w:val="20"/>
          <w:color w:val="auto"/>
        </w:rPr>
      </w:pPr>
    </w:p>
    <w:p>
      <w:pPr>
        <w:ind w:right="40" w:firstLine="359"/>
        <w:spacing w:after="0" w:line="271" w:lineRule="auto"/>
        <w:rPr>
          <w:sz w:val="20"/>
          <w:szCs w:val="20"/>
          <w:color w:val="auto"/>
        </w:rPr>
      </w:pPr>
      <w:r>
        <w:rPr>
          <w:rFonts w:ascii="Arial" w:cs="Arial" w:eastAsia="Arial" w:hAnsi="Arial"/>
          <w:sz w:val="17"/>
          <w:szCs w:val="17"/>
          <w:color w:val="auto"/>
        </w:rPr>
        <w:t>Although we expect the reorganization to result in efficiencies and operational cost savings, it is uncertain how the reorganization will ultimately impact Ocwen from a U.S. federal, state and USVI income tax perspective. We are continuing to evaluate the impact of the new U.S. tax legislation and guiding regulations (which are still being promulgated and finalized) on its global tax position. It is possible that our interpretation of the new tax legislation and related guidance that has been provided to date, and for which we are relying on to conclude upon the tax consequences of the reorganization and the future business operations, will not be consistent with final guidance provided by the IRS. In addition, the reorganization of the USVI operations could result in a write-down of our net deferred tax assets, including our NOL carryforwards, as well as a permanent loss of our EDC Benefits in the USVI. Finally, the IRS or the Bureau of Internal Revenue (BIR) may challenge our conclusions regarding the taxation associated with the reorganization and future business operations which could result in an increase to our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ind w:right="380"/>
        <w:spacing w:after="0" w:line="264" w:lineRule="auto"/>
        <w:rPr>
          <w:sz w:val="20"/>
          <w:szCs w:val="20"/>
          <w:color w:val="auto"/>
        </w:rPr>
      </w:pPr>
      <w:r>
        <w:rPr>
          <w:rFonts w:ascii="Arial" w:cs="Arial" w:eastAsia="Arial" w:hAnsi="Arial"/>
          <w:sz w:val="18"/>
          <w:szCs w:val="18"/>
          <w:color w:val="auto"/>
        </w:rPr>
        <w:t>current income tax obligations. The reorganization and future business operations could have an adverse effect on our financial condition, results of operations and cash flows due to the uncertainty of how the new U.S. tax legislation will impact our global tax position, as well as the other factors noted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on a number of occasions in recent periods, which may affect your ability to sell our common stock at an advantageous price.</w:t>
      </w:r>
    </w:p>
    <w:p>
      <w:pPr>
        <w:spacing w:after="0" w:line="170"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The market price of our shares of common stock has been, and may continue to be, volatile. For example, the closing market price of our common stock on the New York Stock Exchange fluctuated during 2018 between $1.23 per share and $4.75 per share and the closing stock price on February 22, 2019 was $2.00 per share. Therefore, the volatility and recent decline in our stock price may affect your ability to sell our common stock at an advantageous price.</w:t>
      </w:r>
    </w:p>
    <w:p>
      <w:pPr>
        <w:ind w:right="300"/>
        <w:spacing w:after="0" w:line="255" w:lineRule="auto"/>
        <w:rPr>
          <w:sz w:val="20"/>
          <w:szCs w:val="20"/>
          <w:color w:val="auto"/>
        </w:rPr>
      </w:pPr>
      <w:r>
        <w:rPr>
          <w:rFonts w:ascii="Arial" w:cs="Arial" w:eastAsia="Arial" w:hAnsi="Arial"/>
          <w:sz w:val="18"/>
          <w:szCs w:val="18"/>
          <w:color w:val="auto"/>
        </w:rPr>
        <w:t>Market price fluctuations in our common stock may be due to factors both within and outside our control, including regulatory action,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190"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66"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When the market price of a company's shares drops significantly, shareholders often institute securities class action lawsuits against the company. A lawsuit against us, even if unsuccessful, could cause us to incur substantial costs and could divert the time and attention of our management and other resources. Further, if the average closing price of our stock over thirty consecutive trading days were to fall below $1.00, we would need to take immediate steps to avoid de-listing by the New York Stock Exchange. Such measures could cause us to incur substantial costs and divert management attention, and could include implementing a reverse stock split, which would entail additional risk, and success in preventing de-listing would not be assured.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23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Based on SEC filings, certain shareholders, such as investors Deer Park Road Management Company, LP and Leon G. Cooperman, own or control significant amounts of our common stock. These and our other large shareholders each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 For instance, we held a special meeting of shareholders in November 2018 in order to implement an amendment to our articles of incorporation that management believed was necessary to help us preserve certain tax assets, but in part due to the fact that we did not receive the vote of several large shareholders, the proposal was not adopted by our shareholders. If, in the future, situations arise in which management and certain large shareholders have divergent views, we may be unable to take actions management believes to be in the best interests of Ocwen.</w:t>
      </w:r>
    </w:p>
    <w:p>
      <w:pPr>
        <w:spacing w:after="0" w:line="17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Further, certain of our large shareholders also hold significant percentages of stock in companies with which we do business. It is possible these interlocking ownership positions could cause these shareholders to take actions based on factors other than solely what is in the best interests of Ocwen.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225" w:lineRule="exact"/>
        <w:rPr>
          <w:sz w:val="20"/>
          <w:szCs w:val="20"/>
          <w:color w:val="auto"/>
        </w:rPr>
      </w:pPr>
    </w:p>
    <w:p>
      <w:pPr>
        <w:ind w:left="660" w:right="12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While any such issuance would be subject to compliance with the terms of our debt and other agreements, our issuance of additional securities could be substantially dilutive to our existing stockholders and may depress the price of our common stock.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1" w:name="page42"/>
    <w:bookmarkEnd w:id="41"/>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in liquidation, or equity securities, which would dilute our existing stockholders’ interests and may be senior to our common stock in liquidation or for the purposes of distributions, may harm the market price of our securities.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will continue to seek to access the capital markets from time to time and, subject to compliance with our other contractual agreements, may make additional offerings of debt or equity securities, including commercial paper, medium-term notes, senior or subordinated notes, preferred stock or common stock. We are not precluded by the terms of our charter from issuing additional indebtedness. Accordingly, we could become more highly leveraged, resulting in an increase in debt service obligations that could harm our ability to make expected distributions to stockholders and in an increased risk of default on our obligations. If we were to liquidate, holders of our debt and lenders with respect to other borrowings would receive a distribution of our available assets before the holders of our common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and regulatory restrictions, takeovers may be more difficult, possibly preventing you from obtaining an optimal share price. In addition, significant investments in our common stock may be restricted, which could impact demand for, and the trading price of, our common stock.</w:t>
      </w:r>
    </w:p>
    <w:p>
      <w:pPr>
        <w:spacing w:after="0" w:line="18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 In addition, our bylaws include provisions that, among other things, require advance notice for raising business or making nominations at meetings, which could impact the ability of a third party to acquire control of us or the timing of acquiring such control.</w:t>
      </w:r>
    </w:p>
    <w:p>
      <w:pPr>
        <w:spacing w:after="0" w:line="5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Third parties seeking to acquire us or make significant investments in us must do so in compliance with state regulatory requirements applicable to licensed mortgage servicers and lenders. Many states require change of control applications for acquisitions of “control” as defined under each state’s laws and regulation, which may apply to an investment without regard to the intent of the investor. For example, New York has a control presumption triggered at 10% ownership of the voting stock of the licensee or of any person that controls the licensee. In addition, we have licensed insurance subsidiaries in New York and Vermont. Accordingly, there can be no effective change in control of Ocwen unless the person seeking to acquire control has made the relevant filings and received the requisite approvals in New York and Vermont. These regulatory requirements may discourage potential acquisition proposals or investments, may delay or prevent a change in control of us and may impact demand for, and the trading price of, our common stock.</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92"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3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principal facilities at December 31, 2018:</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820" w:type="dxa"/>
            <w:vAlign w:val="bottom"/>
          </w:tcPr>
          <w:p>
            <w:pPr>
              <w:spacing w:after="0"/>
              <w:rPr>
                <w:sz w:val="24"/>
                <w:szCs w:val="24"/>
                <w:color w:val="auto"/>
              </w:rPr>
            </w:pPr>
          </w:p>
        </w:tc>
        <w:tc>
          <w:tcPr>
            <w:tcW w:w="7300" w:type="dxa"/>
            <w:vAlign w:val="bottom"/>
            <w:gridSpan w:val="2"/>
          </w:tcPr>
          <w:p>
            <w:pPr>
              <w:ind w:left="2840"/>
              <w:spacing w:after="0"/>
              <w:rPr>
                <w:sz w:val="20"/>
                <w:szCs w:val="20"/>
                <w:color w:val="auto"/>
              </w:rPr>
            </w:pPr>
            <w:r>
              <w:rPr>
                <w:rFonts w:ascii="Arial" w:cs="Arial" w:eastAsia="Arial" w:hAnsi="Arial"/>
                <w:sz w:val="18"/>
                <w:szCs w:val="18"/>
                <w:b w:val="1"/>
                <w:bCs w:val="1"/>
                <w:color w:val="auto"/>
              </w:rPr>
              <w:t>Location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Square Footage</w:t>
            </w:r>
          </w:p>
        </w:tc>
      </w:tr>
      <w:tr>
        <w:trPr>
          <w:trHeight w:val="27"/>
        </w:trPr>
        <w:tc>
          <w:tcPr>
            <w:tcW w:w="8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USVI (1)</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6,904</w:t>
            </w:r>
          </w:p>
        </w:tc>
      </w:tr>
      <w:tr>
        <w:trPr>
          <w:trHeight w:val="230"/>
        </w:trPr>
        <w:tc>
          <w:tcPr>
            <w:tcW w:w="80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0"/>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8000" w:type="dxa"/>
            <w:vAlign w:val="bottom"/>
            <w:gridSpan w:val="2"/>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Mt. Laurel, New Jersey (2)</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483,896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Waterloo, Iowa (3) (4)</w:t>
            </w:r>
          </w:p>
        </w:tc>
        <w:tc>
          <w:tcPr>
            <w:tcW w:w="17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Owned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154,980</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Addison, Texas (5)</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137,992</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Fort Washington, Pennsylvania (1) (4)</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77,026</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Westampton, New Jersey (2)</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71,164</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Rancho Cordova, California (1) (6)</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53,107</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Bannockburn, Illinois (2)</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36,188</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Houston, Texas (4) (7)</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18,822</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St. Croix, USVI (8)</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6,096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8000" w:type="dxa"/>
            <w:vAlign w:val="bottom"/>
            <w:gridSpan w:val="2"/>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Offshore facilities (4)</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Bangalore,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128,606</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Mumbai,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96,696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Pune, India (9)</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88,683</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Manila, Philippines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39,329</w:t>
            </w:r>
          </w:p>
        </w:tc>
      </w:tr>
    </w:tbl>
    <w:p>
      <w:pPr>
        <w:spacing w:after="0" w:line="12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two-thirds of the space in these facilities is currently unused as a result of reductions in headcount.</w:t>
      </w:r>
    </w:p>
    <w:p>
      <w:pPr>
        <w:spacing w:after="0" w:line="23" w:lineRule="exact"/>
        <w:rPr>
          <w:rFonts w:ascii="Arial" w:cs="Arial" w:eastAsia="Arial" w:hAnsi="Arial"/>
          <w:sz w:val="18"/>
          <w:szCs w:val="18"/>
          <w:color w:val="auto"/>
        </w:rPr>
      </w:pPr>
    </w:p>
    <w:p>
      <w:pPr>
        <w:ind w:left="500" w:right="80" w:hanging="492"/>
        <w:spacing w:after="0" w:line="28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acquired these facilities in connection with our acquisition of PHH. The Mt. Laurel, New Jersey facility includes two buildings, one with 376,122 square feet of space supporting our servicing and lending operations, as well as our corporate functions, and one with 107,774 square feet of space which is subleased. The Westampton, New Jersey and Bannockburn, Illinois facilities are currently unoccupied and we are exploring sublease options.</w:t>
      </w:r>
    </w:p>
    <w:p>
      <w:pPr>
        <w:spacing w:after="0" w:line="2" w:lineRule="exact"/>
        <w:rPr>
          <w:rFonts w:ascii="Arial" w:cs="Arial" w:eastAsia="Arial" w:hAnsi="Arial"/>
          <w:sz w:val="16"/>
          <w:szCs w:val="16"/>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currently occupy approximately one-fourth of the space in this facility.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supports Servicing operations.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currently occupy approximately one-half of this facility and have entered into an amendment to the lease agreement for a reduction in leased square footage to 39,646 effective April 2019.</w:t>
      </w: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supports Lending operations.</w:t>
      </w:r>
    </w:p>
    <w:p>
      <w:pPr>
        <w:spacing w:after="0" w:line="9"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partially terminated the lease for this facility during 2017 and entered into a sublease agreement for a portion of the space. The lease of the existing facility will expire in 2019. We have entered into a lease agreement for a smaller facility in Houston, Texas.</w:t>
      </w:r>
    </w:p>
    <w:p>
      <w:pPr>
        <w:ind w:left="500" w:hanging="492"/>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facility primarily operates as a call center and approximately one-third of the space is currently unused as a result of reductions in the headcount.</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ceased using approximately 22,000 square feet of the Pune, India facility as a result of a reduction in headcount.</w:t>
      </w:r>
    </w:p>
    <w:p>
      <w:pPr>
        <w:spacing w:after="0" w:line="103" w:lineRule="exact"/>
        <w:rPr>
          <w:sz w:val="20"/>
          <w:szCs w:val="20"/>
          <w:color w:val="auto"/>
        </w:rPr>
      </w:pPr>
    </w:p>
    <w:p>
      <w:pPr>
        <w:ind w:left="60" w:right="56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Houston, Texas; Glendale, California; Orlando, Florida; Scottsdale, Arizona; Irvine, California; Atlanta, Georgia and Winston Salem, North Carolina.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6" w:right="23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25 — Contingencies to the Consolidated Financial Statements. That information is incorporated into this item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stock of Ocwen Financial Corporation is traded under the symbol “OCN” on the New York Stock Exchange (NYSE).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797"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Stock Return Performance</w:t>
      </w:r>
    </w:p>
    <w:p>
      <w:pPr>
        <w:spacing w:after="0" w:line="229"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2013, with the cumulative total return on the stocks included in Standard &amp; Poor’s 500 Market Index and Standard &amp; Poor’s Diversified Financials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276225</wp:posOffset>
            </wp:positionV>
            <wp:extent cx="5848985" cy="343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4020" w:type="dxa"/>
            <w:vAlign w:val="bottom"/>
            <w:tcBorders>
              <w:lef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12/31/2013</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12/31/2014</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12/31/2015</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12/31/2016</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12/31/2017</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12/31/2018</w:t>
            </w:r>
          </w:p>
        </w:tc>
      </w:tr>
      <w:tr>
        <w:trPr>
          <w:trHeight w:val="27"/>
        </w:trPr>
        <w:tc>
          <w:tcPr>
            <w:tcW w:w="39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2.42</w:t>
            </w:r>
          </w:p>
        </w:tc>
      </w:tr>
      <w:tr>
        <w:trPr>
          <w:trHeight w:val="243"/>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111.39</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135.63</w:t>
            </w:r>
          </w:p>
        </w:tc>
      </w:tr>
      <w:tr>
        <w:trPr>
          <w:trHeight w:val="27"/>
        </w:trPr>
        <w:tc>
          <w:tcPr>
            <w:tcW w:w="3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S&amp;P 500 Diversified Financials</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115.17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103.34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122.80</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151.45</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134.75</w:t>
            </w:r>
          </w:p>
        </w:tc>
      </w:tr>
      <w:tr>
        <w:trPr>
          <w:trHeight w:val="20"/>
        </w:trPr>
        <w:tc>
          <w:tcPr>
            <w:tcW w:w="39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8" w:lineRule="exact"/>
        <w:rPr>
          <w:sz w:val="20"/>
          <w:szCs w:val="20"/>
          <w:color w:val="auto"/>
        </w:rPr>
      </w:pPr>
    </w:p>
    <w:p>
      <w:pPr>
        <w:ind w:left="500" w:right="40" w:hanging="492"/>
        <w:spacing w:after="0" w:line="270"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Copyright © 2017 S&amp;P Dow Jones Indices LLC, a division of S&amp;P Global. All rights reserved. Redistribution or reproduction in whole or in part are prohibited without written permission of S&amp;P Dow Jones Indices LLC. S&amp;P 500® and S&amp;P® are registered trademarks of Standard &amp; Poor's Financial Services LLC, a division of S&amp;P Global (S&amp;P); DOW JONES is a registered trademark of Dow Jones Trademark Holdings LLC (Dow Jones); and these trademarks have been licensed for use by S&amp;P Dow Jones Indices LLC. S&amp;P Dow Jones Indices LLC, Dow Jones, S&amp;P and their respective affiliates (S&amp;P Dow Jones Indices) makes no representation or warranty, express or implied, as to the ability of any index to accurately represent the asset class or market sector that it purports to represent and S&amp;P Dow Jones Indices and its third-party licensors shall have no liability for any errors, omissions, or interruptions of any index or the data included therein. All data and information is provided by S&amp;P DJI "as is". Past performance is not an indication or guarantee of future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On February 22, 2019, 133,918,693 shares of our common stock were outstanding and held by approximately 94 holders of record. Such number of stockholders does not reflect the number of individuals or institutional investors holding our stock in nominee name through banks, brokerage firms and others.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unregistered sales of equity securities have been previously reported.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40"/>
          </w:cols>
          <w:pgMar w:left="240" w:top="688" w:right="2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of our common stock during the fourth quarter of the year ended December 31, 2018.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Management’s Discussion and Analysis of Financial Condition and Results of Operations, our Consolidated Financial Statements and the Notes to the Consolidated Financial Statements. The historical financial information presented may not be indicative of our future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9,394,216</w:t>
            </w:r>
          </w:p>
        </w:tc>
        <w:tc>
          <w:tcPr>
            <w:tcW w:w="12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7,655,663</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7,380,308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8,243,662</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242,622</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238,358</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5,498,719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4,715,831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3,565,716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1,550,141</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1,186,676</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1,356,393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1,457,149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1,008,844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1,042,978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1,913,992</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304"/>
        </w:trPr>
        <w:tc>
          <w:tcPr>
            <w:tcW w:w="34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8,839,511</w:t>
            </w:r>
          </w:p>
        </w:tc>
        <w:tc>
          <w:tcPr>
            <w:tcW w:w="12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7,856,290</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7,000,380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6,525,670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7,202,497</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5,380,448</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2,391,362</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1,444,252</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 financing liabilities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1,127,613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593,518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579,031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697,893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814,389</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778,284</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998,618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1,280,997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2,090,247</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Long-term other borrowings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567,171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631,501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718,373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734,763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1,611,531</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4"/>
        </w:trPr>
        <w:tc>
          <w:tcPr>
            <w:tcW w:w="3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equity (3)</w:t>
            </w:r>
          </w:p>
        </w:tc>
        <w:tc>
          <w:tcPr>
            <w:tcW w:w="4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554,705</w:t>
            </w:r>
          </w:p>
        </w:tc>
        <w:tc>
          <w:tcPr>
            <w:tcW w:w="12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546,874</w:t>
            </w: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655,283</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854,638</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1,041,165</w:t>
            </w: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5"/>
        </w:trPr>
        <w:tc>
          <w:tcPr>
            <w:tcW w:w="3440" w:type="dxa"/>
            <w:vAlign w:val="bottom"/>
            <w:shd w:val="clear" w:color="auto" w:fill="EAF9E8"/>
          </w:tcPr>
          <w:p>
            <w:pPr>
              <w:jc w:val="center"/>
              <w:spacing w:after="0"/>
              <w:rPr>
                <w:sz w:val="20"/>
                <w:szCs w:val="20"/>
                <w:color w:val="auto"/>
              </w:rPr>
            </w:pPr>
            <w:r>
              <w:rPr>
                <w:rFonts w:ascii="Arial" w:cs="Arial" w:eastAsia="Arial" w:hAnsi="Arial"/>
                <w:sz w:val="18"/>
                <w:szCs w:val="18"/>
                <w:b w:val="1"/>
                <w:bCs w:val="1"/>
                <w:color w:val="auto"/>
                <w:w w:val="90"/>
              </w:rPr>
              <w:t>Residential Loans and Real Estate</w:t>
            </w: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61"/>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9"/>
              </w:rPr>
              <w:t>Serviced or Subserviced for Others</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Count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1,562,238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1,221,695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1,393,766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1,624,762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2,486,038</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256,000,490</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179,352,553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398,727,727</w:t>
            </w:r>
          </w:p>
        </w:tc>
      </w:tr>
      <w:tr>
        <w:trPr>
          <w:trHeight w:val="675"/>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b w:val="1"/>
                <w:bCs w:val="1"/>
                <w:color w:val="auto"/>
              </w:rPr>
              <w:t>Selected Operations Data</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934,336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989,376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77,743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103,402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134,297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50,966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101,798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110,152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74,332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82,853</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1,063,045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1,194,576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2,111,325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 (1)</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932,496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998,645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1,223,254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2,035,208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(275,041)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(363,238)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Bargain purchase gain (4)</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64,036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Gain on sale of mortgage servicing rights,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net (5)</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22,481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(202,025)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(339,904)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(370,270)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(519,276)</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Loss from continuing operations before</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(71,476)</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 (6)</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26,396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(72,005)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(469,555)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w w:val="99"/>
              </w:rPr>
              <w:t>Income from discontinued operations, net of</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tax</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(70,596)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(469,555)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Net loss (income) attributable to non-</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controlling interests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(70,772)</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(469,800)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Preferred stock dividends (2)</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conversion feature of preferred stock (2)</w:t>
            </w:r>
          </w:p>
        </w:tc>
        <w:tc>
          <w:tcPr>
            <w:tcW w:w="30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5"/>
        </w:trPr>
        <w:tc>
          <w:tcPr>
            <w:tcW w:w="3560" w:type="dxa"/>
            <w:vAlign w:val="bottom"/>
            <w:gridSpan w:val="2"/>
          </w:tcPr>
          <w:p>
            <w:pPr>
              <w:ind w:left="280"/>
              <w:spacing w:after="0" w:line="205" w:lineRule="exact"/>
              <w:rPr>
                <w:sz w:val="20"/>
                <w:szCs w:val="20"/>
                <w:color w:val="auto"/>
              </w:rPr>
            </w:pPr>
            <w:r>
              <w:rPr>
                <w:rFonts w:ascii="Arial" w:cs="Arial" w:eastAsia="Arial" w:hAnsi="Arial"/>
                <w:sz w:val="18"/>
                <w:szCs w:val="18"/>
                <w:b w:val="1"/>
                <w:bCs w:val="1"/>
                <w:color w:val="auto"/>
                <w:w w:val="96"/>
              </w:rPr>
              <w:t>Net income (loss) attributable to Ocwen</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(70,772)</w:t>
            </w:r>
          </w:p>
        </w:tc>
        <w:tc>
          <w:tcPr>
            <w:tcW w:w="12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(199,762)</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(472,602)</w:t>
            </w:r>
          </w:p>
        </w:tc>
        <w:tc>
          <w:tcPr>
            <w:tcW w:w="0" w:type="dxa"/>
            <w:vAlign w:val="bottom"/>
          </w:tcPr>
          <w:p>
            <w:pPr>
              <w:spacing w:after="0"/>
              <w:rPr>
                <w:sz w:val="1"/>
                <w:szCs w:val="1"/>
                <w:color w:val="auto"/>
              </w:rPr>
            </w:pPr>
          </w:p>
        </w:tc>
      </w:tr>
      <w:tr>
        <w:trPr>
          <w:trHeight w:val="281"/>
        </w:trPr>
        <w:tc>
          <w:tcPr>
            <w:tcW w:w="3560" w:type="dxa"/>
            <w:vAlign w:val="bottom"/>
            <w:tcBorders>
              <w:bottom w:val="single" w:sz="8" w:color="EAF9E8"/>
            </w:tcBorders>
            <w:gridSpan w:val="2"/>
          </w:tcPr>
          <w:p>
            <w:pPr>
              <w:ind w:left="520"/>
              <w:spacing w:after="0"/>
              <w:rPr>
                <w:sz w:val="20"/>
                <w:szCs w:val="20"/>
                <w:color w:val="auto"/>
              </w:rPr>
            </w:pPr>
            <w:r>
              <w:rPr>
                <w:rFonts w:ascii="Arial" w:cs="Arial" w:eastAsia="Arial" w:hAnsi="Arial"/>
                <w:sz w:val="18"/>
                <w:szCs w:val="18"/>
                <w:b w:val="1"/>
                <w:bCs w:val="1"/>
                <w:color w:val="auto"/>
              </w:rPr>
              <w:t>common stockholders</w:t>
            </w:r>
          </w:p>
        </w:tc>
        <w:tc>
          <w:tcPr>
            <w:tcW w:w="3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(loss) per share - Basic and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b w:val="1"/>
                <w:bCs w:val="1"/>
                <w:color w:val="auto"/>
                <w:w w:val="96"/>
              </w:rPr>
              <w:t>Total attributable to Ocwen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133,703,359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127,082,058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125,315,889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Diluted (7)</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133,703,359</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127,082,058</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123,990,700</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125,315,889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c>
          <w:tcPr>
            <w:tcW w:w="0" w:type="dxa"/>
            <w:vAlign w:val="bottom"/>
          </w:tcPr>
          <w:p>
            <w:pPr>
              <w:spacing w:after="0"/>
              <w:rPr>
                <w:sz w:val="1"/>
                <w:szCs w:val="1"/>
                <w:color w:val="auto"/>
              </w:rPr>
            </w:pP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recognized a goodwill impairment loss of $420.2 million in 2014, representing the entire carrying value of goodwill in our Servicing and Lending segments.</w:t>
      </w:r>
    </w:p>
    <w:p>
      <w:pPr>
        <w:spacing w:after="0" w:line="255"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ind w:left="500" w:right="80" w:hanging="492"/>
        <w:spacing w:after="0" w:line="267" w:lineRule="auto"/>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issued 162,000 shares of Series A Perpetual Convertible Preferred Stock in December 2012 as partial consideration for the acquisition of Homeward. In September 2013, 100,000 of the preferred shares were converted to 3,145,640 shares of Ocwen common stock, which we subsequently repurchased for $157.9 million. In July 2014, the remaining 62,000 preferred shares were converted into 1,950,296 shares of common stock, which we subsequently repurchased for $72.3 million. Holders of the preferred shares were entitled to receive mandatory and cumulative dividends payable quarterly.</w:t>
      </w:r>
    </w:p>
    <w:p>
      <w:pPr>
        <w:spacing w:after="0" w:line="2" w:lineRule="exact"/>
        <w:rPr>
          <w:rFonts w:ascii="Arial" w:cs="Arial" w:eastAsia="Arial" w:hAnsi="Arial"/>
          <w:sz w:val="15"/>
          <w:szCs w:val="15"/>
          <w:color w:val="auto"/>
        </w:rPr>
      </w:pPr>
    </w:p>
    <w:p>
      <w:pPr>
        <w:ind w:left="500" w:right="80" w:hanging="492"/>
        <w:spacing w:after="0" w:line="24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the expiration of a common stock repurchase program on July 31, 2016, we completed the repurchase of 991,985 shares, 625,705 shares and 10,420,396 shares for a total purchase price of $5.9 million, $4.1 million, and $310.2 million during 2016, 2015 and 2014, respectively.</w:t>
      </w:r>
    </w:p>
    <w:p>
      <w:pPr>
        <w:ind w:left="500" w:right="60" w:hanging="492"/>
        <w:spacing w:after="0" w:line="24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Recognized in connection with the acquisition of PHH on October 4, 2018. See Note 2 — Business Acquisition to the Consolidated Financial Statements for additional information.</w:t>
      </w:r>
    </w:p>
    <w:p>
      <w:pPr>
        <w:ind w:left="500" w:right="620" w:hanging="492"/>
        <w:spacing w:after="0" w:line="24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2018, 2017, 2016 and 2015, we sold certain of our MSRs relating to loans with a UPB of $901.3 million, $219.4 million, $3.7 billion and $87.6 billion, respectively.</w:t>
      </w:r>
    </w:p>
    <w:p>
      <w:pPr>
        <w:ind w:left="500" w:right="100" w:hanging="492"/>
        <w:spacing w:after="0" w:line="24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Income tax expense for 2015 includes a $97.1 million provision to establish valuation allowances relating to deferred tax assets in our U.S. and USVI tax jurisdictions. See Note 19 — Income Taxes to the Consolidated Financial Statements for additional information.</w:t>
      </w:r>
    </w:p>
    <w:p>
      <w:pPr>
        <w:ind w:left="500" w:right="180" w:hanging="492"/>
        <w:spacing w:after="0" w:line="257"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computed the effect of preferred stock on diluted earnings per share using the if-converted method. For 2014 - 2018, we have excluded the effect of all dilutive or potentially dilutive shares from the computation of diluted earnings per share because of the anti-dilutive effect of our reported net loss.</w:t>
      </w:r>
    </w:p>
    <w:p>
      <w:pPr>
        <w:spacing w:after="0" w:line="178"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unless otherwise indicated)</w:t>
      </w:r>
    </w:p>
    <w:p>
      <w:pPr>
        <w:spacing w:after="0" w:line="7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10-K,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any subsequent SEC filings.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are a financial services company that services and originates loans. The majority of our revenues are generated from our residential mortgage servicing business. As of December 31, 2018, our residential mortgage servicing portfolio consisted of 1,562,238 loans with a UPB of $256.0 billion. In our lending business, we originate, purchase, sell and securitize conventional and government-insured forward and reverse mortgage loans. Our forward lending business is focused on the retail channel, primarily through servicing portfolio recapture. During 2018, our lending business originated or purchased forward and reverse mortgage loans with a UPB of $870.3 million and $593.7 million,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4, 2018, we completed our acquisition of PHH. PHH’s servicing portfolio consisted of 537,225 residential mortgage loans with a UPB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$119.3 billion on the date of acquisition. PHH originated $109.9 million of UPB in residential mortgage loans in the forward lending retail channel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post-acquisition period through December 31, 2018.</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this acquisition will enable us to achieve the following key strategic and financial benefits:</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Accelerate Ocwen’s transition to Black Knight MSP;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fixed costs, on a combined basis, through reductions in corporate overhead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Improve economies of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a foundation to enable the combined business to resume new business and growth activities that will, at a minimum, offset portfolio runoff.</w:t>
      </w:r>
    </w:p>
    <w:p>
      <w:pPr>
        <w:spacing w:after="0" w:line="12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recognized a bargain purchase gain, net of tax, of $64.0 million in connection with the acquisition of PHH. The bargain purchase gain results from the fair value of PHH’s net assets exceeding the purchase price we paid. The purchase price we negotiated contemplated that PHH would incur losses after the acquisition date. PHH net losses from continuing operations of $24.8 million are included in our consolidated statements of operations from the date of acquisition through December 31, 2018. The transaction was initially cash and book value accretive, with PHH having an opening cash balance of $423.1 million, $64.7 million more than the purchase price. There can be no assurances that the desired strategic and financial benefits of the acquisition will be realized.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9" w:right="239" w:bottom="1440" w:gutter="0" w:footer="0" w:header="0"/>
        </w:sectPr>
      </w:pPr>
    </w:p>
    <w:bookmarkStart w:id="48" w:name="page49"/>
    <w:bookmarkEnd w:id="48"/>
    <w:p>
      <w:pPr>
        <w:ind w:right="280" w:firstLine="324"/>
        <w:spacing w:after="0" w:line="264" w:lineRule="auto"/>
        <w:rPr>
          <w:sz w:val="20"/>
          <w:szCs w:val="20"/>
          <w:color w:val="auto"/>
        </w:rPr>
      </w:pPr>
      <w:r>
        <w:rPr>
          <w:rFonts w:ascii="Arial" w:cs="Arial" w:eastAsia="Arial" w:hAnsi="Arial"/>
          <w:sz w:val="18"/>
          <w:szCs w:val="18"/>
          <w:color w:val="auto"/>
        </w:rPr>
        <w:t>The approval of NY DFS for the acquisition imposed certain post-closing requirements on Ocwen, including certain reporting obligations and certain record retention and other requirements relating to the planned transfer of New York loans onto Black Knight MSP as well as certain requirements with respect to the management of PMC, a licensed subsidiary of PHH.</w:t>
      </w:r>
    </w:p>
    <w:p>
      <w:pPr>
        <w:spacing w:after="0" w:line="18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Importantly, the NY DFS also eased its restrictions on Ocwen’s ability to acquire MSRs to allow certain acquisitions of MSRs that are boarded onto the Black Knight MSP servicing system subject to annual portfolio growth limitations until such time as the NY DFS determines that all loans have been successfully migrated to Black Knight MSP and that Ocwen has developed a satisfactory infrastructure to board sizeable portfolios of MSRs.</w:t>
      </w:r>
    </w:p>
    <w:p>
      <w:pPr>
        <w:spacing w:after="0" w:line="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established a set of initiatives to achieve our objective of returning to growth and profitability. First, we must successfully execute on the integration of PHH’s business with ours, including a smooth transition onto the Black Knight MSP servicing system which includes loan boarding, payment processing, escrow administration, and default management, among other functions. Second, we must re-engineer our cost structure to go beyond eliminating redundant costs. Third, we must fulfill our regulatory commitments and resolve our remaining legal and regulatory matters on satisfactory terms. Fourth, we must replenish our servicing portfolio through expanding our lending business and making permissible MSR acquisitions that are prudent and well-executed within appropriate financial return targets. Finally, we must ensure that we continue to manage our balance sheet to provide a solid platform for executing on our growth and other initiatives.</w:t>
      </w:r>
    </w:p>
    <w:p>
      <w:pPr>
        <w:spacing w:after="0" w:line="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While we strengthened our cash position through amendments to our agreements with NRZ and the PHH acquisition, until we return to sustainable profitability, continuing losses will erode our available liquidity which could negatively impact our ability to invest in growth and investment opportunities, including our ability to acquire MSRs.</w:t>
      </w:r>
    </w:p>
    <w:p>
      <w:pPr>
        <w:spacing w:after="0" w:line="73"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Our business, operating results and financial condition have been significantly impacted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optimize our cost structure and improve our financial performance.</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692"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Operations Summary</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2018 vs. 2017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2"/>
              </w:rPr>
              <w:t>2017 vs. 2016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934,336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989,376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1,186,620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77,743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103,402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90,391</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revenue,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50,966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101,798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110,152</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1,063,045</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1,194,576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1,387,163</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298,036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358,994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381,340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165,554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229,451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305,586</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153,457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52,962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124,029</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131,297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141,496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188,750</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100,490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110,333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59,631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66,019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80,191</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33,025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932,496</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998,645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1,223,254</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19,083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(275,041)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(363,238)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Bargain purchase gain</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8,492</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14,738</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(202,025)</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(339,904)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(370,270)</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(71,476)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(6,986)</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Loss from continuing operations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(72,005)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w w:val="99"/>
              </w:rPr>
              <w:t>Income from discontinued operations, net of income taxes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(70,596)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(70,772)</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2"/>
              </w:rPr>
              <w:t>Segment income (loss) from continuing operations before</w:t>
            </w:r>
          </w:p>
        </w:tc>
        <w:tc>
          <w:tcPr>
            <w:tcW w:w="3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taxes:</w:t>
            </w:r>
          </w:p>
        </w:tc>
        <w:tc>
          <w:tcPr>
            <w:tcW w:w="3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(31,948)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46,680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(209,856)</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(71,476)</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color w:val="auto"/>
        </w:rPr>
        <w:t>Our 2018 results include the post-acquisition results of PHH. The following table provides details of the PHH results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PHH</w:t>
            </w:r>
          </w:p>
        </w:tc>
        <w:tc>
          <w:tcPr>
            <w:tcW w:w="0" w:type="dxa"/>
            <w:vAlign w:val="bottom"/>
          </w:tcPr>
          <w:p>
            <w:pPr>
              <w:spacing w:after="0"/>
              <w:rPr>
                <w:sz w:val="1"/>
                <w:szCs w:val="1"/>
                <w:color w:val="auto"/>
              </w:rPr>
            </w:pPr>
          </w:p>
        </w:tc>
      </w:t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Servicing and subservicing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66,826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67,931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2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66,292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72,487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9,364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MSR valuation adjustments, net</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25,713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7,937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Technology and communications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Corporate overhead allocations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69,187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84,877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7"/>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Other income (income) expense,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120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spacing w:after="0"/>
              <w:rPr>
                <w:sz w:val="19"/>
                <w:szCs w:val="19"/>
                <w:color w:val="auto"/>
              </w:rPr>
            </w:pPr>
          </w:p>
        </w:tc>
        <w:tc>
          <w:tcPr>
            <w:tcW w:w="1300" w:type="dxa"/>
            <w:vAlign w:val="bottom"/>
            <w:tcBorders>
              <w:bottom w:val="single" w:sz="8" w:color="auto"/>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Year Ended December 31, 2018 versus 2017</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Servicing and subservicing fees for 2018 were $55.0 million, or 6%, lower than 2017, primarily due to portfolio runoff and a decline in completed modifications, offset in part by the increase in the portfolio resulting from the acquisition of PHH. Servicing and subservicing fee revenue earned on the acquired PHH portfolio during the post-acquisition period was $67.9 million. The number of completed modifications declined in 2018 compared to 2017 primarily because of the expiration of the HAMP program on December 31, 2016. Revenue recognized in connection with loan modifications was $59.4 million for 2018 as compared to $97.2 million in 2017.</w:t>
      </w:r>
    </w:p>
    <w:p>
      <w:pPr>
        <w:spacing w:after="0" w:line="80"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The $25.7 million, or 25% decline in Gains on loans held for sale, net in 2018 is largely due to a decrease in total loan production offset in part by higher margins, primarily due to operating in the higher margin forward lending retail channel exclusively in 2018. Forward lending originations declined as a result of our exit from the forward lending correspondent and wholesale channels in 2017 and rising interest rates which reduced refinance volume, offset in part by retail channel volume generated by PHH during the post-acquisition period. Changes to the FHA HECM program for originations after October 1, 2017 have negatively impacted reverse lending origination volume across all channels.</w:t>
      </w:r>
    </w:p>
    <w:p>
      <w:pPr>
        <w:spacing w:after="0" w:line="8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Other revenue for 2018 declined $50.8 million, or 50%, largely due to a $31.1 million decline in REO referral commissions in connection with the transfer of the rights to such commissions to NRZ effective with the New RMSR Agreements, and a $6.5 million decline in CRL premium revenue consistent with the decline in the number of foreclosed real estate properties in the servicing portfolio. A $5.7 million reduction in loan origination fees on lower lending segment production volumes and a $5.0 million unfavorable net change in the fair values of our HECM reverse mortgage loans and the related HMBS financing liability due to rising interest rates also contributed to the decline in Other revenue.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41" w:right="239" w:bottom="1440" w:gutter="0" w:footer="0" w:header="0"/>
        </w:sectPr>
      </w:pPr>
    </w:p>
    <w:bookmarkStart w:id="51" w:name="page52"/>
    <w:bookmarkEnd w:id="51"/>
    <w:p>
      <w:pPr>
        <w:ind w:right="220" w:firstLine="324"/>
        <w:spacing w:after="0" w:line="279" w:lineRule="auto"/>
        <w:rPr>
          <w:sz w:val="20"/>
          <w:szCs w:val="20"/>
          <w:color w:val="auto"/>
        </w:rPr>
      </w:pPr>
      <w:r>
        <w:rPr>
          <w:rFonts w:ascii="Arial" w:cs="Arial" w:eastAsia="Arial" w:hAnsi="Arial"/>
          <w:sz w:val="17"/>
          <w:szCs w:val="17"/>
          <w:color w:val="auto"/>
        </w:rPr>
        <w:t>MSR valuation adjustments, net, increased $100.5 million, or 190%, as compared to 2017, primarily because 2017 included an $86.7 million favorable impact of a benchmarking update related to our non-Agency MSRs carried at fair value. In addition, MSR valuation adjustments increased $25.7 million in 2018 due to the impact of higher runoff resulting from the acquisition of MSRs from PHH. Fair value adjustments are largely offset by corresponding fair value adjustments related to the NRZ financing liabilities, which are recorded in interest expense.</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Excluding MSR valuation adjustments, net, total expenses were $166.6 million, or 18%, lower as compared to 2017. Total expenses for 2018, excluding MSR valuation adjustments, includes $59.2 million attributable to PHH.</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Compensation and benefits expense for 2018, which included $26.1 million attributable to PHH, declined $61.0 million, or 17%, largely due to a 19% reduction in U.S.-based headcount offset in part by a $6.7 million increase in related severance expense for 2018. These declines are largely the result of our efforts to align headcount in our servicing operations and corporate segment with the size of our servicing portfolio, as well as the strategic decisions executed in late 2017 and early 2018 to exit the automotive capital services business and the forward lending correspondent and wholesale channels. U.S.-based headcount at December 31, 2018 includes 991 PHH employees.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Professional services expense, including $10.1 million attributed to PHH, was $63.9 million, or 28%, lower for 2018 as compared to same period of 2017 primarily due to a $78.5 million decline in legal expenses, a $6.4 million decrease in monitor expenses and a $2.7 million reduction in fees incurred in connection with our conversion of NRZ’s Rights to MSRs to fully-owned MSRs, offset in part by $13.7 million of fees related to the acquisition of PHH. Professional services expense for 2017 included significant litigation settlement-related costs incurred in connection with a securities law matter and a TCPA matter. The CA Auditor and NY Operations Monitor appointments were terminated in 2017. We are not currently incurring any expenses related to regulatory monitors.</w:t>
      </w:r>
    </w:p>
    <w:p>
      <w:pPr>
        <w:spacing w:after="0" w:line="19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Servicing and origination expense decreased $10.2 million, or 7%, as compared to 2017 primarily due to a $33.6 million decrease in government-insured claim loss provisions recorded in the prior year on reinstated or modified loans along with a decline in claims and a $3.2 million reduction in reinsurance commissions due to the decline in foreclosed real estate properties in our servicing portfolio. Offsetting these declines, Servicing and origination expense in 2017 included a recovery of $28.5 million of losses related to a settlement of outstanding claims that arose from indemnification obligations in connection with our acquisition of MSRs and related servicing advances in 2013. Government-insured claim loss provisions are generally offset by changes in the fair value of the corresponding MSRs.</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Technology and communication and Occupancy and equipment expenses declined as compared to 2017 as a result of our cost reduction efforts, which include bringing technology services in-house and closing and consolidating certain facilities. These reductions were offset by $7.9 million and $6.1 million, respectively, of PHH costs incurred during the post-acquisition period.</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$23.0 million, or 47%, decrease in Other expenses as compared to 2017 is due in large part to a $6.8 million charge recognized in 2017 to write-off the carrying value of internally-developed software used in our wholesale forward lending business, a $6.2 million decline in the provision for losses on automotive dealer financing notes, a $5.9 million reduction in advertising expenses and a $3.0 million decline in bank charges due to higher earnings credits which offset these charges.</w:t>
      </w:r>
    </w:p>
    <w:p>
      <w:pPr>
        <w:spacing w:after="0" w:line="18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Interest expense declined $88.2 million, or 24%, as compared to 2017 primarily because of the $64.6 million decline in the change in fair value of the NRZ financing liabilities, a $15.8 million decrease in interest on match funded liabilities, consistent with the decline in servicing advances, and a $9.1 million decrease in interest on borrowings under our mortgage loan warehouse facilities due to lower forward lending production volumes. Changes in the fair value of the NRZ financing liabilities offset, to a large extent, changes in the fair value of our MSRs which are recorded in MSR valuation adjustments, net.</w:t>
      </w:r>
    </w:p>
    <w:p>
      <w:pPr>
        <w:spacing w:after="0" w:line="4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decline in interest expense on the NRZ financing liabilities was due to runoff of the NRZ servicing portfolio and a $60.6 million increase in net favorable fair value adjustments as compared to 2017. Interest expense for 2017 includes the effect of unfavorable valuation and assumption updates related to our non-Agency MSRs carried at fair value, which increased the value of the NRZ financing liability by $83.3 million and which was recognized as interest expense, offset in part by a $37.6 million favorable fair value adjustment on the NRZ financing liability in connection with the transfer of legal ownership of MSRs to NRZ. Interest expense for 2018 includes a $16.6 million favorable fair value adjustment related to the $279.6 million lump-sum upfront payment we received in January 2018 in accordance with the terms of the New RMSR Agreements.</w:t>
      </w:r>
    </w:p>
    <w:p>
      <w:pPr>
        <w:spacing w:after="0" w:line="7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Although we incurred a pre-tax loss from continuing operations for 2018 of $71.5 million, we recorded income tax expense of $0.5 million due to the mix of earnings among different tax jurisdictions with different statutory tax rates. Our overall effective tax rates for 2018 and 2017 were (0.7)% and 10.8%, respectively. Under our transfer pricing agreements, our operations in India and Philippines are guaranteed a profit on the services they provide, even when we have a consolidated pre-tax loss from continuing operations, which is subject to statutory tax rates in these jurisdictions that are significantly higher than the U.S. statutory rate of 21%. Income tax expense for 2018 includes additional expense related to the Tax Act that was partially offset by a reduction in expense related to the tax effects of intra-entity asset transfers that are no longer recognized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2" w:name="page53"/>
    <w:bookmarkEnd w:id="52"/>
    <w:p>
      <w:pPr>
        <w:jc w:val="both"/>
        <w:ind w:right="400"/>
        <w:spacing w:after="0" w:line="264" w:lineRule="auto"/>
        <w:rPr>
          <w:sz w:val="20"/>
          <w:szCs w:val="20"/>
          <w:color w:val="auto"/>
        </w:rPr>
      </w:pPr>
      <w:r>
        <w:rPr>
          <w:rFonts w:ascii="Arial" w:cs="Arial" w:eastAsia="Arial" w:hAnsi="Arial"/>
          <w:sz w:val="18"/>
          <w:szCs w:val="18"/>
          <w:color w:val="auto"/>
        </w:rPr>
        <w:t>effective with our adoption of ASU 2016-16 on January 1, 2018 as well as the income tax benefit of $7.2 million we recognized related to the reversal of uncertain tax position liabilities upon the expiration of the statute of limitations. We recognized a $22.7 million income tax benefit in 2017 related to the reversal of an uncertain tax position liability upon expiration of the statute of limitations.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11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Servicing and subservicing fees for 2017 were $197.2 million, or 17%, lower than 2016, primarily due to portfolio runoff and a decline in the number of completed modifications in large part due to the expiration of the HAMP program on December 31, 2016. The average UPB and average number of assets in our residential portfolio declined 14% and 13%, respectively, as compared to 2016.</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Gains on loans held for sale for 2017 increased $13.0 million, or 14%, as compared to 2016. Gains on loans held for sale from our lending operations increased $19.1 million, primarily because of higher origination volume and margins in our reverse lending business.</w:t>
      </w:r>
    </w:p>
    <w:p>
      <w:pPr>
        <w:spacing w:after="0" w:line="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MSR valuation adjustments, net, decreased $71.1 million as compared to 2016 due to a $75.7 million decrease in fair value losses on our non-Agency MSRs and a $14.2 million decrease in impairment charges related to our government-insured MSRs, offset by an $18.8 million increase in amortization on our Agency MSRs. The decrease in fair value loss is due to the $86.7 million impact in 2017 of a benchmarking assumption update related to our non-Agency MSRs carried at fair value which was based on a recommendation from our third-party valuation expert and reflects an upward trend in market pricing for non-Agency MSRs similar in profile to Ocwen’s portfolio. The decline in impairment for 2017 reflects the recoverability of certain advances on various privately-held government-insured loans. The increase in amortization expense primarily resulted from a $27.5 million benefit recognized during 2016 related to the sale of non-performing loans conveyed to HUD as part of the Aged Delinquent Portfolio Loan Sale (ADPLS) program while there was no corresponding benefit in 2017.</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MSR valuation adjustments, net, expenses for 2017 were $153.5 million, or 14%, lower than 2016.</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Compensation and benefits expense declined $22.3 million, or 6%, as average headcount declined by 14%, including a 12% reduction in U.S.-based headcount. The decline in headcount occurred principally in our Servicing business where headcount declined by 20%, including an 18% reduction in the U.S.</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Professional services expenses declined $76.1 million, or 25%. Monitor expenses for 2017 were $6.4 million, a $75.3 million decline from the prior year primarily due to reduced costs related to the CA Auditor, whose appointment was terminated in February 2017, and the NY Operations Monitor, whose appointment was terminated in April 2017.</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Servicing and origination expense decreased $47.3 million, or 25%, primarily due to a decrease in government-insured claim loss provisions and the recovery of $28.5 million of losses related to a settlement of outstanding claims that arose from indemnification obligations in connection with our acquisition of MSRs and related servicing advances in 2013. Government-insured claim losses in 2016 included the accelerated recognition of $34.8 million of expenses related to our participation in HUD’s ADPLS and HUD Note Sale programs, which were largely offset by a benefit in amortization expense recognized in MSR valuation adjustments, net. Government-insured claim loss provision in 2017 included $17.0 million in connection with re-performing government-insured loans for which certain advances are no longer recoverable.</w:t>
      </w:r>
    </w:p>
    <w:p>
      <w:pPr>
        <w:spacing w:after="0" w:line="193"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Occupancy and equipment expense declined by $14.2 million, or 18%, largely because of the effect of the decline in the size of the servicing portfolio on various expenses, particularly postage and other delivery services, and the effect of consolidating facilities. Technology and communications expense declined by $9.8 million, or 9%, because of efforts to bring technology services in-house and the effects of a declining servicing portfolio on technology fees.</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Other expenses increased by $16.2 million, or 49%, due in part to a $6.8 million charge recognized in 2017 to write-off the carrying value of internally-developed software used in our wholesale forward lending business in connection with our decision to exit that channel and sell the furniture, fixtures and equipment located at our Westborough, Massachusetts facility, where this business was located. Advertising costs were $3.5 million higher in 2017, primarily related to our Lending segment.</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Interest expense for 2017 declined $49.3 million, or 12%, as compared to the prior year primarily due to a $20.1 million reduction in interest related to our Senior Secured Term Loan (SSTL) facility and a $19.3 million reduction in interest on match funded liabilities. In 2016, in connection with entering into an amended and restated SSTL facility, we recognized previously unamortized debt issuance costs related to the prior SSTL facility as well as discount related to the new SSTL facility. Lower interest expense on our match funded advance financing facilities is consistent with the decline in servicing advances and the effect of the higher amortization of facility costs in 2016.</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decline in interest expense is also due to a $6.3 million decline in interest related to financing liabilities primarily because 2016 included $10.5 million of additional payments to NRZ, which are recognized as interest expense, to compensate NRZ for certain increased costs associated with a 2015 downgrade of our S&amp;P servicer rating. Interest expense on the NRZ financing liabilities increased by $1.9 million primarily due to changes in the fair value of NRZ financing liabilities due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3" w:name="page54"/>
    <w:bookmarkEnd w:id="53"/>
    <w:p>
      <w:pPr>
        <w:ind w:right="40"/>
        <w:spacing w:after="0" w:line="270" w:lineRule="auto"/>
        <w:rPr>
          <w:sz w:val="20"/>
          <w:szCs w:val="20"/>
          <w:color w:val="auto"/>
        </w:rPr>
      </w:pPr>
      <w:r>
        <w:rPr>
          <w:rFonts w:ascii="Arial" w:cs="Arial" w:eastAsia="Arial" w:hAnsi="Arial"/>
          <w:sz w:val="17"/>
          <w:szCs w:val="17"/>
          <w:color w:val="auto"/>
        </w:rPr>
        <w:t>valuation and assumption updates which increased the value of the NRZ financing liabilities by $83.3 million and which was recognized as interest expense. This more than offset the reduction in interest expense on the NRZ financing liabilities driven by declines in the value of the NRZ financing liability because of the decline in the average UPB of the NRZ servicing portfolio due to runoff, and the $42.0 million reduction in fair value of the NRZ financing liability recognized in connection with the transfer of legal title to MSRs (including $37.6 million recognized at the time of the initial transfer). This reduction was primarily driven by the characteristics of Rights to MSRs with a UPB of $15.9 billion that were converted to fully-owned MSRs during the year, relative to the $54.6 million lump sum payment received from NRZ. For the Rights to MSRs that were converted on September 1, 2017, the characteristics of the underlying MSRs did not correspond to the weighted average loan characteristics used to determine the lump sum payment, resulting in a decline in the fair value of the financing liability primarily due to the transferred MSRs having a contractual servicing fee rate of 33.4 bps as compared to the weighted average of 47.1 bps used to develop the lump sum payment schedule.</w:t>
      </w:r>
    </w:p>
    <w:p>
      <w:pPr>
        <w:spacing w:after="0" w:line="7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Other, net for 2017 declined $17.9 million primarily because 2016 includes $14.8 million received in connection with the execution of clean-up call rights related to five small-balance commercial mortgage securitization trusts.</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Although the pre-tax loss for 2017 declined by $62.4 million, or 30% to $144.0 million, the income tax benefit increased $8.5 million, or 122%, to $15.5 million. This is primarily due to the income tax benefit recognized on the reversal of the liability for a portion of our uncertain tax positions upon the expiration of the statute of limitations in September 2017. The change is also due to the mix of earnings among different tax jurisdictions with different statutory tax rates, which impacts the amount of the tax benefit or expense recorded. The overall effective tax rate for 2017 was 10.8%, compared to 3.4% for 2016. This rate change primarily resulted from the tax benefit recognized on the reversal of uncertain tax positions during 2017, as compared to additional income tax expense recognized during 2016 related to uncertain tax positions, offset in part by a decrease in tax benefits resulting from our inability to carry back current losses that are being generated in the U.S. and USVI tax jurisdictions.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692" w:right="2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329,132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259,655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69,477</w:t>
            </w:r>
          </w:p>
        </w:tc>
        <w:tc>
          <w:tcPr>
            <w:tcW w:w="15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67,878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24,973</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58</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200" w:type="dxa"/>
            <w:vAlign w:val="bottom"/>
            <w:shd w:val="clear" w:color="auto" w:fill="EAF9E8"/>
          </w:tcPr>
          <w:p>
            <w:pPr>
              <w:ind w:left="40"/>
              <w:spacing w:after="0"/>
              <w:rPr>
                <w:sz w:val="20"/>
                <w:szCs w:val="20"/>
                <w:color w:val="auto"/>
              </w:rPr>
            </w:pPr>
            <w:r>
              <w:rPr>
                <w:rFonts w:ascii="Arial" w:cs="Arial" w:eastAsia="Arial" w:hAnsi="Arial"/>
                <w:sz w:val="18"/>
                <w:szCs w:val="18"/>
                <w:color w:val="auto"/>
                <w:w w:val="97"/>
              </w:rPr>
              <w:t>Mortgage servicing rights ($1,457,149 and $671,962 carried at fair</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37"/>
        </w:trPr>
        <w:tc>
          <w:tcPr>
            <w:tcW w:w="52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value)</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1,457,149</w:t>
            </w: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1,008,844</w:t>
            </w: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448,305</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44</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1,186,676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1,356,393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(169,717)</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Loans held for sale ($176,525 and $214,262 carried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242,622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238,358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5,498,719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4,715,831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782,888</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assets ($7,568 and $8,900 carried at fair value)</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612,040</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781,178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(169,138)</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(22)</w:t>
            </w:r>
          </w:p>
        </w:tc>
      </w:tr>
      <w:tr>
        <w:trPr>
          <w:trHeight w:val="297"/>
        </w:trPr>
        <w:tc>
          <w:tcPr>
            <w:tcW w:w="5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9,394,216</w:t>
            </w:r>
          </w:p>
        </w:tc>
        <w:tc>
          <w:tcPr>
            <w:tcW w:w="100" w:type="dxa"/>
            <w:vAlign w:val="bottom"/>
            <w:tcBorders>
              <w:bottom w:val="single" w:sz="8" w:color="EAF9E8"/>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991,052</w:t>
            </w:r>
          </w:p>
        </w:tc>
        <w:tc>
          <w:tcPr>
            <w:tcW w:w="15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12 %</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3,306,208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3,033,243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272,965</w:t>
            </w:r>
          </w:p>
        </w:tc>
        <w:tc>
          <w:tcPr>
            <w:tcW w:w="15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5,603,481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4,945,456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658,025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484,527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424,465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60,062</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14</w:t>
            </w:r>
          </w:p>
        </w:tc>
      </w:tr>
      <w:tr>
        <w:trPr>
          <w:trHeight w:val="297"/>
        </w:trPr>
        <w:tc>
          <w:tcPr>
            <w:tcW w:w="52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9,394,216</w:t>
            </w:r>
          </w:p>
        </w:tc>
        <w:tc>
          <w:tcPr>
            <w:tcW w:w="100" w:type="dxa"/>
            <w:vAlign w:val="bottom"/>
            <w:tcBorders>
              <w:bottom w:val="single" w:sz="8" w:color="EAF9E8"/>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991,052</w:t>
            </w:r>
          </w:p>
        </w:tc>
        <w:tc>
          <w:tcPr>
            <w:tcW w:w="15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12 %</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HMBS-related borrowings, at fair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5,380,448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4,601,556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778,892</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778,284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998,618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(220,334)</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(22)</w:t>
            </w: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w w:val="98"/>
              </w:rPr>
              <w:t>Other financing liabilities ($1,057,671 and $508,291 carried at fair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value) (amounts related to VIEs of $24,815 and $0)</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1,127,613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593,518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534,095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90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SSTL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382,538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545,850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(163,312)</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448,727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347,338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101,389</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liabilities ($4,986 and $635 carried at fair value)</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721,901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769,410</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(47,509)</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(6)</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8,839,511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7,856,290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983,221</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318"/>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Ocwen stockholders’ equity</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554,705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545,040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9,665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(1,834)</w:t>
            </w:r>
          </w:p>
        </w:tc>
        <w:tc>
          <w:tcPr>
            <w:tcW w:w="15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554,705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546,874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7,831</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9,394,216</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991,052</w:t>
            </w:r>
          </w:p>
        </w:tc>
        <w:tc>
          <w:tcPr>
            <w:tcW w:w="15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2,437,383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2,233,431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203,952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5,532,069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4,861,928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670,141</w:t>
            </w:r>
          </w:p>
        </w:tc>
        <w:tc>
          <w:tcPr>
            <w:tcW w:w="158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870,059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760,931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109,128</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8,839,511</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7,856,290</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983,221</w:t>
            </w:r>
          </w:p>
        </w:tc>
        <w:tc>
          <w:tcPr>
            <w:tcW w:w="15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Changes in the composition and balance of our assets and liabilities during 2018 are principally attributable to the acquisition of PHH and the impact of our ongoing reverse mortgage securitization activity, which are accounted for as secured financings, increasing Loans held for investment and HMBS-related borrowings. On October 4, 2018, we acquired assets with an aggregate fair value of $1.2 billion, including $325.0 million of PHH cash used to fund the acquisition, consisting primarily of MSRs, advances and loans. We also assumed liabilities with a fair value of $769.7 million, including an MSR financing liability and senior unsecured notes. See Note 2 — Business Acquisition to the Consolidated Financial Statements for additional information. Match funded liabilities declined during 2018 consistent with lower advances and match funded advances consistent with our declining servicing portfolio. Total equity increased $82.0 million during 2018 as a result of the effect of our fair value election for MSRs previously accounted for using the amortization method, less the net loss recognized</w:t>
      </w:r>
    </w:p>
    <w:p>
      <w:pPr>
        <w:sectPr>
          <w:pgSz w:w="11900" w:h="16838" w:orient="portrait"/>
          <w:cols w:equalWidth="0" w:num="1">
            <w:col w:w="11420"/>
          </w:cols>
          <w:pgMar w:left="240" w:top="688"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688" w:right="239" w:bottom="1440" w:gutter="0" w:footer="0" w:header="0"/>
          <w:type w:val="continuous"/>
        </w:sectPr>
      </w:pPr>
    </w:p>
    <w:bookmarkStart w:id="55" w:name="page56"/>
    <w:bookmarkEnd w:id="55"/>
    <w:p>
      <w:pPr>
        <w:ind w:right="260"/>
        <w:spacing w:after="0" w:line="277" w:lineRule="auto"/>
        <w:rPr>
          <w:sz w:val="20"/>
          <w:szCs w:val="20"/>
          <w:color w:val="auto"/>
        </w:rPr>
      </w:pPr>
      <w:r>
        <w:rPr>
          <w:rFonts w:ascii="Arial" w:cs="Arial" w:eastAsia="Arial" w:hAnsi="Arial"/>
          <w:sz w:val="18"/>
          <w:szCs w:val="18"/>
          <w:color w:val="auto"/>
        </w:rPr>
        <w:t>for the year. The net loss for the year included a bargain purchase gain of $64.0 million in connection with the PHH acquisition. The bargain purchase gain represents the excess of the fair value of the assets acquired and liabilities assumed over the purchase price.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earn contractual monthly servicing fees pursuant to servicing agreements, which are typically payable as a percentage of UPB, as well as ancillary fees, including late fees, modification incentive fees, REO referral commissions, float earnings and Speedpay fees. We also earn fees under both subservicing and special servicing arrangements with banks and other institutions that own the MSRs. Subservicing and special servicing fees are earned either as a percentage of UPB or on a per-loan basis. Per-loan fees typically vary based on delinquency status.</w:t>
      </w:r>
    </w:p>
    <w:p>
      <w:pPr>
        <w:spacing w:after="0" w:line="6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late 2017 and early 2018, we renegotiated our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of $54.6 million and $279.6 million from NRZ in connection with the 2017 and 2018 amendments. These upfront payments generally represent the net present value of the difference between the future revenue stream Ocwen would have received under the original agreements and the future revenue Ocwen will receive under the renegotiated agreements. While the aggregate economics of these agreements will be similar through the remaining term of the agreements, cash receipts will be lower in future periods as a result of the upfront payments.</w:t>
      </w:r>
    </w:p>
    <w:p>
      <w:pPr>
        <w:spacing w:after="0" w:line="18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MSR portfolio is carried at fair value. The value of our MSRs are typically correlated to changes in interest rates; as interest rates rise, the value of the servicing portfolio typically rises as a result of lower anticipated prepayment speeds. In the current market rate environment, we believe we have limited incremental fair value that can be realized even as interest rates increase absent comparable market transaction data supporting higher valuation multiples, which are already at historic highs. Valuation is also impacted by loan delinquency rates whereby as delinquency rates decline, the value of the servicing portfolio rises. While we do not hedge changes in the fair value of our MSRs, changes in fair value of any fair value elected MSR financing liabilities, which are recorded in interest expense in our consolidated statements of operations, will partially offset the changes in fair value of the related MSRs.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18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future financial performance will be less impacted by loan resolutions because, under our NRZ agreements, NRZ receives all deferred servicing fees. Deferred servicing fees related to delinquent borrower payments were $241.8 million at December 31, 2018, of which $198.4 million were attributable to NRZ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where permitted including T&amp;I and Corporate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w:t>
      </w:r>
    </w:p>
    <w:p>
      <w:pPr>
        <w:spacing w:after="0" w:line="5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Most of our advances have the highest reimbursement priority (i.e., they are “top of the waterfall”) so that we are entitled to repayment from respective loan or REO liquidation proceeds before any interest or principal is paid on the bonds that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6" w:name="page57"/>
    <w:bookmarkEnd w:id="56"/>
    <w:p>
      <w:pPr>
        <w:ind w:right="60"/>
        <w:spacing w:after="0" w:line="312" w:lineRule="auto"/>
        <w:rPr>
          <w:sz w:val="20"/>
          <w:szCs w:val="20"/>
          <w:color w:val="auto"/>
        </w:rPr>
      </w:pPr>
      <w:r>
        <w:rPr>
          <w:rFonts w:ascii="Arial" w:cs="Arial" w:eastAsia="Arial" w:hAnsi="Arial"/>
          <w:sz w:val="16"/>
          <w:szCs w:val="16"/>
          <w:color w:val="auto"/>
        </w:rPr>
        <w:t>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including our agreements with NRZ, provide for more rapid reimbursement of any advances from the owner of the servicing rights.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Aggregate UPB and Loan Count</w:t>
      </w:r>
      <w:r>
        <w:rPr>
          <w:rFonts w:ascii="Arial" w:cs="Arial" w:eastAsia="Arial" w:hAnsi="Arial"/>
          <w:sz w:val="18"/>
          <w:szCs w:val="18"/>
          <w:color w:val="auto"/>
        </w:rPr>
        <w:t>. Servicing fees are generally expressed as a percentage of UPB and subservicing fees are generally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UPB or earned on a per-loan basis. Aggregate UPB and loan count decline as a result of portfolio run-off and increase to the extent we retain MSRs from new originations or engage in MSR acquisitions, to the extent permitted.</w:t>
      </w:r>
    </w:p>
    <w:p>
      <w:pPr>
        <w:spacing w:after="0" w:line="7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Operating Efficiency</w:t>
      </w:r>
      <w:r>
        <w:rPr>
          <w:rFonts w:ascii="Arial" w:cs="Arial" w:eastAsia="Arial" w:hAnsi="Arial"/>
          <w:sz w:val="18"/>
          <w:szCs w:val="18"/>
          <w:color w:val="auto"/>
        </w:rPr>
        <w:t>. Our operating results are heavily dependent on our ability to scale our operations to cost-effectively and efficiently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activities in accordance with our servicing agreements. To the extent we are unable to process a high volume of transactions consistently and systematically, the cost of our servicing activities increases and has a negative impact on our operating results. To the extent we are unable to complete servicing activities in accordance with the requirements of our servicing agreements, we may incur additional costs or fail to recover otherwise reimbursable costs and advances.</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impact our results of operations and operating cash flows. Non-performing loans are more expensive to service because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7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addition, when borrowers are delinquent, the amount of funds that we are required to advance to the investors increases. We incur significant costs to finance those advances. We utilize servicing advance financing facilities, which are asset-backed (i.e., match funded liabilities) securitization facilities, to finance a portion of our advances. As a result, increased delinquencies result in increased interest expense.</w:t>
      </w:r>
    </w:p>
    <w:p>
      <w:pPr>
        <w:spacing w:after="0" w:line="5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Prepayment Speed</w:t>
      </w:r>
      <w:r>
        <w:rPr>
          <w:rFonts w:ascii="Arial" w:cs="Arial" w:eastAsia="Arial" w:hAnsi="Arial"/>
          <w:sz w:val="16"/>
          <w:szCs w:val="16"/>
          <w:color w:val="auto"/>
        </w:rPr>
        <w:t>. The rate at which portfolio UPB declines can have a significant impact on our business. Items reducing UPB include normal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(runoff), refinancing, loan modifications involving forgiveness of principal, voluntary property sales and involuntary property sales such as foreclosures. Prepayment speed impacts future servicing fees, amortization and valuation of MSRs, float earnings on float balances and interest expense on advances. Increases in anticipated lifetime prepayment speeds generally cause MSR valuation adjustments to increase because MSRs are valued based on total expected servicing income over the life of a portfolio. The converse is true when expectations for prepayment speeds decrease.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92" w:right="259" w:bottom="1440" w:gutter="0" w:footer="0" w:header="0"/>
        </w:sectPr>
      </w:pPr>
    </w:p>
    <w:bookmarkStart w:id="57" w:name="page58"/>
    <w:bookmarkEnd w:id="57"/>
    <w:p>
      <w:pPr>
        <w:ind w:right="22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2018 vs. 2017</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2017 vs. 2016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929,969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982,929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1,177,795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1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9,606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935,517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990,629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1,187,401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17,034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39,203</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42,724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951,224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1,041,290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1,247,159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145,574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160,514</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185,972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104,038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MSR valuation adjustments,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152,983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52,689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123,720</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119,569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163,310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45,535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46,238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52,197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47,419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60,371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211,701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221,049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215,300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5,669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772,467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716,384</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910,577</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(214,172)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(293,595)</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8,492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4,049</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15,812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410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(278,226)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(333,218)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w w:val="97"/>
              </w:rPr>
              <w:t>Income (loss) from continuing operations before</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(31,948)</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46,680</w:t>
            </w:r>
          </w:p>
        </w:tc>
        <w:tc>
          <w:tcPr>
            <w:tcW w:w="1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00" w:type="dxa"/>
            <w:vAlign w:val="bottom"/>
          </w:tcPr>
          <w:p>
            <w:pPr>
              <w:ind w:left="200"/>
              <w:spacing w:after="0"/>
              <w:rPr>
                <w:sz w:val="20"/>
                <w:szCs w:val="20"/>
                <w:color w:val="auto"/>
              </w:rPr>
            </w:pPr>
            <w:r>
              <w:rPr>
                <w:rFonts w:ascii="Arial" w:cs="Arial" w:eastAsia="Arial" w:hAnsi="Arial"/>
                <w:sz w:val="18"/>
                <w:szCs w:val="18"/>
                <w:b w:val="1"/>
                <w:bCs w:val="1"/>
                <w:color w:val="auto"/>
              </w:rPr>
              <w:t>income taxes</w:t>
            </w: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260" w:type="dxa"/>
            <w:vAlign w:val="bottom"/>
          </w:tcPr>
          <w:p>
            <w:pPr>
              <w:jc w:val="right"/>
              <w:ind w:right="85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n/m: not meaningful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The following table provides selected operating statistics for our Servicing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 vs. 2017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2017 vs. 2016</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 at December 31</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243,389,883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162,719,030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185,609,163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10,375,639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13,474,741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19,336,037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2,234,968</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3,158,783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4,146,930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256,000,490</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179,352,554</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209,092,130</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127,054,262</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49,325,697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60,965,841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27,651,315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21,260,275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22,971,342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101,294,913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108,766,582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125,154,947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256,000,490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179,352,554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209,092,130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ind w:left="58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r>
      <w:tr>
        <w:trPr>
          <w:trHeight w:val="297"/>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Number:</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1,498,960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1,137,012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1,274,560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52,291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69,135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97,744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10,987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21,462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1,562,238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1,221,695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1,393,766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4"/>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Conventional loans (2)</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677,927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298,564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355,615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182,595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156,090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168,598</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701,716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767,041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869,553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1,562,238</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1,221,695</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1,393,766</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(12)</w:t>
            </w:r>
          </w:p>
        </w:tc>
      </w:tr>
      <w:tr>
        <w:trPr>
          <w:trHeight w:val="311"/>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58</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 vs. 2017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2017 vs. 2016</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2"/>
              </w:rPr>
              <w:t>Residential Assets Serviced for the Years Ended</w:t>
            </w: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Average UPB</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72,280,774</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80,929,759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93,338,072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15,930,871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3,830,034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6,598,449</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104,773,894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110,117,808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127,985,378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192,985,539</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194,877,601</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227,921,899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Prepayment speed (average CPR)</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 Voluntary</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Involuntary</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 CPR due to principal modification</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i w:val="1"/>
                <w:iCs w:val="1"/>
                <w:color w:val="auto"/>
              </w:rPr>
              <w:t>Average number</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463,529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516,736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587,527</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53,043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28,794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43,865</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748,440</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765,048</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868,003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388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1,265,012</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1,310,578</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1,499,395</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1"/>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w w:val="92"/>
              </w:rPr>
              <w:t>Residential Servicing and Subservicing Fees for</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200"/>
              <w:spacing w:after="0"/>
              <w:rPr>
                <w:sz w:val="20"/>
                <w:szCs w:val="20"/>
                <w:color w:val="auto"/>
              </w:rPr>
            </w:pPr>
            <w:r>
              <w:rPr>
                <w:rFonts w:ascii="Arial" w:cs="Arial" w:eastAsia="Arial" w:hAnsi="Arial"/>
                <w:sz w:val="18"/>
                <w:szCs w:val="18"/>
                <w:b w:val="1"/>
                <w:bCs w:val="1"/>
                <w:color w:val="auto"/>
              </w:rPr>
              <w:t>the Years Ended December 31</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224,176</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254,907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288,937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8,904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7,690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21,340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NRZ</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539,039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549,411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633,545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772,119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812,008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943,822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61,125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61,455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66,355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14,312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43,274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110,331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40,274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24,973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8,782</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18,501</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22,733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27,171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23,188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18,486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21,334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929,519</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982,929</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1,177,795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59</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60" w:name="page61"/>
    <w:bookmarkEnd w:id="60"/>
    <w:p>
      <w:pPr>
        <w:ind w:left="9840"/>
        <w:spacing w:after="0"/>
        <w:rPr>
          <w:sz w:val="20"/>
          <w:szCs w:val="20"/>
          <w:color w:val="auto"/>
        </w:rPr>
      </w:pPr>
      <w:r>
        <w:rPr>
          <w:rFonts w:ascii="Arial" w:cs="Arial" w:eastAsia="Arial" w:hAnsi="Arial"/>
          <w:sz w:val="18"/>
          <w:szCs w:val="18"/>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34290</wp:posOffset>
            </wp:positionV>
            <wp:extent cx="1509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2018 vs. 2017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2"/>
              </w:rPr>
              <w:t>2017 vs. 2016</w:t>
            </w:r>
          </w:p>
        </w:tc>
      </w:tr>
      <w:tr>
        <w:trPr>
          <w:trHeight w:val="27"/>
        </w:trPr>
        <w:tc>
          <w:tcPr>
            <w:tcW w:w="40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97"/>
              </w:rPr>
              <w:t>Interest Expense on NRZ Financing Liability (4)</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Servicing fees collected on behalf of NRZ</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539,039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549,411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633,545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 Subservicing fee retained by Ocwen</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142,334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295,192</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337,727</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Net servicing fees remitted to NRZ</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396,705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254,219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295,818</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 Reduction (increase) in financing liability</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Changes in fair value: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Original Rights to MSRs Agreements</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(83,300)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(2,580)</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7"/>
              </w:rPr>
              <w:t>2017 Agreements and New RMSR Agreements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PHH MSR Agreements</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r>
      <w:tr>
        <w:trPr>
          <w:trHeight w:val="237"/>
        </w:trPr>
        <w:tc>
          <w:tcPr>
            <w:tcW w:w="40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0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Runoff, settlement and other:</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Original Rights to MSRs Agreements</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50,620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57,264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63,997</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7"/>
              </w:rPr>
              <w:t>2017 Agreements and New RMSR Agreements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136,700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PHH MSR Agreements</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18,446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r>
      <w:tr>
        <w:trPr>
          <w:trHeight w:val="237"/>
        </w:trPr>
        <w:tc>
          <w:tcPr>
            <w:tcW w:w="40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205,766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63,997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000" w:type="dxa"/>
            <w:vAlign w:val="bottom"/>
            <w:shd w:val="clear" w:color="auto" w:fill="EAF9E8"/>
          </w:tcPr>
          <w:p>
            <w:pPr>
              <w:spacing w:after="0"/>
              <w:rPr>
                <w:sz w:val="24"/>
                <w:szCs w:val="24"/>
                <w:color w:val="auto"/>
              </w:rPr>
            </w:pPr>
          </w:p>
        </w:tc>
        <w:tc>
          <w:tcPr>
            <w:tcW w:w="360" w:type="dxa"/>
            <w:vAlign w:val="bottom"/>
            <w:tcBorders>
              <w:bottom w:val="single" w:sz="8" w:color="auto"/>
            </w:tcBorders>
            <w:shd w:val="clear" w:color="auto" w:fill="EAF9E8"/>
          </w:tcPr>
          <w:p>
            <w:pPr>
              <w:spacing w:after="0"/>
              <w:rPr>
                <w:sz w:val="24"/>
                <w:szCs w:val="24"/>
                <w:color w:val="auto"/>
              </w:rPr>
            </w:pPr>
          </w:p>
        </w:tc>
        <w:tc>
          <w:tcPr>
            <w:tcW w:w="122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tcBorders>
              <w:bottom w:val="single" w:sz="8" w:color="auto"/>
            </w:tcBorders>
            <w:shd w:val="clear" w:color="auto" w:fill="EAF9E8"/>
          </w:tcPr>
          <w:p>
            <w:pPr>
              <w:spacing w:after="0"/>
              <w:rPr>
                <w:sz w:val="24"/>
                <w:szCs w:val="24"/>
                <w:color w:val="auto"/>
              </w:rPr>
            </w:pPr>
          </w:p>
        </w:tc>
        <w:tc>
          <w:tcPr>
            <w:tcW w:w="1200" w:type="dxa"/>
            <w:vAlign w:val="bottom"/>
            <w:tcBorders>
              <w:bottom w:val="single" w:sz="8" w:color="auto"/>
            </w:tcBorders>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tcBorders>
              <w:bottom w:val="single" w:sz="8" w:color="auto"/>
            </w:tcBorders>
            <w:shd w:val="clear" w:color="auto" w:fill="EAF9E8"/>
          </w:tcPr>
          <w:p>
            <w:pPr>
              <w:spacing w:after="0"/>
              <w:rPr>
                <w:sz w:val="24"/>
                <w:szCs w:val="24"/>
                <w:color w:val="auto"/>
              </w:rPr>
            </w:pPr>
          </w:p>
        </w:tc>
        <w:tc>
          <w:tcPr>
            <w:tcW w:w="122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97"/>
        </w:trPr>
        <w:tc>
          <w:tcPr>
            <w:tcW w:w="40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171,670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236,311</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234,401</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311"/>
        </w:trPr>
        <w:tc>
          <w:tcPr>
            <w:tcW w:w="4000" w:type="dxa"/>
            <w:vAlign w:val="bottom"/>
            <w:tcBorders>
              <w:top w:val="single" w:sz="8" w:color="EAF9E8"/>
            </w:tcBorders>
            <w:shd w:val="clear" w:color="auto" w:fill="EAF9E8"/>
          </w:tcPr>
          <w:p>
            <w:pPr>
              <w:spacing w:after="0"/>
              <w:rPr>
                <w:sz w:val="24"/>
                <w:szCs w:val="24"/>
                <w:color w:val="auto"/>
              </w:rPr>
            </w:pPr>
          </w:p>
        </w:tc>
        <w:tc>
          <w:tcPr>
            <w:tcW w:w="3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36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3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140" w:type="dxa"/>
            <w:vAlign w:val="bottom"/>
            <w:tcBorders>
              <w:top w:val="single" w:sz="8" w:color="EAF9E8"/>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140" w:type="dxa"/>
            <w:vAlign w:val="bottom"/>
            <w:tcBorders>
              <w:top w:val="single" w:sz="8" w:color="EAF9E8"/>
            </w:tcBorders>
            <w:shd w:val="clear" w:color="auto" w:fill="EAF9E8"/>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12,726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42,024</w:t>
            </w:r>
          </w:p>
        </w:tc>
        <w:tc>
          <w:tcPr>
            <w:tcW w:w="1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Non-HAMP</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32,956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32,896</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r>
      <w:tr>
        <w:trPr>
          <w:trHeight w:val="257"/>
        </w:trPr>
        <w:tc>
          <w:tcPr>
            <w:tcW w:w="4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39,545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45,682</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74,920</w:t>
            </w:r>
          </w:p>
        </w:tc>
        <w:tc>
          <w:tcPr>
            <w:tcW w:w="12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w:t>
            </w:r>
          </w:p>
        </w:tc>
      </w:tr>
      <w:tr>
        <w:trPr>
          <w:trHeight w:val="20"/>
        </w:trPr>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743"/>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60</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 vs. 2017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2017 vs. 2016</w:t>
            </w: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advances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1,214,436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1,502,530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1,930,776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Average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736,974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1,048,944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1,445,232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744,523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556,066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636,361</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5,542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21,053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357,227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(94)</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30,706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45,379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66,879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177,355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242,514</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248,834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35,364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(94)</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liabilities (4)</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43.61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39.10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9.90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Facility costs included in interest</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5,242</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32,206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w:t>
            </w: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2,680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(73)</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Average 1-month LIBOR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116</w:t>
            </w:r>
          </w:p>
        </w:tc>
      </w:tr>
      <w:tr>
        <w:trPr>
          <w:trHeight w:val="297"/>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6,399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U. S.</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1,455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5,225</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6,277</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7,854</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(20)</w:t>
            </w:r>
          </w:p>
        </w:tc>
      </w:tr>
      <w:tr>
        <w:trPr>
          <w:trHeight w:val="284"/>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33,889,656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36,707,425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41,047,887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25" w:lineRule="exact"/>
        <w:rPr>
          <w:sz w:val="20"/>
          <w:szCs w:val="20"/>
          <w:color w:val="auto"/>
        </w:rPr>
      </w:pPr>
    </w:p>
    <w:p>
      <w:pPr>
        <w:ind w:left="500" w:right="420" w:hanging="492"/>
        <w:spacing w:after="0" w:line="255"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right="220" w:hanging="492"/>
        <w:spacing w:after="0" w:line="246"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Conventional loans at December 31, 2018 include 115,299 prime loans with a UPB of $19.6 billion which we service or subservice. This compares to 138,288 prime loans with a UPB of $24.3 billion at December 31, 2017, and 166,558 prime loans with a UPB of $30.8 billion at December 31, 2016.</w:t>
      </w: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Loans serviced by Ocwen for which the Rights to MSRs have been sold to NRZ, including loans that have been converted to fully-owned MSRs.</w:t>
      </w:r>
    </w:p>
    <w:p>
      <w:pPr>
        <w:spacing w:after="0" w:line="5"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effective average interest rate on the financing liability that we recognized in connection with the sales of Rights to MSRs to NRZ is 26.00%, 51.03% and 48.41% for the years ended December 31, 2018, 2017 and 2016, respectively. Interest expense on financing liabilities for 2016 includes $10.5 million of fees incurred relating to our agreement to compensate NRZ through June 2016 for certain increased costs associated with its servicing advance financing facilities that were the direct result of a downgrade of our S&amp;P servicer rating in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7"/>
          <w:szCs w:val="17"/>
          <w:color w:val="auto"/>
        </w:rPr>
        <w:t>The following table provides information regarding the changes in our portfolio of residential assets serviced for the years ended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Count</w:t>
            </w:r>
          </w:p>
        </w:tc>
        <w:tc>
          <w:tcPr>
            <w:tcW w:w="12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26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179,352,554</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209,092,130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1,221,695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1,393,766</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Acquisition of PHH</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119,343,351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537,225</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portfolio additions</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9,407,627</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4,032,225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7,050,635</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41,035</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18,974</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33,812</w:t>
            </w:r>
          </w:p>
        </w:tc>
      </w:tr>
      <w:tr>
        <w:trPr>
          <w:trHeight w:val="237"/>
        </w:trPr>
        <w:tc>
          <w:tcPr>
            <w:tcW w:w="26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128,750,978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4,032,225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7,050,635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578,260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18,974</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33,812</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(588,985)</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(219,398)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(3,720,176)</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(19,515)</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(23,010,564)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(2,497,672)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(9,440,877)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(73,934)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(12,617)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(47,356)</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(28,503,493)</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(31,054,731)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(35,763,564)</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(160,440)</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(177,449)</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(197,937)</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Portfolio at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256,000,490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179,352,554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(41,873,982)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1,562,238</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1,221,695</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1,393,766</w:t>
            </w: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key drivers of our servicing segment operating results for 2018, as compared to 2017, continues to be the effects of portfolio runoff and the expiration of the HAMP modification program on December 31, 2016 offset, in part, by the effects of cost improvements achieved in aligning our servicing operations more appropriately to the size of our servicing portfolio. In connection with the HAMP program expiry, borrowers who had requested assistance or to whom an offer of assistance had been extended as of December 31, 2016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85"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On October 4, 2018, we completed the PHH acquisition. We added 537,225 loans with a UPB of $119.3 billion to our portfolio. We believe the acquisition will improve our servicing segment results as it enables us to accelerate our transition to Black Knight MSP® and achieve better economies of scale. In connection with the acquisition, the NY DFS eased certain restrictions on our ability to acquire MSRs subject to annual portfolio growth and other limitations. We expect to pursue origination and acquisition activities that will, at a minimum, replenish our expected annual portfolio runoff.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versus 2017</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Servicing and subservicing fee revenue declined by $53.0 million, or 5%, due to portfolio runoff offset in part by the increase in the portfolio resulting from the acquisition of PHH. Servicing and subservicing fee revenue earned on the acquired PHH portfolio was $66.8 million during the post-acquisition period. Revenue recognized in connection with loan modifications declined 39% to $59.4 million for 2018 as compared to $97.2 million in 2017 due primarily to the expiration of the HAMP program on December 31, 2016.</w:t>
      </w:r>
    </w:p>
    <w:p>
      <w:pPr>
        <w:spacing w:after="0" w:line="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Other revenue declined $31.9 million, or 81%, due to a $31.1 million decline in REO referral commissions resulting from the transfer of the rights to such commissions to NRZ effective with the New RMSR Agreements.</w:t>
      </w:r>
    </w:p>
    <w:p>
      <w:pPr>
        <w:spacing w:after="0" w:line="62"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MSR valuation adjustments, net, increased $100.3 million, or 186%, as compared to 2017, primarily because 2017 included an $86.7 million favorable impact of a benchmarking update related to our non-Agency MSRs carried at fair value. In addition, MSR valuation adjustments increased $25.7 million in 2018 due to the impact of higher runoff resulting from the acquisition of MSRs from PHH. Fair value adjustments are largely offset by corresponding fair value adjustments related to the NRZ financing liabilities, which are recorded in interest expense.</w:t>
      </w:r>
    </w:p>
    <w:p>
      <w:pPr>
        <w:spacing w:after="0" w:line="171"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color w:val="auto"/>
        </w:rPr>
        <w:t>Expenses, excluding MSR valuation adjustments, net, were $44.2 million, or 7%, lower as compared to 2017. Servicing segment expenses for 2018, excluding MSR valuation adjustments, net, includes $43.5 million of expenses attributable to PHH.</w:t>
      </w:r>
    </w:p>
    <w:p>
      <w:pPr>
        <w:spacing w:after="0" w:line="170" w:lineRule="exact"/>
        <w:rPr>
          <w:sz w:val="20"/>
          <w:szCs w:val="20"/>
          <w:color w:val="auto"/>
        </w:rPr>
      </w:pPr>
    </w:p>
    <w:p>
      <w:pPr>
        <w:ind w:right="60" w:firstLine="243"/>
        <w:spacing w:after="0" w:line="279" w:lineRule="auto"/>
        <w:rPr>
          <w:sz w:val="20"/>
          <w:szCs w:val="20"/>
          <w:color w:val="auto"/>
        </w:rPr>
      </w:pPr>
      <w:r>
        <w:rPr>
          <w:rFonts w:ascii="Arial" w:cs="Arial" w:eastAsia="Arial" w:hAnsi="Arial"/>
          <w:sz w:val="17"/>
          <w:szCs w:val="17"/>
          <w:color w:val="auto"/>
        </w:rPr>
        <w:t>Despite the additional PHH expenses, Compensation and benefits and Occupancy and equipment expenses declined and Technology and communications expenses decreased only slightly, reflecting the effects of our pre-acquisition cost improvement initiatives. Compensation and benefits expense for 2018, including $11.1 million attributable to PHH, declined $14.9 million, or 9% as compared to 2017. Average servicing headcount declined 17% including the increase in headcount attributable to the acquisition of PHH, which consists of 623 U.S. employees at December 31, 2018.</w:t>
      </w:r>
    </w:p>
    <w:p>
      <w:pPr>
        <w:spacing w:after="0" w:line="171" w:lineRule="exact"/>
        <w:rPr>
          <w:sz w:val="20"/>
          <w:szCs w:val="20"/>
          <w:color w:val="auto"/>
        </w:rPr>
      </w:pPr>
    </w:p>
    <w:p>
      <w:pPr>
        <w:ind w:firstLine="243"/>
        <w:spacing w:after="0" w:line="276" w:lineRule="auto"/>
        <w:rPr>
          <w:sz w:val="20"/>
          <w:szCs w:val="20"/>
          <w:color w:val="auto"/>
        </w:rPr>
      </w:pPr>
      <w:r>
        <w:rPr>
          <w:rFonts w:ascii="Arial" w:cs="Arial" w:eastAsia="Arial" w:hAnsi="Arial"/>
          <w:sz w:val="17"/>
          <w:szCs w:val="17"/>
          <w:color w:val="auto"/>
        </w:rPr>
        <w:t>Servicing and origination expense declined $5.0 million, or 4%, as compared to 2017 primarily due to a $33.6 million decrease in government-insured claim loss provisions due to additional reserves recorded in the prior year on reinstated or modified loans along with a decline in the volume of claims. Offsetting this decrease, Servicing and origination expense in 2017 included a recovery of $28.5 million of losses related to a settlement of outstanding claims that arose from indemnification obligations in connection with our acquisition of MSRs and related servicing advances in 2013, as described below. PHH incurred Servicing and origination expenses of $7.9 million during the post-acquisition period.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692" w:right="259" w:bottom="1440" w:gutter="0" w:footer="0" w:header="0"/>
        </w:sectPr>
      </w:pPr>
    </w:p>
    <w:bookmarkStart w:id="63" w:name="page64"/>
    <w:bookmarkEnd w:id="63"/>
    <w:p>
      <w:pPr>
        <w:ind w:right="280" w:firstLine="243"/>
        <w:spacing w:after="0" w:line="264" w:lineRule="auto"/>
        <w:rPr>
          <w:sz w:val="20"/>
          <w:szCs w:val="20"/>
          <w:color w:val="auto"/>
        </w:rPr>
      </w:pPr>
      <w:r>
        <w:rPr>
          <w:rFonts w:ascii="Arial" w:cs="Arial" w:eastAsia="Arial" w:hAnsi="Arial"/>
          <w:sz w:val="18"/>
          <w:szCs w:val="18"/>
          <w:color w:val="auto"/>
        </w:rPr>
        <w:t>The $12.9 million, or 19% decline in Professional services expense is primarily due to a $13.6 million decline in legal expenses and a $4.9 million reduction in fees incurred in connection with the conversion of NRZ’s Rights to MSRs to fully-owned MSRs. In connection with the conversion of NRZ’s Rights to MSRs, we are responsible for the first $5.0 million and 50% of all subsequent fees incurred.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PHH contributed Technology and communications and Occupancy and equipment expenses of $3.8 million and $4.0 million, respectively.</w:t>
      </w:r>
    </w:p>
    <w:p>
      <w:pPr>
        <w:spacing w:after="0" w:line="117"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Corporate overhead allocations declined $9.3 million, despite $17.2 million of PHH corporate overhead expense allocations, due to headcount reductions and other cost improvement actions we have taken to reduce corporate expenses.</w:t>
      </w:r>
    </w:p>
    <w:p>
      <w:pPr>
        <w:spacing w:after="0" w:line="6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Interest expense declined by $79.4 million, or 27%, compared to 2017 due to a $65.2 million decrease in interest expense on the fair value elected NRZ financing liabilities and a $14.7 million decrease in interest on match funded liabilities, consistent with the decline in servicing advances.</w:t>
      </w:r>
    </w:p>
    <w:p>
      <w:pPr>
        <w:spacing w:after="0" w:line="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decline in interest expense related to the NRZ financing liabilities was due to runoff of the NRZ servicing portfolio and a $60.6 million increase in net favorable fair value adjustments as compared to 2017. Interest expense for 2017 includes the effect of unfavorable valuation and assumption updates related to our non-Agency MSRs carried at fair value, which increased the value of the NRZ financing liability by $83.3 million and which was recognized as interest expense, offset in part by a $37.6 million favorable fair value adjustment on the NRZ financing liability recognized in connection with the transfer of MSRs to NRZ. Interest expense for 2018 includes a $16.6 million favorable fair value adjustment related to the $279.6 million lump-sum upfront payment we received in January 2018 in accordance with the terms of the New RMSR Agreements. Interest expense on NRZ financing liabilities for 2018 includes $16.9 million attributable to PHH.</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Servicing and subservicing fee revenue declined $196.8 million, or 17%, as the average UPB and the average number of assets in our residential servicing and subservicing portfolio declined by 14% and 13%, respectively, due to portfolio runoff.</w:t>
      </w:r>
    </w:p>
    <w:p>
      <w:pPr>
        <w:spacing w:after="0" w:line="62"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Total completed modifications decreased 39% as compared to 2016. The portion of modifications completed under HAMP, including streamlined HAMP, as a percentage of total modifications decreased to 28% in 2017 as compared to 56% for the prior year because of the expiration of the HAMP program on December 31, 2016. Revenue recognized in connection with loan modifications declined to $97.2 million for 2017 as compared to $197.5 million for 2016.</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excluding MSR valuation adjustments, net, were $123.2 million, or 16%, lower in 2017 as compared to 2016.</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MSR valuation adjustments, net decreased $71.0 million due to a $75.7 million decrease in fair value losses on our non-Agency MSRs and a $14.2 million decrease in impairment charges related to our government-insured MSRs as well as the effects of portfolio runoff, offset by an $18.8 million increase in amortization of our Agency MSRs. The decrease in fair value losses is primarily due to the $86.7 million impact in 2017 of a benchmarking assumption update related to our non-Agency MSRs carried at fair value which was based on a recommendation from our third-party valuation expert and reflected an upward trend in market pricing on non-Agency MSRs similar in profile to Ocwen’s portfolio. For 2017, we reversed impairment charges of $3.4 million, primarily reflecting the recoverability of certain advances on various privately-held government-insured loans. This compares to the recognition of $10.8 million of impairment charges for 2016. The increase in amortization expense resulted from a $27.5 million benefit recognized in 2016 related to the sale of non-performing loans conveyed to HUD as part of the ADPLS program, which was partially offset by lower runoff from a smaller portfolio and slower prepayment speeds on Agency loans.</w:t>
      </w:r>
    </w:p>
    <w:p>
      <w:pPr>
        <w:spacing w:after="0" w:line="7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Servicing and origination expense decreased by $43.7 million, or 27%, in 2017. This decrease was primarily due to a decline in government-insured claim loss provisions and the recovery of $28.5 million of losses related to a settlement of outstanding claims that arose from indemnification obligations in connection with our acquisition of MSRs and related servicing advances in 2013. Government-insured claim losses in 2016 included the accelerated recognition of $34.8 million of expenses related to our participation in HUD’s ADPLS and HUD Note Sale programs, which were largely offset by a benefit in amortization expense recorded in MSR valuation adjustments, net. Government-insured claim loss provision in 2017 included $17.0 million in connection with re-performing government-insured loans for which certain advances were no longer recoverable.</w:t>
      </w:r>
    </w:p>
    <w:p>
      <w:pPr>
        <w:spacing w:after="0" w:line="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Professional services expense declined $37.5 million, or 36%, largely due to a $35.8 million decline in legal expenses that was principally the result of expenses incurred in 2016 defending ourselves in proceedings alleging violations of federal, state and local laws and regulations governing our servicing activities, including claims filed under the False Claims Act, which were settled in February 2017. Professional services expense for 2017 includes fees incurred in connection with converting NRZ’s Rights to MSRs to fully-owned MSRs.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92" w:right="259" w:bottom="1440" w:gutter="0" w:footer="0" w:header="0"/>
        </w:sectPr>
      </w:pPr>
    </w:p>
    <w:bookmarkStart w:id="64" w:name="page65"/>
    <w:bookmarkEnd w:id="64"/>
    <w:p>
      <w:pPr>
        <w:ind w:right="40" w:firstLine="324"/>
        <w:spacing w:after="0" w:line="277" w:lineRule="auto"/>
        <w:rPr>
          <w:sz w:val="20"/>
          <w:szCs w:val="20"/>
          <w:color w:val="auto"/>
        </w:rPr>
      </w:pPr>
      <w:r>
        <w:rPr>
          <w:rFonts w:ascii="Arial" w:cs="Arial" w:eastAsia="Arial" w:hAnsi="Arial"/>
          <w:sz w:val="18"/>
          <w:szCs w:val="18"/>
          <w:color w:val="auto"/>
        </w:rPr>
        <w:t>The 18% reduction in average U.S. based headcount and the migration of certain operations offshore, where we believe we realize cost efficiencies while maintaining operational effectiveness, enabled reductions in Compensation and benefits expense of $25.5 million, or 14%.</w:t>
      </w:r>
    </w:p>
    <w:p>
      <w:pPr>
        <w:spacing w:after="0" w:line="6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Occupancy and equipment expense declined $13.0 million, or 21%, largely because of the effect of the decline in the average number of loans in our servicing portfolio and various cost improvement initiatives with respect to certain expenses, principally the cost of postage and other delivery services. Technology and communication expense declined by $6.0 million, or 11%, because of our efforts to bring technology services in-house and the effects of a declining servicing portfolio on technology fees.</w:t>
      </w:r>
    </w:p>
    <w:p>
      <w:pPr>
        <w:spacing w:after="0" w:line="7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Interest expense declined by $63.8 million, or 18%, primarily due to the December 2016 transfer of the SSTL from Servicing to Corporate Items and Other when we entered into an amended and restated SSTL facility agreement and lower match funded liabilities and related commitment fees. Interest expense recognized on the SSTL in the Servicing segment in 2016 was $33.1 million, including amortization of debt issuance costs and discount. Interest on match funded liabilities decreased by $21.5 million, consistent with the decline in servicing advances on a servicing portfolio that is smaller and better performing.</w:t>
      </w:r>
    </w:p>
    <w:p>
      <w:pPr>
        <w:spacing w:after="0" w:line="8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Interest expense related to financing liabilities declined by $6.3 million primarily because 2016 included $10.5 million of additional payments to NRZ as a result of a 2015 downgrade to our S&amp;P servicer rating. Interest expense on the NRZ financing liabilities increased by $1.9 million primarily due to changes in the fair value of NRZ financing liabilities due to valuation and assumption updates related to our non-Agency MSRs carried at fair value, which increased the value of the NRZ financing liability by $83.3 million and which was recognized as interest expense. This more than offset the reduction in interest expense on the NRZ financing liabilities driven by declines in the value of the NRZ financing liability because of the decline in the average UPB of the NRZ servicing portfolio due to runoff, and the $42.0 million reduction in fair value of the NRZ financing liability recognized in connection with the transferred MSRs (including $37.6 million recognized at the time of the initial transfer). This reduction was primarily driven by the characteristics of Rights to MSRs with a UPB of $15.9 billion that were converted to fully-owned MSRs during the year, relative to the $54.6 million lump sum payment received from NRZ. For the Rights to MSRs that were converted on September 1, 2017, the characteristics of the underlying MSRs did not correspond to the weighted average loan characteristics used to determine the lump sum payment, resulting in a decline in the fair value of the financing liability.</w:t>
      </w:r>
    </w:p>
    <w:p>
      <w:pPr>
        <w:spacing w:after="0" w:line="61"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Other, net for 2017 declined primarily because 2016 includes $14.8 million received in connection with the execution of clean-up call rights related to five small-balance commercial mortgage securitization trusts. During 2017 and 2016, we recognized net gains of $10.5 million and $8.5 million on sales of MSRs relating to loans with a UPB of $219.4 million and $3.7 billion,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originate and purchase conventional and government-insured forward mortgage loans through our forward lending operations. Given the 2017 strategic shift in our forward lending activities, our efforts in 2018 were principally focused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Under the terms of our agreements with NRZ, to the extent we refinance a loan underlying the MSRs subject to these agreements, we are obligated to transfer such recaptured MSR to NRZ under the terms of a separate subservicing agreement.</w:t>
      </w:r>
    </w:p>
    <w:p>
      <w:pPr>
        <w:spacing w:after="0" w:line="193"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 portion of our servicing portfolio is susceptible to refinance activity during periods of declining interest rates. Our lending activity partially mitigates this risk. Origination volume and related gains have historically offset, to a degree, the economic impact of declining MSR values as interest rates decline. Under our NRZ agreements, NRZ has the right to directly solicit the MSRs we service on their behalf for mortgage refinances. To the extent we solicit the NRZ portfolio, we incur the full costs of the origination process; however, as noted above, the recaptured MSR is transferred to NRZ so we do not gain an MSR through such originations. Nor are we compensated for the transfer of the MSR to NRZ. As a result, the economics are weaker for these types of originations. Should NRZ choose to perform these portfolio recapture activities in the future, our funded forward lending volume would likely be negatively impacted but we do not believe the reduction in origination volume will have any material adverse impact on our results of operations.</w:t>
      </w:r>
    </w:p>
    <w:p>
      <w:pPr>
        <w:spacing w:after="0" w:line="5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originate and purchase reverse mortgages through our reverse lending operations under the guidelines of the HECM reverse mortgage insurance program of HUD. Loans originated under this program are generally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$1.4 billion at December 31, 2018.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692" w:right="259" w:bottom="1440" w:gutter="0" w:footer="0" w:header="0"/>
        </w:sectPr>
      </w:pPr>
    </w:p>
    <w:bookmarkStart w:id="65" w:name="page66"/>
    <w:bookmarkEnd w:id="65"/>
    <w:p>
      <w:pPr>
        <w:ind w:right="900"/>
        <w:spacing w:after="0" w:line="277" w:lineRule="auto"/>
        <w:rPr>
          <w:sz w:val="20"/>
          <w:szCs w:val="20"/>
          <w:color w:val="auto"/>
        </w:rPr>
      </w:pPr>
      <w:r>
        <w:rPr>
          <w:rFonts w:ascii="Arial" w:cs="Arial" w:eastAsia="Arial" w:hAnsi="Arial"/>
          <w:sz w:val="18"/>
          <w:szCs w:val="18"/>
          <w:color w:val="auto"/>
        </w:rPr>
        <w:t>capacity to ensure that we are able to fund these future draws. We recognize this Future Value over time as future draws are securitized or sold. At December 31, 2018, unrecognized Future Value is estimated to be $68.1 million.</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2018, our Lending business originated or purchased forward and reverse mortgage loans with a UPB of $870.3 million and $593.7 million, respectively. PHH originated $109.9 million of UPB in residential mortgage loans in the forward lending retail channel during the post-acquisition period through December 31, 2018. Historically, loans have been acquired through three primary channels: correspondent lender relationships, broker relationships (wholesale) and directly with mortgage customers (retail). Per-loan margins vary by channel, with correspondent typically being the lowest margin and retail the highest.</w:t>
      </w:r>
    </w:p>
    <w:p>
      <w:pPr>
        <w:spacing w:after="0" w:line="18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After origination, we package and sell the loans in the secondary mortgage market, through GSE securitizations on a servicing retained basis and through whole loan transactions on a servicing released basis.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4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relating to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w:t>
      </w:r>
    </w:p>
    <w:p>
      <w:pPr>
        <w:spacing w:after="0" w:line="6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real estate owned. State specific foreclosure and REO liquidation timelines have a significant impact on the timing and amount of our recovery. If we are unable to sell the property underlying an inactive reverse loan for an acceptable price within the timeframe established by HUD,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claims and liquidation processes. The significance of future losses associated with appraisal-based claims is dependent upon the volume of inactive loans, condition of foreclosed properties and the general real estate market.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Economic Conditions. </w:t>
      </w:r>
      <w:r>
        <w:rPr>
          <w:rFonts w:ascii="Arial" w:cs="Arial" w:eastAsia="Arial" w:hAnsi="Arial"/>
          <w:sz w:val="16"/>
          <w:szCs w:val="16"/>
          <w:color w:val="auto"/>
        </w:rPr>
        <w:t>General economic conditions impact the capacity for consumer credit and the supply of capital. More specifically,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home prices are variables that can each have a material impact on mortgage volume. Employment levels, the level of wages and the stability of 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w:t>
      </w:r>
    </w:p>
    <w:p>
      <w:pPr>
        <w:spacing w:after="0" w:line="5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 xml:space="preserve">Market Size and Composition. </w:t>
      </w:r>
      <w:r>
        <w:rPr>
          <w:rFonts w:ascii="Arial" w:cs="Arial" w:eastAsia="Arial" w:hAnsi="Arial"/>
          <w:sz w:val="17"/>
          <w:szCs w:val="17"/>
          <w:color w:val="auto"/>
        </w:rPr>
        <w:t>Changes in mortgage rates directly impact the demand for both purchase and refinance forward mortgages. Small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mortgage 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A December 2018 Fannie Mae forecast projects a decline in mortgage originations of 1% from 2018 to 2019, including a decline in refinance volume of approximately 10%. Declines in aggregate mortgage market and refinance volume will generally make growing our Lending business more difficult.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6" w:name="page67"/>
    <w:bookmarkEnd w:id="66"/>
    <w:p>
      <w:pPr>
        <w:jc w:val="both"/>
        <w:ind w:right="400" w:firstLine="324"/>
        <w:spacing w:after="0" w:line="264" w:lineRule="auto"/>
        <w:rPr>
          <w:sz w:val="20"/>
          <w:szCs w:val="20"/>
          <w:color w:val="auto"/>
        </w:rPr>
      </w:pPr>
      <w:r>
        <w:rPr>
          <w:rFonts w:ascii="Arial" w:cs="Arial" w:eastAsia="Arial" w:hAnsi="Arial"/>
          <w:sz w:val="18"/>
          <w:szCs w:val="18"/>
          <w:color w:val="auto"/>
        </w:rPr>
        <w:t>Market size is likewise impacted by changes to existing, or development of new, GSE or other government sponsored programs. Changes in GSE or HUD guidelines and costs and the availability of alternative financing sources, such as non-Agency proprietary loans and traditional home equity loans, impact borrower demand for forward and reverse mortgages.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August 2017, the FHFA announced an extension of the Home Affordable Refinance Program (HARP) to December 31, 2018. This program allowed borrowers with loans sold to Fannie Mae or Freddie Mac prior to June 1, 2009 to refinance through a simplified process with broader underwriting guidelines, most notably, higher LTV ratios. Since the HARP program was introduced, it has provided a boost to lending volumes and higher relative margins by providing broader refinance opportunities and more effective portfolio recapture.</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Effective in October 2017, HUD and FHA changed the amount of mortgage insurance premium paid by borrowers, lowered the lending interest rate floor and updated the principal limit factors, all of which put downward pressure on the amount of proceeds a borrower would receive. Since these changes were implemented, new endorsements, a proxy for market size, have declined 27.0% during the reporting period according to the HUD HECM Endorsement Summary Reports. To the extent the benefits of a reverse mortgage are reduced, or become less attractive to borrowers, lending volumes and margins will continue to be negatively impacted.</w:t>
      </w:r>
    </w:p>
    <w:p>
      <w:pPr>
        <w:spacing w:after="0" w:line="18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i w:val="1"/>
          <w:iCs w:val="1"/>
          <w:color w:val="auto"/>
        </w:rPr>
        <w:t xml:space="preserve">Investor Demand. </w:t>
      </w:r>
      <w:r>
        <w:rPr>
          <w:rFonts w:ascii="Arial" w:cs="Arial" w:eastAsia="Arial" w:hAnsi="Arial"/>
          <w:sz w:val="17"/>
          <w:szCs w:val="17"/>
          <w:color w:val="auto"/>
        </w:rPr>
        <w:t>The liquidity of the secondary market impacts the size of the market by defining loan attributes and credit guidelines for loans that</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are willing to buy and at what price. In recent years, the GSEs have been the dominant providers of secondary market liquidity for forward mortgages, keeping the product and credit spectrum relatively homogeneous and risk averse (higher credit standards).</w:t>
      </w:r>
    </w:p>
    <w:p>
      <w:pPr>
        <w:spacing w:after="0" w:line="5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 xml:space="preserve">Margins. </w:t>
      </w:r>
      <w:r>
        <w:rPr>
          <w:rFonts w:ascii="Arial" w:cs="Arial" w:eastAsia="Arial" w:hAnsi="Arial"/>
          <w:sz w:val="17"/>
          <w:szCs w:val="17"/>
          <w:color w:val="auto"/>
        </w:rPr>
        <w:t>Changes in pricing margin are closely correlated with changes in market size. As loan demand and market capacity move out of alignment,</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adjusts. In a growing market, margins expand and in a contracting market, margins tighten as lenders seek to keep their production at or close to full capacity. Managing capacity and cost is critical as volumes change. The challenge is greatest in the higher cost channels. Among our channels, our costs per loan are highest in the retail channel and lowest in the reverse lending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692" w:right="259" w:bottom="1440" w:gutter="0" w:footer="0" w:header="0"/>
        </w:sectPr>
      </w:pPr>
    </w:p>
    <w:bookmarkStart w:id="67" w:name="page68"/>
    <w:bookmarkEnd w:id="67"/>
    <w:p>
      <w:pPr>
        <w:ind w:right="70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2018 vs. 2017</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2017 vs. 2016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38,128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42,210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53,679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30,448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69,308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91,807</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72,658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revenue, net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39,705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93,672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127,475</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112,363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74,299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73,921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17,716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16,423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3,849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5,458</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4,215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6,678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22,118</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128,058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114,199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10,914</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15,300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(14,398)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w w:val="97"/>
              </w:rPr>
              <w:t>Income (loss) from continuing operations before</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11,154</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120" w:type="dxa"/>
            <w:vAlign w:val="bottom"/>
            <w:tcBorders>
              <w:bottom w:val="single" w:sz="8" w:color="EAF9E8"/>
            </w:tcBorders>
          </w:tcPr>
          <w:p>
            <w:pPr>
              <w:ind w:left="200"/>
              <w:spacing w:after="0"/>
              <w:rPr>
                <w:sz w:val="20"/>
                <w:szCs w:val="20"/>
                <w:color w:val="auto"/>
              </w:rPr>
            </w:pPr>
            <w:r>
              <w:rPr>
                <w:rFonts w:ascii="Arial" w:cs="Arial" w:eastAsia="Arial" w:hAnsi="Arial"/>
                <w:sz w:val="18"/>
                <w:szCs w:val="18"/>
                <w:b w:val="1"/>
                <w:bCs w:val="1"/>
                <w:color w:val="auto"/>
              </w:rPr>
              <w:t>income taxes</w:t>
            </w: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0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26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20" w:type="dxa"/>
            <w:vAlign w:val="bottom"/>
            <w:tcBorders>
              <w:bottom w:val="single" w:sz="8" w:color="EAF9E8"/>
            </w:tcBorders>
          </w:tcPr>
          <w:p>
            <w:pPr>
              <w:spacing w:after="0"/>
              <w:rPr>
                <w:sz w:val="2"/>
                <w:szCs w:val="2"/>
                <w:color w:val="auto"/>
              </w:rPr>
            </w:pPr>
          </w:p>
        </w:tc>
        <w:tc>
          <w:tcPr>
            <w:tcW w:w="26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Short-term loan funding commitments</w:t>
            </w:r>
          </w:p>
        </w:tc>
        <w:tc>
          <w:tcPr>
            <w:tcW w:w="26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132,076</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81,710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4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26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18,099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14,630</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r>
      <w:tr>
        <w:trPr>
          <w:trHeight w:val="230"/>
        </w:trPr>
        <w:tc>
          <w:tcPr>
            <w:tcW w:w="4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4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Future draw commitment (UPB) (1)</w:t>
            </w:r>
          </w:p>
        </w:tc>
        <w:tc>
          <w:tcPr>
            <w:tcW w:w="26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1,426,814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1,401,484</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4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Future Value (2)</w:t>
            </w:r>
          </w:p>
        </w:tc>
        <w:tc>
          <w:tcPr>
            <w:tcW w:w="26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68,075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70,683</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w:t>
            </w:r>
          </w:p>
        </w:tc>
      </w:tr>
      <w:tr>
        <w:trPr>
          <w:trHeight w:val="675"/>
        </w:trPr>
        <w:tc>
          <w:tcPr>
            <w:tcW w:w="4320" w:type="dxa"/>
            <w:vAlign w:val="bottom"/>
          </w:tcPr>
          <w:p>
            <w:pPr>
              <w:spacing w:after="0"/>
              <w:rPr>
                <w:sz w:val="24"/>
                <w:szCs w:val="24"/>
                <w:color w:val="auto"/>
              </w:rPr>
            </w:pPr>
          </w:p>
        </w:tc>
        <w:tc>
          <w:tcPr>
            <w:tcW w:w="2680" w:type="dxa"/>
            <w:vAlign w:val="bottom"/>
          </w:tcPr>
          <w:p>
            <w:pPr>
              <w:jc w:val="right"/>
              <w:ind w:right="111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The following table provides selected operating statistics for our Lending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89"/>
              </w:rPr>
              <w:t>Years Ended December 31,</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2018 vs. 2017</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2017 vs. 2016</w:t>
            </w:r>
          </w:p>
        </w:tc>
      </w:tr>
      <w:tr>
        <w:trPr>
          <w:trHeight w:val="27"/>
        </w:trPr>
        <w:tc>
          <w:tcPr>
            <w:tcW w:w="39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Production by Channel</w:t>
            </w:r>
          </w:p>
        </w:tc>
        <w:tc>
          <w:tcPr>
            <w:tcW w:w="3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398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868,110</w:t>
            </w:r>
          </w:p>
        </w:tc>
        <w:tc>
          <w:tcPr>
            <w:tcW w:w="620" w:type="dxa"/>
            <w:vAlign w:val="bottom"/>
            <w:tcBorders>
              <w:bottom w:val="single" w:sz="8" w:color="EAF9E8"/>
            </w:tcBorders>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857,772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422,586</w:t>
            </w:r>
          </w:p>
        </w:tc>
        <w:tc>
          <w:tcPr>
            <w:tcW w:w="13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487,462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1,730,360</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(72)</w:t>
            </w: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1,750</w:t>
            </w:r>
          </w:p>
        </w:tc>
        <w:tc>
          <w:tcPr>
            <w:tcW w:w="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1,173,022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2,035,375</w:t>
            </w:r>
          </w:p>
        </w:tc>
        <w:tc>
          <w:tcPr>
            <w:tcW w:w="13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(42)</w:t>
            </w:r>
          </w:p>
        </w:tc>
      </w:tr>
      <w:tr>
        <w:trPr>
          <w:trHeight w:val="297"/>
        </w:trPr>
        <w:tc>
          <w:tcPr>
            <w:tcW w:w="39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870,268</w:t>
            </w: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2,518,256</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4,188,321</w:t>
            </w:r>
          </w:p>
        </w:tc>
        <w:tc>
          <w:tcPr>
            <w:tcW w:w="134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EAF9E8"/>
            </w:tcBorders>
          </w:tcPr>
          <w:p>
            <w:pPr>
              <w:spacing w:after="0"/>
              <w:rPr>
                <w:sz w:val="24"/>
                <w:szCs w:val="24"/>
                <w:color w:val="auto"/>
              </w:rPr>
            </w:pPr>
          </w:p>
        </w:tc>
        <w:tc>
          <w:tcPr>
            <w:tcW w:w="1220" w:type="dxa"/>
            <w:vAlign w:val="bottom"/>
            <w:tcBorders>
              <w:bottom w:val="single" w:sz="8" w:color="EAF9E8"/>
            </w:tcBorders>
          </w:tcPr>
          <w:p>
            <w:pPr>
              <w:jc w:val="right"/>
              <w:ind w:right="70"/>
              <w:spacing w:after="0"/>
              <w:rPr>
                <w:sz w:val="20"/>
                <w:szCs w:val="20"/>
                <w:color w:val="auto"/>
              </w:rPr>
            </w:pPr>
            <w:r>
              <w:rPr>
                <w:rFonts w:ascii="Arial" w:cs="Arial" w:eastAsia="Arial" w:hAnsi="Arial"/>
                <w:sz w:val="18"/>
                <w:szCs w:val="18"/>
                <w:color w:val="auto"/>
              </w:rPr>
              <w:t>(40)</w:t>
            </w:r>
          </w:p>
        </w:tc>
      </w:tr>
      <w:tr>
        <w:trPr>
          <w:trHeight w:val="217"/>
        </w:trPr>
        <w:tc>
          <w:tcPr>
            <w:tcW w:w="3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 HARP production</w:t>
            </w:r>
          </w:p>
        </w:tc>
        <w:tc>
          <w:tcPr>
            <w:tcW w:w="3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Purchase production</w:t>
            </w:r>
          </w:p>
        </w:tc>
        <w:tc>
          <w:tcPr>
            <w:tcW w:w="3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c>
          <w:tcPr>
            <w:tcW w:w="13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 Refinance production</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39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43"/>
        </w:trPr>
        <w:tc>
          <w:tcPr>
            <w:tcW w:w="3980" w:type="dxa"/>
            <w:vAlign w:val="bottom"/>
          </w:tcPr>
          <w:p>
            <w:pPr>
              <w:ind w:left="180"/>
              <w:spacing w:after="0"/>
              <w:rPr>
                <w:sz w:val="20"/>
                <w:szCs w:val="20"/>
                <w:color w:val="auto"/>
              </w:rPr>
            </w:pPr>
            <w:r>
              <w:rPr>
                <w:rFonts w:ascii="Arial" w:cs="Arial" w:eastAsia="Arial" w:hAnsi="Arial"/>
                <w:sz w:val="18"/>
                <w:szCs w:val="18"/>
                <w:color w:val="auto"/>
              </w:rPr>
              <w:t>Reverse loans</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360,394</w:t>
            </w:r>
          </w:p>
        </w:tc>
        <w:tc>
          <w:tcPr>
            <w:tcW w:w="620" w:type="dxa"/>
            <w:vAlign w:val="bottom"/>
            <w:tcBorders>
              <w:bottom w:val="single" w:sz="8" w:color="EAF9E8"/>
            </w:tcBorders>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495,091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398,486</w:t>
            </w:r>
          </w:p>
        </w:tc>
        <w:tc>
          <w:tcPr>
            <w:tcW w:w="13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170,875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382,220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291,163</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62,389</w:t>
            </w:r>
          </w:p>
        </w:tc>
        <w:tc>
          <w:tcPr>
            <w:tcW w:w="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164,439</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135,843</w:t>
            </w:r>
          </w:p>
        </w:tc>
        <w:tc>
          <w:tcPr>
            <w:tcW w:w="13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21</w:t>
            </w:r>
          </w:p>
        </w:tc>
      </w:tr>
      <w:tr>
        <w:trPr>
          <w:trHeight w:val="297"/>
        </w:trPr>
        <w:tc>
          <w:tcPr>
            <w:tcW w:w="39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593,658</w:t>
            </w: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1,041,750</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825,492</w:t>
            </w:r>
          </w:p>
        </w:tc>
        <w:tc>
          <w:tcPr>
            <w:tcW w:w="134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EAF9E8"/>
            </w:tcBorders>
          </w:tcPr>
          <w:p>
            <w:pPr>
              <w:spacing w:after="0"/>
              <w:rPr>
                <w:sz w:val="24"/>
                <w:szCs w:val="24"/>
                <w:color w:val="auto"/>
              </w:rPr>
            </w:pPr>
          </w:p>
        </w:tc>
        <w:tc>
          <w:tcPr>
            <w:tcW w:w="122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26</w:t>
            </w:r>
          </w:p>
        </w:tc>
      </w:tr>
      <w:tr>
        <w:trPr>
          <w:trHeight w:val="217"/>
        </w:trPr>
        <w:tc>
          <w:tcPr>
            <w:tcW w:w="3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700</w:t>
            </w:r>
          </w:p>
        </w:tc>
        <w:tc>
          <w:tcPr>
            <w:tcW w:w="13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98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59</w:t>
            </w:r>
          </w:p>
        </w:tc>
      </w:tr>
      <w:tr>
        <w:trPr>
          <w:trHeight w:val="27"/>
        </w:trPr>
        <w:tc>
          <w:tcPr>
            <w:tcW w:w="39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r>
      <w:tr>
        <w:trPr>
          <w:trHeight w:val="257"/>
        </w:trPr>
        <w:tc>
          <w:tcPr>
            <w:tcW w:w="3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EAF9E8"/>
          </w:tcPr>
          <w:p>
            <w:pPr>
              <w:spacing w:after="0"/>
              <w:rPr>
                <w:sz w:val="22"/>
                <w:szCs w:val="22"/>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847</w:t>
            </w:r>
          </w:p>
        </w:tc>
        <w:tc>
          <w:tcPr>
            <w:tcW w:w="13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10</w:t>
            </w:r>
          </w:p>
        </w:tc>
      </w:tr>
      <w:tr>
        <w:trPr>
          <w:trHeight w:val="20"/>
        </w:trPr>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55"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do not incur any substantive underwriting, marketing or compensation costs in connection with any future draws. We recognize this Future Value over time as future draws are securitized or sold.</w:t>
      </w:r>
    </w:p>
    <w:p>
      <w:pPr>
        <w:spacing w:after="0" w:line="1" w:lineRule="exact"/>
        <w:rPr>
          <w:rFonts w:ascii="Arial" w:cs="Arial" w:eastAsia="Arial" w:hAnsi="Arial"/>
          <w:sz w:val="16"/>
          <w:szCs w:val="16"/>
          <w:color w:val="auto"/>
        </w:rPr>
      </w:pPr>
    </w:p>
    <w:p>
      <w:pPr>
        <w:ind w:left="500" w:right="580" w:hanging="492"/>
        <w:spacing w:after="0" w:line="257"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Future Value represents the net present value of estimated future cash flows from customer draws of the loans and projected performance assumptions based on historical experience and industry benchmarks discounted at 12%.</w:t>
      </w:r>
    </w:p>
    <w:p>
      <w:pPr>
        <w:spacing w:after="0" w:line="7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Lending segment results for 2018, as compared to 2017, were primarily driven by rising interest rates and reverse lending HECM program changes and the related impacts on loan production, revenue and expenses. Rising interest rates in 2018 have negatively impacted our forward retail business with industry refinance volumes down 29% in 2018 according to the Fannie Mae Housing Forecast Report. Changes to the HECM program for originations after October 1, 2017 have negatively impacted industry, and Ocwen, originations. According to the HUD HECM Endorsement Summary Report, industry endorsements, or the number of new HECM loans insured by the FHA during the reporting period, totaled 41,736, 56,912 and 48,794 during 2018, 2017 and 2016, respectively. This represents a decline of 27% for 2018 as compared to 2017, and an increase of 17% for 2017 as compared to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versus 2017</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Total revenue for 2018 decreased $33.8 million, or 27%, as total loan production dropped $2.1 billion, or 59%, driven primarily by our exit from the forward lending correspondent and wholesale channels. The resulting $7.9 million, or 21%, decline in forward lending gain on loans held for sale was offset in part by slightly higher production and margins in our retail channel. The forward lending retail channel includes $109.9 million of production volume generated by PHH during the post-acquisition period. Reverse lending gain on loans held for sale declined by $14.6 million, or 27%, due to a 43% decline in loan production which was lower across all channels, partially offset by higher margins. Other revenue declined $11.3 million, or 32%, due to a $5.0 million reduction in the net change in the fair values of HECM reverse mortgage loans and the related HMBS financing liability. Rising interest rates reduce the average life of our HECM reverse mortgage loans as adjustable rate mortgage (ARM) borrowers reach their maximum loan amount faster, reducing projected service fees, net of subservicing fees, and available future draws, and accelerating loan resolutions. Origination fees, recorded in Other revenue, declined $5.7 million due to lower lending segment volumes.</w:t>
      </w:r>
    </w:p>
    <w:p>
      <w:pPr>
        <w:spacing w:after="0" w:line="74"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Total expenses for 2018 decreased $45.2 million, or 35%, as compared to 2017. The $27.9 million, or 38% decrease in Compensation and benefits expense is due to a reduction in headcount and a decline in commissions on lower forward and reverse lending origination volume. Partially offsetting this decrease was $4.7 million of Compensation and benefits expense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69" w:name="page70"/>
    <w:bookmarkEnd w:id="69"/>
    <w:p>
      <w:pPr>
        <w:ind w:right="80"/>
        <w:spacing w:after="0" w:line="276" w:lineRule="auto"/>
        <w:rPr>
          <w:sz w:val="20"/>
          <w:szCs w:val="20"/>
          <w:color w:val="auto"/>
        </w:rPr>
      </w:pPr>
      <w:r>
        <w:rPr>
          <w:rFonts w:ascii="Arial" w:cs="Arial" w:eastAsia="Arial" w:hAnsi="Arial"/>
          <w:sz w:val="17"/>
          <w:szCs w:val="17"/>
          <w:color w:val="auto"/>
        </w:rPr>
        <w:t>incurred by PHH during the post-acquisition period. Total average headcount of the Lending segment decreased 40% as compared to 2017, reflecting the strategic shift in our forward lending activities and lower origination volume in the reverse lending channels. The $15.4 million decline in Other expenses is primarily attributable to the $6.8 million charge we recognized in 2017 to write-off the carrying value of internally-developed Loan Operating System (LOS) software used in our wholesale forward lending business. Also contributing to the decline in Other expenses, advertising expense declined $5.6 million and the provision for indemnification obligations declined $2.0 million in line with lower loan production.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decline in interest income and interest expense as compared to 2017 is primarily the result of the overall decline in loan production.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Total revenue increased by $15.1 million, or 13%, in 2017 despite the $1.5 billion, or 29%, decline in total loan production. Gains on loans held for sale, net increased $19.1 million, or 26%, due to higher gains in the reverse lending business as a result of increased origination volume and improved margin rates. Gains in the forward lending business decreased due to lower margin rates in all channels and lower volume in the correspondent and wholesale channels, which was partially offset by an increase in retail volume. Other revenue decreased $4.0 million, or 10%, in 2017 primarily because of a $2.3 million decrease in the excess of changes in the fair value of our HECM loans held for investment over changes in the fair value of the HMBS financing liability and an increase in guarantee fees incurred in the reverse lending channel due to portfolio expansion. Direct acquisition costs, a component of Gain on loans held for sale, net, are offset by origination fee income that is included in Other revenue.</w:t>
      </w:r>
    </w:p>
    <w:p>
      <w:pPr>
        <w:spacing w:after="0" w:line="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Total expenses increased $13.9 million, or 12%, in 2017. Other expenses increased $14.1 million, or 177%, driven primarily by the $6.8 million write-off of the carrying value of our LOS software used in our wholesale forward lending business, a $5.3 million increase in the provision for indemnification due in part to a reversal of the liability in 2016, and a $3.8 million increase in advertising costs across both forward and reverse channels. Total average headcount of the Lending segment increased 10% over 2016 due to increased offshore hiring in both the forward and reverse lending businesses. Despite this increase, Compensation and benefits expense increased only $0.4 million, or 1%, as commissions and bonuses declined on lower forward lending origination volume. Servicing and origination expense increased $1.3 million, or 8%. This was due in part to increased subservicing costs related to Ginnie Mae portfolio expansion in the reverse lending channel. In addition, reverse lending generated higher volume which resulted in higher transactional costs. The effect of these increases was partially offset by lower Servicing and origination expense in the forward lending channel due to lower volume.</w:t>
      </w:r>
    </w:p>
    <w:p>
      <w:pPr>
        <w:spacing w:after="0" w:line="5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Interest income, which consists primarily of interest earned on newly-originated and purchased loans prior to sale to investors, declined $4.4 million, or 29%, in 2017 consistent with lower origination volume in our forward lending business. Interest expense is incurred to finance the mortgage loans. We finance originated and purchased forward and reverse mortgage loans with repurchase and participation agreements, commonly referred to as warehouse lines of credit. The difference between interest income and interest expense will fluctuate due to a variety of economic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Corporate Items and Other includes revenues and expenses of corporate support services, CRL, discontinued operations and inactive entities, business activities that are currently individually insignificant, revenues and expenses that are not directly related to other reportable segments, interest income on short-term investments of cash and interest expense on corporate debt. Our cash balances are included in Corporate Items and Other.</w:t>
      </w:r>
    </w:p>
    <w:p>
      <w:pPr>
        <w:spacing w:after="0" w:line="3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As part of our drive to return to profitability as soon as possible, we will seek to reduce our corporate support services expenses while complying with our legal and regulatory obligations. We anticipate that our ability to return to sustainable profitability will be significantly impacted by the degree to which we can reduce these costs going forward.</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CRL, our wholly-owned captive reinsurance subsidiary, provides re-insurance related to coverage on REO properties owned or serviced by us. CRL assumes a quota share of REO insurance coverage written by a third-party insurer under a blanket policy issued to OLS. The underlying REO policy provides coverage for direct physical loss on commercial and residential properties, subject to certain limitations. Under the terms of the reinsurance agreement, CRL assumes a 40% share of all related losses and loss adjustment expenses incurred by the third-party insurer. The reinsurance agreement excludes properties located in the State of New York and has an expiration date of December 31, 2020, although it may be terminated by either party at any time with thirty days’ advance written notice.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expenses incurred by corporate support services are allocated to the Servicing and Lending segments.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92" w:right="259" w:bottom="1440" w:gutter="0" w:footer="0" w:header="0"/>
        </w:sectPr>
      </w:pPr>
    </w:p>
    <w:bookmarkStart w:id="70" w:name="page71"/>
    <w:bookmarkEnd w:id="70"/>
    <w:p>
      <w:pPr>
        <w:ind w:right="2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2018 vs. 2017</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2017 vs. 2016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Premiums (CRL)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23,114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25,413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2,697</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27,646</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106,058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124,181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121,447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160,569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199,513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9,017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51,718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54,648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13,822</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14,362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19,011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 overhead</w:t>
            </w: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allocations</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292,515</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379,233</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417,998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(211,701)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(221,049)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(215,300)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77,123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154,203</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198,483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3,892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(54,230)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(55,750)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(40,772)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Bargain purchase gain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(6,348)</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w w:val="98"/>
              </w:rPr>
              <w:t>Loss from continuing operations before income</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(50,682)</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(186,222)</w:t>
            </w:r>
          </w:p>
        </w:tc>
        <w:tc>
          <w:tcPr>
            <w:tcW w:w="1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(209,856)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0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n/m: not meaningful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versus 2017</w:t>
      </w:r>
    </w:p>
    <w:p>
      <w:pPr>
        <w:spacing w:after="0" w:line="11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CRL premium revenue decreased 28% as compared to 2017 as a result of a 28% decline in the average number of foreclosed real estate properties in our servicing portfolio.</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before allocations, including $25.8 million attributable to PHH, declined $86.7 million, or 23%, as compared to 2017.</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Professional services expense, including $9.4 million in PHH expenses, declined $49.9 million, or 31%, as compared to 2017 primarily due to a $64.4 million decrease in legal fees and settlements. Professional services expense for 2017 included significant litigation settlement-related costs incurred in connection with a securities law matter and a TCPA matter. Legal fees for 2018 include $9.6 million of fees incurred in connection with our compliance with the Multi-State Common Settlement Terms, particularly the third-party audit of our compliance with certain federal and state laws relating to escrow. See Note 25 — Contingencies to the Consolidated Financial Statements for additional information regarding our obligations under the agreements we entered into with 29 states and the District of Columbia to resolve certain regulatory actions. Monitor expenses decreased $6.4 million due to the termination of the CA Auditor and NY Operations Monitor engagements in 2017. Partially offsetting these declines, we incurred $13.7 million of direct costs during 2018 related to the acquisition of PHH.</w:t>
      </w:r>
    </w:p>
    <w:p>
      <w:pPr>
        <w:spacing w:after="0" w:line="8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Declines in Compensation and benefits, Technology and communications and Occupancy and equipment expenses as compared to 2017 are primarily attributable to headcount reductions and other actions we have taken to reduce our costs, including bringing technology services in-house, closing and consolidating certain facilities, and our exit from the automotive capital services business. These declines were offset in part by Compensation and benefits and Technology and</w:t>
      </w:r>
    </w:p>
    <w:p>
      <w:pPr>
        <w:sectPr>
          <w:pgSz w:w="11900" w:h="16838" w:orient="portrait"/>
          <w:cols w:equalWidth="0" w:num="1">
            <w:col w:w="11420"/>
          </w:cols>
          <w:pgMar w:left="240" w:top="69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692" w:right="239" w:bottom="1440" w:gutter="0" w:footer="0" w:header="0"/>
          <w:type w:val="continuous"/>
        </w:sectPr>
      </w:pPr>
    </w:p>
    <w:bookmarkStart w:id="71" w:name="page72"/>
    <w:bookmarkEnd w:id="71"/>
    <w:p>
      <w:pPr>
        <w:ind w:right="40"/>
        <w:spacing w:after="0" w:line="259" w:lineRule="auto"/>
        <w:rPr>
          <w:sz w:val="20"/>
          <w:szCs w:val="20"/>
          <w:color w:val="auto"/>
        </w:rPr>
      </w:pPr>
      <w:r>
        <w:rPr>
          <w:rFonts w:ascii="Arial" w:cs="Arial" w:eastAsia="Arial" w:hAnsi="Arial"/>
          <w:sz w:val="18"/>
          <w:szCs w:val="18"/>
          <w:color w:val="auto"/>
        </w:rPr>
        <w:t>communications expense of $10.3 million and $3.8 million, respectively, attributable to PHH. The $18.1 million, or 15%, reduction in Compensation and benefits expense primarily resulted from a 21% decline in average headcount in spite of the increase in headcount attributed to the PHH acquisition (192 U.S. employees at December 31, 2018). Lower salaries and benefits due to the reduction in headcount were offset in part by a $6.7 million increase in related severance expense for 2018.</w:t>
      </w:r>
    </w:p>
    <w:p>
      <w:pPr>
        <w:spacing w:after="0" w:line="79" w:lineRule="exact"/>
        <w:rPr>
          <w:sz w:val="20"/>
          <w:szCs w:val="20"/>
          <w:color w:val="auto"/>
        </w:rPr>
      </w:pPr>
    </w:p>
    <w:p>
      <w:pPr>
        <w:jc w:val="both"/>
        <w:ind w:right="580" w:firstLine="324"/>
        <w:spacing w:after="0" w:line="342" w:lineRule="auto"/>
        <w:rPr>
          <w:sz w:val="20"/>
          <w:szCs w:val="20"/>
          <w:color w:val="auto"/>
        </w:rPr>
      </w:pPr>
      <w:r>
        <w:rPr>
          <w:rFonts w:ascii="Arial" w:cs="Arial" w:eastAsia="Arial" w:hAnsi="Arial"/>
          <w:sz w:val="16"/>
          <w:szCs w:val="16"/>
          <w:color w:val="auto"/>
        </w:rPr>
        <w:t>The $4.0 million, or 94%, decrease in Servicing and origination expense is largely the result of a $3.2 million decline in reinsurance commissions incurred by CRL during 2018 due to the decline in the covered portfolio and a decline in the ceding commission rate from 9% in 2017 to 5% in 2018.</w:t>
      </w:r>
    </w:p>
    <w:p>
      <w:pPr>
        <w:spacing w:after="0" w:line="12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Other expenses declined $11.1 million, or 45%, primarily due to a $6.2 million decline in the provision for losses on automotive dealer financing notes and a $2.2 million decline in the provision for indemnification.</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recognized a bargain purchase gain, net of tax, of $64.0 million in connection with the acquisition of PHH representing the excess of the net assets acquired over the consideration paid. The purchase price we negotiated contemplated that PHH would incur losses after the acquisition date. The PHH net loss from continuing operations of $24.8 million is included in our consolidated statements of operations from the date of acquisition through December 31, 2018. See Note 2 — Business Acquisition to the Consolidated Financial Statements for additional information.</w:t>
      </w:r>
    </w:p>
    <w:p>
      <w:pPr>
        <w:spacing w:after="0" w:line="17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$2.3 million decline in Other, net for 2018 is primarily due to a $7.3 million decrease in fair value losses on mortgage-backed securities offset by a $4.9 million decrease in foreign currency remeasurement losses. Higher interest rates, runoff of the underlying mortgage loans and updates to key assumptions from our third-party valuation expert contributed to the decline in the fair value of our mortgage-backed securities in 2017. Fair value gains (losses) on mortgage-backed securities were $0.6 million and $(6.8) million in 2018 and 2017, respectively. The higher foreign currency remeasurement losses in 2018 are primarily attributable to depreciation of the India Rupee against the U.S. Dollar. Foreign currency exchange gains (losses) were $(3.2) million and $1.7 million for 2018 and 2017, respectively. While we do not currently hedge our foreign currency exposure, we do maintain India Rupee denominated investments in higher-yielding term deposits to partially offset our exposure.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2016</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$38.8 million, or 9%, decrease in expenses before allocations is primarily due to a $38.9 million decline in Professional services expense, which resulted from a $75.3 million decrease in regulatory monitoring costs and a $5.3 million decrease in consulting fees offset in part by a $44.4 million increase in legal fees and settlements. The expenses we incurred related to monitorships under our NY DFS, CA DBO and Ocwen National Mortgage settlements decreased from $81.7 million in 2016 to $6.4 million in 2017 in line with the termination of the CA Auditor and NY Operations Monitor engagements in 2017. The increase in legal fees and settlements is primarily due to the settlement of litigation relating to a securities law and TCPA matter, as well as fees incurred in connection with our legal defense related to regulatory actions taken on or shortly after April 20, 2017 by the CFPB, mortgage and banking regulatory agencies from 29 states and the District of Columbia and two state attorneys general.</w:t>
      </w:r>
    </w:p>
    <w:p>
      <w:pPr>
        <w:spacing w:after="0" w:line="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Servicing and origination expense declined by $4.8 million, or 53%, primarily due to a decrease in reinsurance commissions incurred by CRL, which were $3.9 million and $8.8 million for 2017 and 2016, respectively.</w:t>
      </w:r>
    </w:p>
    <w:p>
      <w:pPr>
        <w:spacing w:after="0" w:line="6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Interest expense in 2017 increased by $15.0 million, or 37%, primarily because of our transfer of the SSTL from the Servicing segment to the Corporate Items and Other segment when we entered into an amended and restated SSTL facility agreement in December 2016. In December 2016, we also exchanged $346.9 million of 6.625% Senior Unsecured Notes due 2019 for a like amount of 8.375% Senior Second Lien Notes due 2022. Interest expense recognized on the SSTL in the Corporate Items and Other segment in 2017 was $23.7 million, including amortization of debt issuance costs and discount. As disclosed below, interest expense for 2016 included the recognition of $5.1 million of interest expense for fees paid in connection with the exchange of senior notes and $9.1 million of previously unamortized debt issuance costs and discount related to the renewal of the SSTL facility.</w:t>
      </w:r>
    </w:p>
    <w:p>
      <w:pPr>
        <w:spacing w:after="0" w:line="5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Other, net includes fair value gains (losses) on mortgage-backed securities of $(6.8) million and $0.4 million in 2017 and 2016, respectively. Higher interest rates, runoff of the underlying mortgage loans and updates to key assumptions from our third-party valuation expert contributed to the decline in the fair value of our mortgage-backed securities to $1.6 million as of December 31,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mitigate liquidity risk.</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584" w:right="25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projections for ongoing business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Anticipated amounts and timing of integration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Projected future acquisitions of MSRs to, at a minimum, replenish portfolio runoff;</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 available borrowing capacity, including capacity for cyclical and monthly peak funding dates;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Projected funding requirements of new investment and business initiatives.</w:t>
      </w:r>
    </w:p>
    <w:p>
      <w:pPr>
        <w:spacing w:after="0" w:line="21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At December 31, 2018, our cash position was $329.1 million compared to $259.7 million at December 31, 2017. We invest cash in excess of our immediate operating needs primarily in money market deposit accounts. On October 4, 2018, we completed our acquisition of PHH. This transaction was initially cash and book value accretive, with PHH having an opening cash balance of $423.1 million, $64.7 million more than the purchase price of $358.4 million. Upon the closing of the transaction, we assumed $119.1 million of senior unsecured notes, representing $97.5 million of PHH’s 7.375% Senior Notes due 2019 and $21.5 million of PHH’s 6.375% Senior Notes due 2021. Ocwen also assumed a mortgage repurchase facility with maximum borrowing of $200.0 million on an uncommitted basis. There were no borrowings outstanding under this facility on the acquisition date or at December 31, 2018.</w:t>
      </w:r>
    </w:p>
    <w:p>
      <w:pPr>
        <w:spacing w:after="0" w:line="5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strengthened our cash position by monetizing a portion of our future revenue stream under our NRZ agreements. We received lump-sum payments of $54.6 million and $279.6 million in September 2017 and January 2018, respectively, under our agreements with NRZ. These lump-sum payments generally represent the net present value of the excess of the future revenue stream we would have received under our original agreements with NRZ over the revenue stream we now receive under our current agreements. We are effectively amortizing these lump-sum payments through our statements of operations from the dates such lump-sum payments were received through the end of the initial term of the original agreements, which is generally April 2020. We are endeavoring to invest these lump sum payments in our business to achieve targeted investment returns within our risk appetite that will replace the foregone revenue stream and we have also deployed excess cash to reduce secured borrowings as we source these investment opportunities.</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Establishing funding for growth is a key initiative to achieving our objective of returning to growth and profitability. We regularly evaluate capital structure options that we believe will most effectively provide the necessary capacity to invest in growth, address upcoming debt maturities and accommodate our business needs. For example, we are currently evaluating various options related to our SSTL, including upsizing the facility, as well as other funding structures that we believe will optimize our capital structure and access to capital. Historical losses have significantly eroded our stockholder’s equity and weakened our financial condition. To the extent we are not successful in achieving our objective of returning to profitability, funding continuing losses will limit our opportunities to grow our business.</w:t>
      </w:r>
    </w:p>
    <w:p>
      <w:pPr>
        <w:spacing w:after="0" w:line="19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available borrowing capacity under our advance financing facilities has decreased by $104.2 million from $151.0 million at December 31, 2017 to $46.7 million at December 31, 2018 as we reduced the size of these facilities to better align with our anticipated future usage. Our ability to continue to pledge collateral under our advance financing facilities depends on the performance of the advances, among other factors. At December 31, 2018, none of the available borrowing capacity could be used based on the amount of eligible collateral that had been pledged to our advance financing facilities.</w:t>
      </w:r>
    </w:p>
    <w:p>
      <w:pPr>
        <w:spacing w:after="0" w:line="4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At December 31, 2018, we had maximum borrowing capacity under our warehouse facilities of $1.0 billion. Of the borrowing capacity extended on a committed basis, $194.6 million was available at December 31, 2018, and $62.4 million of the available borrowing capacity could have been used based on the amount of eligible collateral that could be pledged. Uncommitted amounts ($674.7 million available at December 31, 2018) can be advanced solely at the discretion of the lender, and there can be no assurance that any uncommitted amounts will be available to us at any particular time. At December 31, 2018, $32.4 million of uncommitted borrowing capacity could have been used based on the amount of eligible collateral that could be pledged, assuming our lenders were willing to do so.</w:t>
      </w:r>
    </w:p>
    <w:p>
      <w:pPr>
        <w:spacing w:after="0" w:line="8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portions of our cash balances are held in our non-U.S. subsidiaries. We would have to repatriate the cash held by our non-U.S. subsidiaries, potentially with tax consequences and in compliance with applicable laws, should we wish to utilize that cash in the U.S.</w:t>
      </w:r>
    </w:p>
    <w:p>
      <w:pPr>
        <w:spacing w:after="0" w:line="18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expenses, our assessment of the likely impact of open regulatory matters, recurring and nonrecurring costs and sales of assets. We have analyzed our cash requirements and financial obligations. Based upon these evaluations and analysis, we believe that we have sufficient liquidity and access to adequate sources of new capital to meet our obligations and fund our operations for the next twelve months.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92"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Sources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Collections of advances in excess of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w:t>
      </w:r>
    </w:p>
    <w:p>
      <w:pPr>
        <w:spacing w:after="0" w:line="10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servicing advance financing strategy. Revolving variable funding notes issued by our advance financing facilities to large global financial institutions have revolving periods of 12 to 18 months. Term notes are generally issued to institutional investors with one-, two- or three-year maturities.</w:t>
      </w:r>
    </w:p>
    <w:p>
      <w:pPr>
        <w:spacing w:after="0" w:line="6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use mortgage loan warehouse facilities to fund newly originated loans on a short-term basis until they are sold to secondary market investors, including GSEs or other third-party investors. These warehouse facilities are structured as repurchase or participation agreements under which ownership of the loans is temporarily transferred to the lender. Currently, our master repurchase and participation agreements generally have maximum terms of 364-days. The funds are typically repaid using the proceeds from the sale of the loans to the secondary market investors, usually within 30 days.</w:t>
      </w:r>
    </w:p>
    <w:p>
      <w:pPr>
        <w:spacing w:after="0" w:line="4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a secured lien under the SSTL are as follows at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Collateral for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Secured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Sale</w:t>
            </w:r>
          </w:p>
        </w:tc>
        <w:tc>
          <w:tcPr>
            <w:tcW w:w="3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Borrowings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Commitments</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Commitments (1)</w:t>
            </w:r>
          </w:p>
        </w:tc>
        <w:tc>
          <w:tcPr>
            <w:tcW w:w="2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 (2)</w:t>
            </w:r>
          </w:p>
        </w:tc>
      </w:tr>
      <w:tr>
        <w:trPr>
          <w:trHeight w:val="27"/>
        </w:trPr>
        <w:tc>
          <w:tcPr>
            <w:tcW w:w="35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329,132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329,132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67,878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servicing rights</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1,457,149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985,576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9,867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461,706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Advances, net</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249,382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31,216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207,004</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assets</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937,294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937,294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143,704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98,918</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investments</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5,498,719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5,440,535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58,184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198,262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198,262</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Premises and equipment, net</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33,417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33,417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379,567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320,032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59,535</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related to discontinued operations</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794</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9,394,216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7,544,897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361,284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1,446,952</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00" w:hanging="492"/>
        <w:spacing w:after="0" w:line="255"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Commitments includes Restricted cash and deposits held as collateral to support certain contractual obligations, and Contingent loan repurchase assets related to the Ginnie Mae early buyout program for which a corresponding liability is recognized in Other liabilities.</w:t>
      </w:r>
    </w:p>
    <w:p>
      <w:pPr>
        <w:spacing w:after="0" w:line="1" w:lineRule="exact"/>
        <w:rPr>
          <w:rFonts w:ascii="Arial" w:cs="Arial" w:eastAsia="Arial" w:hAnsi="Arial"/>
          <w:sz w:val="16"/>
          <w:szCs w:val="16"/>
          <w:color w:val="auto"/>
        </w:rPr>
      </w:pPr>
    </w:p>
    <w:p>
      <w:pPr>
        <w:ind w:left="500" w:right="20" w:hanging="492"/>
        <w:spacing w:after="0" w:line="248"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borrowings under the SSTL are secured by a first priority security interest in substantially all of the assets of Ocwen, OLS,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Agency MSRs with respect to which an acknowledgment agreement acknowledging such security interest has not been obtained,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Security interests securing borrowings under the SSTL and Senior Secured Notes may include amounts presented in Other as well as certain assets presented in Collateral for Secured Borrowings and Sale Commitments, subject to</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88" w:right="239" w:bottom="1440" w:gutter="0" w:footer="0" w:header="0"/>
        </w:sectPr>
      </w:pPr>
    </w:p>
    <w:bookmarkStart w:id="74" w:name="page75"/>
    <w:bookmarkEnd w:id="74"/>
    <w:p>
      <w:pPr>
        <w:ind w:left="500" w:right="140"/>
        <w:spacing w:after="0" w:line="381" w:lineRule="auto"/>
        <w:rPr>
          <w:sz w:val="20"/>
          <w:szCs w:val="20"/>
          <w:color w:val="auto"/>
        </w:rPr>
      </w:pPr>
      <w:r>
        <w:rPr>
          <w:rFonts w:ascii="Arial" w:cs="Arial" w:eastAsia="Arial" w:hAnsi="Arial"/>
          <w:sz w:val="16"/>
          <w:szCs w:val="16"/>
          <w:color w:val="auto"/>
        </w:rPr>
        <w:t>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 of integration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for advances in excess of collections;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Investing in our servicing and lending businesses, including MSR and other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100% of the net cash proceeds from certain permitted asset sales, subject to our ability to reinvest such proceeds in our business within 270 days of receipt. During 2018, we voluntarily prepaid $50.0 million of the SSTL balance for the purpose of reducing interest costs.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Regarding the current maturities of our borrowings, as of December 31, 2018, we have approximately $898.3 million of debt outstanding under coming due in the next 12 months. The revolving periods of our variable funding and term notes under our advance financing facilities with a total borrowing capacity of $290.0 million and $385.0 million, respectively, are scheduled to end during 2019, subject to renewal, replacement or extension. Total borrowings outstanding on these notes was $628.3 million at December 31, 2018. We had $155.7 million outstanding under our master repurchase and participation agreements for financing new loan originations and loan repurchases at December 31, 2018, all of which matures in 2019. Finally, in addition to scheduled repayments of $16.8 million under our Senior Secured Term Loan, $97.5 million of PHH’s 7.375% Senior Notes are also due 2019.</w:t>
      </w:r>
    </w:p>
    <w:p>
      <w:pPr>
        <w:spacing w:after="0" w:line="16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that we will be able to renew, replace or extend our debt agreements to the extent necessary to finance our business before or as they become due, consistent with our historical experience.</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are actively engaged with our lenders and as a result, have successfully completed the following with respect to our current and anticipated financing needs:</w:t>
      </w:r>
    </w:p>
    <w:p>
      <w:pPr>
        <w:spacing w:after="0" w:line="170" w:lineRule="exact"/>
        <w:rPr>
          <w:sz w:val="20"/>
          <w:szCs w:val="20"/>
          <w:color w:val="auto"/>
        </w:rPr>
      </w:pPr>
    </w:p>
    <w:p>
      <w:pPr>
        <w:ind w:left="660" w:right="200" w:hanging="328"/>
        <w:spacing w:after="0" w:line="26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Through multiple transactions over the course of 2018, we amended and refinanced our Ocwen Master Advance Receivables Trust (OMART) and Ocwen Freddie Advance Funding (OFAF) advance facilities and we paid off and terminated our Ocwen Servicer Advance Receivables Trust (OSART) advance facility. We reduced the maximum borrowing capacity under our advance facilities from $1.1 billion at December 31, 2017 to $825.0 million at December 31, 2018 in line with the decline in advance balances and rebalanced the mix of variable and term notes. We also modified the facilities to add PMC as a seller. The weighted average interest rate on our outstanding borrowings under these facilities increased to 3.61% at December 31, 2018 from 3.16% at December 31, 2017.</w:t>
      </w:r>
    </w:p>
    <w:p>
      <w:pPr>
        <w:spacing w:after="0" w:line="1" w:lineRule="exact"/>
        <w:rPr>
          <w:rFonts w:ascii="Arial" w:cs="Arial" w:eastAsia="Arial" w:hAnsi="Arial"/>
          <w:sz w:val="17"/>
          <w:szCs w:val="17"/>
          <w:color w:val="auto"/>
        </w:rPr>
      </w:pPr>
    </w:p>
    <w:p>
      <w:pPr>
        <w:ind w:left="660" w:right="200" w:hanging="328"/>
        <w:spacing w:after="0" w:line="26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Through multiple transactions over the course of 2018, we extended or renewed mortgage warehouse and repurchase agreements supporting our origination and loan repurchase activities. We increased our maximum borrowing capacity to $1.0 billion, $300.0 million on a committed basis, at December 31, 2018 from $687.5 million, $237.5 million on a committed basis, at December 31, 2017. These changes were executed to ensure the availability of liquidity to fund the growth in our forward and reverse lending businesses.</w:t>
      </w:r>
    </w:p>
    <w:p>
      <w:pPr>
        <w:ind w:left="660" w:right="3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December 2018, we repurchased $16.0 million of our 8.375% Senior Secured Second Lien Notes that mature in November 2022 at a price of 96%.</w:t>
      </w:r>
    </w:p>
    <w:p>
      <w:pPr>
        <w:ind w:left="660" w:right="1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December 21, 2018, we redeemed the remaining $3.1 million of our 6.625% Senior unsecured notes due in May 2019, at a redemption price of 100.0% of the outstanding principal balance plus accrued and unpaid interest.</w:t>
      </w:r>
    </w:p>
    <w:p>
      <w:pPr>
        <w:ind w:left="660" w:right="18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January 23, 2018, we voluntarily terminated our Automotive Capital Asset Receivables Trust (ACART) Loan Series 2017-1 automotive dealer floor plan loan agreement pursuant to our exit of the automotive capital services line of business.</w:t>
      </w:r>
    </w:p>
    <w:p>
      <w:pPr>
        <w:ind w:left="660" w:right="4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February 4, 2019, we entered into a master participation agreement under which the lender will provide $300.0 million of borrowing capacity on an uncommitted basis for loan originations.</w:t>
      </w:r>
    </w:p>
    <w:p>
      <w:pPr>
        <w:spacing w:after="0" w:line="7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616"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condition and could cause us to take actions that would be outside the normal course of our operations to generate additional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16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Annual Report on Form 10-K is filed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Review Status / Outlook</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3"/>
              </w:rPr>
              <w:t>Caa1</w:t>
            </w:r>
          </w:p>
        </w:tc>
        <w:tc>
          <w:tcPr>
            <w:tcW w:w="2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Stable</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December 11, 2018</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Negative</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18, 2018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4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Withdrew (1)</w:t>
            </w:r>
          </w:p>
        </w:tc>
        <w:tc>
          <w:tcPr>
            <w:tcW w:w="24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6"/>
              </w:rPr>
              <w:t>Withdrew (1)</w:t>
            </w:r>
          </w:p>
        </w:tc>
        <w:tc>
          <w:tcPr>
            <w:tcW w:w="2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July 25, 2018</w:t>
            </w:r>
          </w:p>
        </w:tc>
      </w:tr>
      <w:tr>
        <w:trPr>
          <w:trHeight w:val="27"/>
        </w:trPr>
        <w:tc>
          <w:tcPr>
            <w:tcW w:w="39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3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Withdrawn as a result of our decision to allow our annual contract with Fitch for corporate ratings to expire as part of our ongoing efforts to reduce costs.</w:t>
      </w:r>
    </w:p>
    <w:p>
      <w:pPr>
        <w:spacing w:after="0" w:line="21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of December 31, 2018, the S&amp;P long-term corporate rating was “B-”. On December 11, 2018, Moody’s affirmed the long-term corporate rating of “Caa1”. On July 25, 2018, Fitch affirmed the long-term issuer default rating of “B-” and withdrew all corporate ratings. It is possible that additional actions by credit rating agencies could have a material adverse impact on our liquidity and funding position, including materially changing the terms on which we may be able to borrow money.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NRZ agreements have a significant impact on our consolidated statements of cash flows. Because the lump-sum payments we received in connection with our 2017 and New RMSR Agreements are recorded as secured financings, additions to, and reductions in, the balance of those secured financings are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years ended December 31, 2018, 2017 and 2016 includes $136.7 million, $1.9 million and $0, respectively, of such cash flows and they were offset by corresponding amounts in net cash used in financing activities in the same periods. Similarly, in the third and fourth quarters of 2018, amounts of $33.8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92" w:right="23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million and $32.4 million, respectively, were reflected in cash flows from operating activities and they were offset by corresponding amounts in net cash used in financing activities in the same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2018</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operating activities provided $272.6 million of cash largely due to $258.9 million of net collections of servicing advances. Net cash paid on loans held for sale during the year was $90.1 million.</w:t>
      </w:r>
    </w:p>
    <w:p>
      <w:pPr>
        <w:spacing w:after="0" w:line="6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investing activities used $344.9 million of cash. The primary uses of cash in our investing activities include net cash outflows in connection with our HECM reverse mortgages of $520.0 million. Cash inflows include net cash of $64.7 million and restricted cash of $38.8 million acquired in connection with acquisition of PHH, net proceeds of $33.0 million on dealer financing notes issued by our automotive capital services business, which we decided to exit in January 2018, and the receipt of $41.1 million of net proceeds from the sale of MSRs and related advances.</w:t>
      </w:r>
    </w:p>
    <w:p>
      <w:pPr>
        <w:spacing w:after="0" w:line="6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financing activities provided $166.7 million of cash. Cash inflows include $948.9 million received in connection with our reverse mortgage securitizations, which are accounted for as secured financings, less repayments on the related financing liability of $392.0 million. In January 2018, Ocwen received a lump-sum payment of $279.6 million in accordance with the terms of the New RMSR Agreements. Cash outflows include $220.3 million of net repayments on match funded liabilities as a result of advance recoveries, $211.8 million of net payments on the financing liability related to MSRs pledged, $66.8 million of repayments on the SSTL and $18.5 million to repurchase senior notes. In addition, we reduced borrowings under our mortgage loan warehouse facilities by $100.1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2017</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operating activities provided $409.0 million of cash largely due to $330.1 million of net collections of servicing advances. Net cash paid on loans held for sale during the year was $33.1 million.</w:t>
      </w:r>
    </w:p>
    <w:p>
      <w:pPr>
        <w:spacing w:after="0" w:line="6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investing activities used $839.2 million of cash. The primary uses of cash in our investing activities include net cash outflows relating to our HECM reverse mortgages of $833.2 million, net cash outflows of $11.4 million relating to our automotive capital services business and additions to premises and equipment of $9.1 million. Cash inflows include the receipt of $13.7 million of net proceeds from the sale of MSRs and related advances.</w:t>
      </w:r>
    </w:p>
    <w:p>
      <w:pPr>
        <w:spacing w:after="0" w:line="5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financing activities provided $430.4 million of cash. Cash inflows include $1.3 billion received in connection with our reverse mortgage securitizations, less repayments on the related financing liability of $418.5 million. In 2017, we received $54.6 million of lump sum payments from NRZ following receipt of the required third-party consents and transfer of legal title to the MSRs underlying certain Rights to MSRs. Also, Ocwen sold to NRZ 6,075,510 shares of newly-issued Ocwen common stock in July 2017 for $13.9 million of proceeds. Cash outflows include $282.4 million of net repayments on match funded liabilities as a result of advance recoveries and $36.8 million of repayments on the SSTL. In addition, we reduced borrowings under our mortgage loan warehouse facilities by $95.1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2016</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operating activities provided $421.2 million of cash largely due to $452.4 million of net collections of servicing advances. Net cash paid on loans held for sale during the year was $120.6 million.</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investing activities used $791.6 million of cash. The primary uses of cash in our investing activities included net cash outflows related to our HECM reverse mortgages of $855.2 million, net cash outflows of $35.0 million relating to our automotive capital services business and additions to premises and equipment of $33.5 million. Additions to premises and equipment in 2016 were driven largely by investments in technology infrastructure as we have moved to reduce our dependence on third-party service providers. Cash inflows include the receipt of $150.1 million of net proceeds from the sale of MSRs and related advances.</w:t>
      </w:r>
    </w:p>
    <w:p>
      <w:pPr>
        <w:spacing w:after="0" w:line="8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financing activities provided $316.2 million of cash. Cash inflows included $1.1 billion received in connection with our reverse mortgage securitizations, less repayments on the related financing liability of $230.0 million. Cash outflows include $303.1 million of net repayments on match funded liabilities as a result of advance recoveries and $76.4 million of repayments on the SSTL. Cash outflows for the year also include the repurchase of 991,985 shares of common stock under our stock repurchase program for $5.9 million prior to its expiration on July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Our risk management framework seeks to mitigate risk and appropriately balance risk and return. We have established policies and procedures intended to identify, assess, monitor and manage the types of risk to which we are subject, including strategic, market, credit, liquidity and operational risks.</w:t>
      </w:r>
    </w:p>
    <w:p>
      <w:pPr>
        <w:spacing w:after="0" w:line="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Chief Risk and Compliance Officer is responsible for the design, implementation and oversight of our global risk management and compliance programs. Risks unique to our businesses are governed through various management processes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692" w:right="299" w:bottom="1440" w:gutter="0" w:footer="0" w:header="0"/>
        </w:sectPr>
      </w:pPr>
    </w:p>
    <w:bookmarkStart w:id="77" w:name="page78"/>
    <w:bookmarkEnd w:id="77"/>
    <w:p>
      <w:pPr>
        <w:ind w:right="320"/>
        <w:spacing w:after="0" w:line="279" w:lineRule="auto"/>
        <w:rPr>
          <w:sz w:val="20"/>
          <w:szCs w:val="20"/>
          <w:color w:val="auto"/>
        </w:rPr>
      </w:pPr>
      <w:r>
        <w:rPr>
          <w:rFonts w:ascii="Arial" w:cs="Arial" w:eastAsia="Arial" w:hAnsi="Arial"/>
          <w:sz w:val="17"/>
          <w:szCs w:val="17"/>
          <w:color w:val="auto"/>
        </w:rPr>
        <w:t>and governance committees to oversee risk and related control activities across the company and provide a framework for potential issues to be identified, assessed and remediated under the direction of senior executives from our business, finance, risk, compliance, internal audit and law departments, as applicable. Information is aggregated and reports on risk matters are made to the Board, its Risk and Compliance Committee or its other committees, as applicable, to enable the Board and its committees to fulfill its governance and oversight responsibilities.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w:t>
      </w:r>
    </w:p>
    <w:p>
      <w:pPr>
        <w:spacing w:after="0" w:line="229"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We are exposed to risk with respect to the strategic initiatives we need to undertake in order to return to growth and profitability. Strategic risk represents the risk to shareholder or enterprise value, current or future earnings, capital and liquidity from adverse business decisions and/or improper implementation of business strategies. Management is responsible for developing and implementing business strategies that leverage our core competencies and are appropriately structured, resourced and executed. Oversight for our strategic actions is provided by the Board of Directors. Our performance, relative to our business plans and our longer-term strategic plans, is reviewed by management and the Board of Directors.</w:t>
      </w:r>
    </w:p>
    <w:p>
      <w:pPr>
        <w:spacing w:after="0" w:line="173"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To achieve our near-term financial objectives, we believe we need to execute on the PHH integration to create value, reengineer our cost structure, establish funding for growth, replenish portfolio runoff and restore growth focus and fulfill our regulatory commitments and resolve remaining legacy matters. Our ability to achieve our objectives is highly dependent on the success of our business relationships with our significant customers and our ability to attract new customers, both of which are impacted by our capability to adequately address the competitive challenges we may face. There can be no assurance that we will be successful in executing on these initiatives. Further, there can be no assurance that even if we execute on these initiatives we will be able to return to profitability. In addition to successful operational execution of our key initiatives, our success will also depend on market conditions and other factors outside of our control. If we continue to experience losses, our share price, business, reputation, financial condition, liquidity and results of operations could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MSRs, loans held for sale, loans held for investment and interest rate lock commitments (IRLCs).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7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management level Credit and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16 — Derivative Financial Instruments and Hedging Activities to the Consolidated Financial Statements for additional information regarding our use of derivatives.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Prices</w:t>
      </w:r>
    </w:p>
    <w:p>
      <w:pPr>
        <w:spacing w:after="0" w:line="11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real estate owned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real estate owned within the FHA program guidelines. As our reverse mortgage portfolio seasons, and the volume MCA repurchases increases, our exposure to this risk will increase.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MSRs and MSR Financing Liabilities</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measurement method. MSRs are subject to interest rate risk as the mortgage loans underlying the MSRs permit borrowers to prepay their loans. The fair value of MSRs generally decreases in periods where interest rates are declining, as prepayments increase, and increase in periods where interest rates are increasing, as prepayments decrease.</w:t>
      </w:r>
    </w:p>
    <w:p>
      <w:pPr>
        <w:spacing w:after="0" w:line="80"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While the majority of our non-Agency MSRs have been sold to NRZ, these transactions did not qualify as sales and are accounted for as secured financings.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a component of interest expense on our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Loans Held for Investment and IRLCs</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our lending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 rate loan commitments. Our interest rate exposure is hedged with freestanding derivatives, including forward sales of agency “to be announced” securities (TBAs) and forward mortgage-backed securities (Forward MBS).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Investment and HMBS-related Borrowings</w:t>
      </w:r>
    </w:p>
    <w:p>
      <w:pPr>
        <w:spacing w:after="0" w:line="239" w:lineRule="exact"/>
        <w:rPr>
          <w:sz w:val="20"/>
          <w:szCs w:val="20"/>
          <w:color w:val="auto"/>
        </w:rPr>
      </w:pPr>
    </w:p>
    <w:p>
      <w:pPr>
        <w:ind w:right="40" w:firstLine="324"/>
        <w:spacing w:after="0" w:line="360" w:lineRule="auto"/>
        <w:rPr>
          <w:sz w:val="20"/>
          <w:szCs w:val="20"/>
          <w:color w:val="auto"/>
        </w:rPr>
      </w:pPr>
      <w:r>
        <w:rPr>
          <w:rFonts w:ascii="Arial" w:cs="Arial" w:eastAsia="Arial" w:hAnsi="Arial"/>
          <w:sz w:val="16"/>
          <w:szCs w:val="16"/>
          <w:color w:val="auto"/>
        </w:rPr>
        <w:t>In our reverse mortgage business, the fair value of our HECM loan portfolio, which is held for investment, decreases as market rates rise and increases as market rates fall. The primary contributors to the portfolio earnings are estimated securitization gains on future interest and mortgage insurance premium</w:t>
      </w:r>
    </w:p>
    <w:p>
      <w:pPr>
        <w:sectPr>
          <w:pgSz w:w="11900" w:h="16838" w:orient="portrait"/>
          <w:cols w:equalWidth="0" w:num="1">
            <w:col w:w="11420"/>
          </w:cols>
          <w:pgMar w:left="240" w:top="692" w:right="239" w:bottom="0" w:gutter="0" w:footer="0" w:header="0"/>
        </w:sectPr>
      </w:pPr>
    </w:p>
    <w:bookmarkStart w:id="78" w:name="page79"/>
    <w:bookmarkEnd w:id="78"/>
    <w:p>
      <w:pPr>
        <w:spacing w:after="0" w:line="274" w:lineRule="auto"/>
        <w:rPr>
          <w:sz w:val="20"/>
          <w:szCs w:val="20"/>
          <w:color w:val="auto"/>
        </w:rPr>
      </w:pPr>
      <w:r>
        <w:rPr>
          <w:rFonts w:ascii="Arial" w:cs="Arial" w:eastAsia="Arial" w:hAnsi="Arial"/>
          <w:sz w:val="18"/>
          <w:szCs w:val="18"/>
          <w:color w:val="auto"/>
        </w:rPr>
        <w:t>balance accruals, servicing fee income net of subservicing fees and losses, and repurchase funding requirements related to the 98% MCA liquidation. As our HECM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9"/>
          <w:szCs w:val="19"/>
          <w:color w:val="auto"/>
        </w:rPr>
        <w:t>.</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80"/>
          </w:cols>
          <w:pgMar w:left="240" w:top="139" w:right="379" w:bottom="1440" w:gutter="0" w:footer="0" w:header="0"/>
        </w:sectPr>
      </w:pPr>
    </w:p>
    <w:bookmarkStart w:id="79" w:name="page80"/>
    <w:bookmarkEnd w:id="79"/>
    <w:p>
      <w:pPr>
        <w:ind w:right="140" w:firstLine="324"/>
        <w:spacing w:after="0" w:line="342" w:lineRule="auto"/>
        <w:rPr>
          <w:sz w:val="20"/>
          <w:szCs w:val="20"/>
          <w:color w:val="auto"/>
        </w:rPr>
      </w:pPr>
      <w:r>
        <w:rPr>
          <w:rFonts w:ascii="Arial" w:cs="Arial" w:eastAsia="Arial" w:hAnsi="Arial"/>
          <w:sz w:val="16"/>
          <w:szCs w:val="16"/>
          <w:color w:val="auto"/>
        </w:rPr>
        <w:t>The asset value for securitized HECM loans, net of the corresponding HMBS-related liability for securitized loans is comprised of net servicing income on the existing securitized HECM portfolio which we currently do not hedge, but which acts as a partial hedge for our forward MSR value sensitivity.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monitor the effect of increases in interest rates on the interest paid on our variable rate advance financing debt. Earnings on cash and float balances are a partial offset to our exposure to changes in interest expense. Based on the extent to which the projected excess of our interest expense on variable rate debt exceeds interest income on our cash and float balances require, we would consider hedging this exposure with interest rate swaps or other derivative instruments. We may purchase interest rate caps as economic hedges (not designated as a hedge for accounting purposes) if required by our advance financing arrangements.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Loans Held for Investment and Related Derivatives</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following table summarizes the estimated change in the fair value of our MSRs, HECM loans held for investment and loans held for sale that we have elected to carry at fair value as well as any related derivatives at December 31, 2018 given hypothetical instantaneous parallel shifts in the yield curve. We used December 31, 2018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HECM Loans held for investment</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(2,950)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975</w:t>
            </w:r>
          </w:p>
        </w:tc>
      </w:tr>
      <w:tr>
        <w:trPr>
          <w:trHeight w:val="237"/>
        </w:trPr>
        <w:tc>
          <w:tcPr>
            <w:tcW w:w="7960" w:type="dxa"/>
            <w:vAlign w:val="bottom"/>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(2,948)</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6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 (1)</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8,078</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7960" w:type="dxa"/>
            <w:vAlign w:val="bottom"/>
          </w:tcPr>
          <w:p>
            <w:pPr>
              <w:ind w:left="280"/>
              <w:spacing w:after="0"/>
              <w:rPr>
                <w:sz w:val="20"/>
                <w:szCs w:val="20"/>
                <w:color w:val="auto"/>
              </w:rPr>
            </w:pPr>
            <w:r>
              <w:rPr>
                <w:rFonts w:ascii="Arial" w:cs="Arial" w:eastAsia="Arial" w:hAnsi="Arial"/>
                <w:sz w:val="18"/>
                <w:szCs w:val="18"/>
                <w:color w:val="auto"/>
              </w:rPr>
              <w:t>Total MSRs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8,106</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6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64"/>
        </w:trPr>
        <w:tc>
          <w:tcPr>
            <w:tcW w:w="7960" w:type="dxa"/>
            <w:vAlign w:val="bottom"/>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5,158</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120" w:hanging="492"/>
        <w:spacing w:after="0" w:line="261"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Primarily reflects the impact of market rate changes on projected prepayments on the Agency MSR portfolio and on advance funding costs on the non-Agency MSR portfolio carried at fair value. During the fourth quarter of 2018, the decline in market rates resulted in a full downward sensitivity and limited upward sensitivity. The addition of PHH also significantly increased sensitivity on the Agency MSR portfolio.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1-month LIBOR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December 31, 2018 balances, if interest rates were to increase by 1% on our variable rate debt and interest earning cash and float balances,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estimate a net positive impact of approximately $10.8 million resulting from an increase of $20.2 million in annual interest income and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$9.4 million in annual interest expense. The increase in interest expense reflects the effect of our hedging activities, which would offset $2.4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interest on our variable rate debt.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692"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2018 and 2017.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averages presented represent weighted averages.</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Expected Maturity Date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23495</wp:posOffset>
            </wp:positionV>
            <wp:extent cx="3850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266,235</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266,235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266,235</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2.31%</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2.31%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176,525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176,525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176,525</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7.33%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7.33%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8,858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56,943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66,097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66,097</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8.97%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5.51%</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4.89%</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investment</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575,744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510,835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546,782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614,592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691,203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2,559,563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5,498,719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5,472,199</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4.95%</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4.84%</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4.85%</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4.93%</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4.99%</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w w:val="95"/>
              </w:rPr>
              <w:t>Debt service accounts and interest-earning time deposits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27,569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27,964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27,964</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0.24%</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12.61%</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7.65%</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0.39%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rate-sensitive assets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1,054,931</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511,070</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546,966</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614,592</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691,475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2,616,506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6,035,540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6,009,020</w:t>
            </w:r>
          </w:p>
        </w:tc>
      </w:tr>
      <w:tr>
        <w:trPr>
          <w:trHeight w:val="225"/>
        </w:trPr>
        <w:tc>
          <w:tcPr>
            <w:tcW w:w="3320" w:type="dxa"/>
            <w:vAlign w:val="bottom"/>
            <w:tcBorders>
              <w:top w:val="single" w:sz="8" w:color="EAF9E8"/>
            </w:tcBorders>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17.48%</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8.47%</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9.06%</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10.18%</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11.46%</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43.35%</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628,284</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150,000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778,284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776,485</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3.57%</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3.81%</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3.61%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Senior notes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97,521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21,543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330,878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449,942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426,147</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7.38%</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6.38%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8.38%</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8.07%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SSTL and other borrowings (3) (4)</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172,463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214,750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387,213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383,162</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2.96%</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6.50%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5.49%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18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898,268</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364,750</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21,543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330,878</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1,615,439</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1,585,794</w:t>
            </w:r>
          </w:p>
        </w:tc>
      </w:tr>
      <w:tr>
        <w:trPr>
          <w:trHeight w:val="225"/>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55.61%</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22.58%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1.33%</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20.48%</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w w:val="94"/>
              </w:rPr>
              <w:t>Expected Maturity Date at December 31, 2018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70"/>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00" w:type="dxa"/>
            <w:vAlign w:val="bottom"/>
            <w:tcBorders>
              <w:top w:val="single" w:sz="8" w:color="auto"/>
            </w:tcBorders>
            <w:shd w:val="clear" w:color="auto" w:fill="EAF9E8"/>
          </w:tcPr>
          <w:p>
            <w:pPr>
              <w:spacing w:after="0"/>
              <w:rPr>
                <w:sz w:val="23"/>
                <w:szCs w:val="23"/>
                <w:color w:val="auto"/>
              </w:rPr>
            </w:pPr>
          </w:p>
        </w:tc>
        <w:tc>
          <w:tcPr>
            <w:tcW w:w="7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00" w:type="dxa"/>
            <w:vAlign w:val="bottom"/>
            <w:tcBorders>
              <w:top w:val="single" w:sz="8" w:color="auto"/>
            </w:tcBorders>
            <w:shd w:val="clear" w:color="auto" w:fill="EAF9E8"/>
          </w:tcPr>
          <w:p>
            <w:pPr>
              <w:spacing w:after="0"/>
              <w:rPr>
                <w:sz w:val="23"/>
                <w:szCs w:val="23"/>
                <w:color w:val="auto"/>
              </w:rPr>
            </w:pPr>
          </w:p>
        </w:tc>
        <w:tc>
          <w:tcPr>
            <w:tcW w:w="7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20" w:type="dxa"/>
            <w:vAlign w:val="bottom"/>
            <w:tcBorders>
              <w:top w:val="single" w:sz="8" w:color="auto"/>
            </w:tcBorders>
            <w:shd w:val="clear" w:color="auto" w:fill="EAF9E8"/>
          </w:tcPr>
          <w:p>
            <w:pPr>
              <w:spacing w:after="0"/>
              <w:rPr>
                <w:sz w:val="23"/>
                <w:szCs w:val="23"/>
                <w:color w:val="auto"/>
              </w:rPr>
            </w:pPr>
          </w:p>
        </w:tc>
        <w:tc>
          <w:tcPr>
            <w:tcW w:w="8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 (liabilities)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240,833</w:t>
            </w:r>
          </w:p>
        </w:tc>
        <w:tc>
          <w:tcPr>
            <w:tcW w:w="3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19,167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260,000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678</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1.98%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2.06%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165,363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165,363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(4,983)</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4.02%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4.02%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150,175</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150,175</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3,871</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derivatives, net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556,371</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19,167</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575,538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(434)</w:t>
            </w:r>
          </w:p>
        </w:tc>
      </w:tr>
      <w:tr>
        <w:trPr>
          <w:trHeight w:val="252"/>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(5)</w:t>
            </w:r>
          </w:p>
        </w:tc>
        <w:tc>
          <w:tcPr>
            <w:tcW w:w="18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2.50%</w:t>
            </w:r>
          </w:p>
        </w:tc>
        <w:tc>
          <w:tcPr>
            <w:tcW w:w="120" w:type="dxa"/>
            <w:vAlign w:val="bottom"/>
            <w:tcBorders>
              <w:top w:val="single" w:sz="8" w:color="EAF9E8"/>
            </w:tcBorders>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2.49%</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2.35%</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2.37%</w:t>
            </w:r>
          </w:p>
        </w:tc>
        <w:tc>
          <w:tcPr>
            <w:tcW w:w="120" w:type="dxa"/>
            <w:vAlign w:val="bottom"/>
            <w:tcBorders>
              <w:top w:val="single" w:sz="8" w:color="EAF9E8"/>
            </w:tcBorders>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2.44%</w:t>
            </w:r>
          </w:p>
        </w:tc>
        <w:tc>
          <w:tcPr>
            <w:tcW w:w="10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2.53%</w:t>
            </w:r>
          </w:p>
        </w:tc>
        <w:tc>
          <w:tcPr>
            <w:tcW w:w="10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spacing w:after="0"/>
              <w:rPr>
                <w:sz w:val="21"/>
                <w:szCs w:val="2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692" w:right="259" w:bottom="1440" w:gutter="0" w:footer="0" w:header="0"/>
        </w:sectPr>
      </w:pPr>
    </w:p>
    <w:bookmarkStart w:id="81" w:name="page82"/>
    <w:bookmarkEnd w:id="81"/>
    <w:p>
      <w:pPr>
        <w:ind w:left="4940"/>
        <w:spacing w:after="0"/>
        <w:rPr>
          <w:sz w:val="20"/>
          <w:szCs w:val="20"/>
          <w:color w:val="auto"/>
        </w:rPr>
      </w:pPr>
      <w:r>
        <w:rPr>
          <w:rFonts w:ascii="Arial" w:cs="Arial" w:eastAsia="Arial" w:hAnsi="Arial"/>
          <w:sz w:val="14"/>
          <w:szCs w:val="14"/>
          <w:b w:val="1"/>
          <w:bCs w:val="1"/>
          <w:color w:val="auto"/>
        </w:rPr>
        <w:t>Expected Maturity Date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23495</wp:posOffset>
            </wp:positionV>
            <wp:extent cx="3850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Interest-earning cash</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99,627</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99,627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99,627</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1.73%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1.73%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fair value</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214,262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214,262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214,262</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4.05%</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sale, at lower of cost or fair value (2)</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23,068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24,096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24,096</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15.24%</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5.64%</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3.69%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4.08%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4.43%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Loans held for investment</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340,231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401,232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445,182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524,383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628,859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2,375,944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4,715,831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4,715,831</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4.71%</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4.67%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4.86%</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4.95%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4.88%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4.29%</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w w:val="95"/>
              </w:rPr>
              <w:t>Debt service accounts and interest-earning time deposits</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38,039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38,465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38,465</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0.64%</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12.80%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8.01%</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7.96%</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0.39%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rate-sensitive assets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692,856</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401,520</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445,453</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524,545</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628,895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2,399,012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5,092,281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5,092,281</w:t>
            </w:r>
          </w:p>
        </w:tc>
      </w:tr>
      <w:tr>
        <w:trPr>
          <w:trHeight w:val="225"/>
        </w:trPr>
        <w:tc>
          <w:tcPr>
            <w:tcW w:w="3320" w:type="dxa"/>
            <w:vAlign w:val="bottom"/>
            <w:tcBorders>
              <w:top w:val="single" w:sz="8" w:color="EAF9E8"/>
            </w:tcBorders>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13.61%</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7.88%</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8.75%</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10.30%</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12.35%</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47.11%</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Match funded liabilities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739,036</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259,582</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998,618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992,698</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5.11%</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3.35%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Senior notes</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3,122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358,422</w:t>
            </w: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SSTL and other borrowings (3) (4)</w:t>
            </w: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272,532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16,750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264,751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554,033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555,523</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i w:val="1"/>
                <w:iCs w:val="1"/>
                <w:color w:val="auto"/>
              </w:rPr>
              <w:t>Average interest rate</w:t>
            </w: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0.37%</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6.00%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5.62%</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5.22%</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280"/>
              <w:spacing w:after="0"/>
              <w:rPr>
                <w:sz w:val="20"/>
                <w:szCs w:val="20"/>
                <w:color w:val="auto"/>
              </w:rPr>
            </w:pPr>
            <w:r>
              <w:rPr>
                <w:rFonts w:ascii="Arial" w:cs="Arial" w:eastAsia="Arial" w:hAnsi="Arial"/>
                <w:sz w:val="13"/>
                <w:szCs w:val="13"/>
                <w:color w:val="auto"/>
              </w:rPr>
              <w:t>Total rate-sensitive liabilities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1,011,568</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279,454</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264,751</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346,878</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1,902,651</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1,906,643</w:t>
            </w:r>
          </w:p>
        </w:tc>
      </w:tr>
      <w:tr>
        <w:trPr>
          <w:trHeight w:val="225"/>
        </w:trPr>
        <w:tc>
          <w:tcPr>
            <w:tcW w:w="3320" w:type="dxa"/>
            <w:vAlign w:val="bottom"/>
            <w:shd w:val="clear" w:color="auto" w:fill="EAF9E8"/>
          </w:tcPr>
          <w:p>
            <w:pPr>
              <w:ind w:left="280"/>
              <w:spacing w:after="0"/>
              <w:rPr>
                <w:sz w:val="20"/>
                <w:szCs w:val="20"/>
                <w:color w:val="auto"/>
              </w:rPr>
            </w:pPr>
            <w:r>
              <w:rPr>
                <w:rFonts w:ascii="Arial" w:cs="Arial" w:eastAsia="Arial" w:hAnsi="Arial"/>
                <w:sz w:val="13"/>
                <w:szCs w:val="13"/>
                <w:i w:val="1"/>
                <w:iCs w:val="1"/>
                <w:color w:val="auto"/>
              </w:rPr>
              <w:t>Percent of total</w:t>
            </w: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53.17%</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14.69%</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13.91%</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18.23%</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w w:val="94"/>
              </w:rPr>
              <w:t>Expected Maturity Date at December 31, 2017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 (liabilities)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134,167</w:t>
            </w:r>
          </w:p>
        </w:tc>
        <w:tc>
          <w:tcPr>
            <w:tcW w:w="320" w:type="dxa"/>
            <w:vAlign w:val="bottom"/>
            <w:gridSpan w:val="2"/>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240,833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375,000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2,056</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1.48%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1.47%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1.47%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240,823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240,823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(545)</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3.64%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96,339</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96,339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3,283</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derivatives, net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471,329</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240,833</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712,162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4,794</w:t>
            </w:r>
          </w:p>
        </w:tc>
      </w:tr>
      <w:tr>
        <w:trPr>
          <w:trHeight w:val="225"/>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(5)</w:t>
            </w: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1.77%</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2.14%</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2.22%</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2.22%</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2.29%</w:t>
            </w:r>
          </w:p>
        </w:tc>
        <w:tc>
          <w:tcPr>
            <w:tcW w:w="100" w:type="dxa"/>
            <w:vAlign w:val="bottom"/>
            <w:tcBorders>
              <w:top w:val="single" w:sz="8" w:color="EAF9E8"/>
            </w:tcBorders>
            <w:shd w:val="clear" w:color="auto" w:fill="EAF9E8"/>
          </w:tcPr>
          <w:p>
            <w:pPr>
              <w:spacing w:after="0"/>
              <w:rPr>
                <w:sz w:val="19"/>
                <w:szCs w:val="19"/>
                <w:color w:val="auto"/>
              </w:rPr>
            </w:pPr>
          </w:p>
        </w:tc>
        <w:tc>
          <w:tcPr>
            <w:tcW w:w="120" w:type="dxa"/>
            <w:vAlign w:val="bottom"/>
            <w:tcBorders>
              <w:top w:val="single" w:sz="8" w:color="auto"/>
            </w:tcBorders>
            <w:shd w:val="clear" w:color="auto" w:fill="EAF9E8"/>
          </w:tcPr>
          <w:p>
            <w:pPr>
              <w:spacing w:after="0"/>
              <w:rPr>
                <w:sz w:val="19"/>
                <w:szCs w:val="19"/>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2.49%</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spacing w:after="0"/>
              <w:rPr>
                <w:sz w:val="19"/>
                <w:szCs w:val="19"/>
                <w:color w:val="auto"/>
              </w:rPr>
            </w:pPr>
          </w:p>
        </w:tc>
        <w:tc>
          <w:tcPr>
            <w:tcW w:w="120" w:type="dxa"/>
            <w:vAlign w:val="bottom"/>
            <w:tcBorders>
              <w:top w:val="single" w:sz="8" w:color="EAF9E8"/>
            </w:tcBorders>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bl>
    <w:p>
      <w:pPr>
        <w:spacing w:after="0" w:line="98"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See Note 4 — Fair Value to the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5" w:lineRule="exact"/>
        <w:rPr>
          <w:rFonts w:ascii="Arial" w:cs="Arial" w:eastAsia="Arial" w:hAnsi="Arial"/>
          <w:sz w:val="16"/>
          <w:szCs w:val="16"/>
          <w:color w:val="auto"/>
        </w:rPr>
      </w:pPr>
    </w:p>
    <w:p>
      <w:pPr>
        <w:ind w:left="500" w:right="40" w:hanging="492"/>
        <w:spacing w:after="0" w:line="246"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Average 1-Month LIBOR for the periods indicated.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are exposed to liquidity risk through our ongoing needs to originate and finance mortgage loans, sell mortgage loans into secondary markets, retain MSRs, make and finance advances, fund and sell additional future draws by borrowers under variable rate HECM loans, meet our HMBS issuer obligations with respect to MCA repurchases, repay maturing debt, meet our contractual obligations and otherwise fund our operations. Liquidity is an essential component of our ability to operate and grow our business; therefore, it is crucial that we maintain adequate levels of excess liquidity to fund our businesses during normal economic cycles and events of market stress.</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estimate how our liquidity needs may be impacted by a number of factors, including fluctuations in asset and liability levels due to our business strategy, changes in our business operations, levels of interest rates and unanticipated events, including legal and regulatory expenses. We also assess market conditions and capacity for debt issuance in the various markets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806" w:right="259" w:bottom="1440" w:gutter="0" w:footer="0" w:header="0"/>
        </w:sectPr>
      </w:pPr>
    </w:p>
    <w:bookmarkStart w:id="82" w:name="page83"/>
    <w:bookmarkEnd w:id="82"/>
    <w:p>
      <w:pPr>
        <w:ind w:right="80"/>
        <w:spacing w:after="0" w:line="277" w:lineRule="auto"/>
        <w:rPr>
          <w:sz w:val="20"/>
          <w:szCs w:val="20"/>
          <w:color w:val="auto"/>
        </w:rPr>
      </w:pPr>
      <w:r>
        <w:rPr>
          <w:rFonts w:ascii="Arial" w:cs="Arial" w:eastAsia="Arial" w:hAnsi="Arial"/>
          <w:sz w:val="18"/>
          <w:szCs w:val="18"/>
          <w:color w:val="auto"/>
        </w:rPr>
        <w:t>that we access to fund our business needs. We have established internal processes to anticipate future cash needs and continuously monitor the availability of funds pursuant to our existing debt arrangements.</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Establishing funding for growth is a key initiative to achieving our objective of returning to growth and profitability. We regularly evaluate capital structure options that we believe will most effectively provide the necessary capacity to invest in growth, address upcoming debt maturities and accommodate our business needs. Our objective is to maximize the total investment capacity for each dollar of cash invested through diversification of our funding sources and alternatives to optimize cost, advance rates and terms. Historical losses have significantly eroded our stockholder’s equity and weakened our financial condition. To the extent we are not successful in achieving our near-term objective of returning to profitability, funding continuing losses will crowd out opportunities to grow our business.</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address liquidity risk by maintaining borrowing capacity in excess of our expected needs and by extending the tenor of our financing arrangements. For example, to fund additional advance obligations, we have typically “upsized” existing advance facilities or entered into new advance facilities in anticipation of the funding obligation and then pledged additional advances to support the borrowing. In general, we finance our operations through operating cash flow, advance financing facilities and other secured borrowings.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3"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risk,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risk,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third-party risk,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technology risk, as we operate many information systems that depend on proper functioning of hardware and software;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w:t>
      </w:r>
    </w:p>
    <w:p>
      <w:pPr>
        <w:spacing w:after="0" w:line="103"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To manage operational risk, we have a dedicated team of operational risk managers that oversees these risks daily, assisted by the third-party risk management and information security departments. Senior executives in our risk department oversee the establishment of policies and control frameworks that are designed, executed and administered to provide a sound and well-controlled operational environment. We mandate training for our employees in respect to these policies, require business line change control oversight and process, and we conduct operating reviews on a regular basis. Risk issues identified are tracked in our Governance, Risk and Compliance (GRC) system. Remediation and assurance testing are also tracked in our GRC system. We also have several channels for employees to report operational and/or technological issues affecting their operations to management, the operational risk or compliance teams or the Board.</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seek to embed a culture of compliance and business line responsibility for managing operational and compliance risks in our enterprise-wide approach toward risk management.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187" w:lineRule="exact"/>
        <w:rPr>
          <w:sz w:val="20"/>
          <w:szCs w:val="20"/>
          <w:color w:val="auto"/>
        </w:rPr>
      </w:pPr>
    </w:p>
    <w:p>
      <w:pPr>
        <w:jc w:val="both"/>
        <w:ind w:right="580" w:firstLine="324"/>
        <w:spacing w:after="0" w:line="286" w:lineRule="auto"/>
        <w:rPr>
          <w:sz w:val="20"/>
          <w:szCs w:val="20"/>
          <w:color w:val="auto"/>
        </w:rPr>
      </w:pPr>
      <w:r>
        <w:rPr>
          <w:rFonts w:ascii="Arial" w:cs="Arial" w:eastAsia="Arial" w:hAnsi="Arial"/>
          <w:sz w:val="17"/>
          <w:szCs w:val="17"/>
          <w:color w:val="auto"/>
        </w:rPr>
        <w:t>The first line of defense comprises predominantly business line management who are accountable and responsible for their day-to-day activities, processes and controls. The first line of defense is responsible for ensuring that key risks within their activities and operations are identified, assessed, mitigated and monitored by an appropriate control environment that is commensurate with the operations risk profile.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second line of defense comprises predominantly the corporate functions, such as Risk and Compliance, which are responsible for:</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assurance, oversight, and challenge over the effectiveness of the risk and control activities conducted by the first line;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monitoring risk levels, through key indicators and oversight/assurance programs.</w:t>
      </w:r>
    </w:p>
    <w:p>
      <w:pPr>
        <w:spacing w:after="0" w:line="21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w:t>
      </w:r>
    </w:p>
    <w:p>
      <w:pPr>
        <w:spacing w:after="0" w:line="14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All business units and overhead functions are subject to unrestricted audits by our internal audit department. Internal audit is granted unrestricted access to our records, physical properties, systems, management and employees in order to perform</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692" w:right="259" w:bottom="1440" w:gutter="0" w:footer="0" w:header="0"/>
        </w:sectPr>
      </w:pPr>
    </w:p>
    <w:bookmarkStart w:id="83" w:name="page84"/>
    <w:bookmarkEnd w:id="83"/>
    <w:p>
      <w:pPr>
        <w:ind w:right="460"/>
        <w:spacing w:after="0" w:line="277" w:lineRule="auto"/>
        <w:rPr>
          <w:sz w:val="20"/>
          <w:szCs w:val="20"/>
          <w:color w:val="auto"/>
        </w:rPr>
      </w:pPr>
      <w:r>
        <w:rPr>
          <w:rFonts w:ascii="Arial" w:cs="Arial" w:eastAsia="Arial" w:hAnsi="Arial"/>
          <w:sz w:val="18"/>
          <w:szCs w:val="18"/>
          <w:color w:val="auto"/>
        </w:rPr>
        <w:t>these audits. The internal audit department reports to the Audit Committee of the Board and assists the Audit Committee in fulfilling its governance and oversight responsibility.</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annual risk and control self-assessment (RCSA) programs in which we map company-wide business processes to identify risks and related controls in each process. Controls are tested for efficiency and efficacy and improved, if necessary. We monitor these risks and controls through risk coverage teams and quality assurance metrics.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Compliance risk is managed through an enterprise-wide compliance risk management program designed to monitor, detect and deter compliance issues. Our compliance and risk management policies assign primary responsibility and accountability for the management of compliance risk in the lines of business to business line management.</w:t>
      </w:r>
    </w:p>
    <w:p>
      <w:pPr>
        <w:spacing w:after="0" w:line="7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Information Security Risk oversight is performed by our Chief Information Security Officer. Ocwen’s information security plans are developed to meet or exceed Federal Financial Institutions Examination Council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credit-related risks inherent in maintaining a mortgage loan portfolio as an investment tend to impact us less than a typical long-term investor because we generally sell the mortgage loans that we originate in the secondary market shortly after origination through GSE and Ginnie Mae guaranteed securitizations and whole loan transactions. We are exposed to early payment defaults from the time that we originate a loan to the time that the loan is sold in the secondary market or shortly thereafter. Early payment defaults are monitored and loans are audited by our quality assurance teams for origination defects. Our exposure to early payment defaults remains very limited and we do not anticipate material losses from this exposure.</w:t>
      </w:r>
    </w:p>
    <w:p>
      <w:pPr>
        <w:spacing w:after="0" w:line="6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advances for delinquent principal and interest, taxes and insurance, foreclosure costs and the upkeep of vacant property in foreclosure. Interest expense on advances and higher operating expenses decrease the value of our servicing portfolio. We track the credit risk profile of our servicing portfolio, including the recoverability of advances, with a view to ensuring that changes in portfolio credit risk are identified on a timely basis.</w:t>
      </w:r>
    </w:p>
    <w:p>
      <w:pPr>
        <w:spacing w:after="0" w:line="173"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We have loan repurchase and indemnification obligations arising from potential breaches of the representation and warranty provisions in connection with loans we sell in the secondary market. In the event of a breach of these representations and warranties, we may be required to repurchase a mortgage loan or indemnify the purchaser, and we may bear any subsequent loss on the mortgage loan.</w:t>
      </w:r>
    </w:p>
    <w:p>
      <w:pPr>
        <w:spacing w:after="0" w:line="7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endeavor to minimize our losses from loan repurchases and indemnifications by focusing on originating high quality mortgage loans and closely monitoring investor and agency eligibility requirements for loan sales. Our quality assurance teams perform independent audits related to the processing and underwriting of mortgage loans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Counterparty credit risk represents the potential loss that may occur because a party to a transaction fails to perform according to the terms of the contract. We regularly evaluate the financial position and creditworthiness of our counterparties and disperse risk among multiple counterparties to the extent possible. We manage derivative counterparty credit risk by entering into financial instrument transactions through national exchanges, primary dealers or approved counterparties and using mutual margining agreements whenever possible to limit potential exposure.</w:t>
      </w:r>
    </w:p>
    <w:p>
      <w:pPr>
        <w:spacing w:after="0" w:line="6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NRZ is contractually obligated, pursuant to our agreements with them related to the Rights to MSRs, to make all advances required in connection with the loans underlying such MSRs. If NRZ’s advance financing facilities do not perform as envisaged or should NRZ otherwise be unable to meets its advance financing obligations, we would be required to meet our advance financing obligations with respect to the loans underlying these Rights to MSRs, which could materially and adversely affect our liquidity, financial condition and servicing operations.</w:t>
      </w:r>
    </w:p>
    <w:p>
      <w:pPr>
        <w:spacing w:after="0" w:line="187"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Counterparty credit risk exists with our third-party originators from whom we purchase originated mortgage loans. The third-party originators make certain representations and warranties to us when we acquire the mortgage loan from them, and they agree to reimburse us for losses incurred due to an origination defect. We become exposed to losses for origination defects if the third-party originator is not able to reimburse us for losses incurred for indemnification or repurchase. We mitigate this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92" w:right="239" w:bottom="1440" w:gutter="0" w:footer="0" w:header="0"/>
        </w:sectPr>
      </w:pPr>
    </w:p>
    <w:bookmarkStart w:id="84" w:name="page85"/>
    <w:bookmarkEnd w:id="84"/>
    <w:p>
      <w:pPr>
        <w:ind w:right="100"/>
        <w:spacing w:after="0" w:line="277" w:lineRule="auto"/>
        <w:rPr>
          <w:sz w:val="20"/>
          <w:szCs w:val="20"/>
          <w:color w:val="auto"/>
        </w:rPr>
      </w:pPr>
      <w:r>
        <w:rPr>
          <w:rFonts w:ascii="Arial" w:cs="Arial" w:eastAsia="Arial" w:hAnsi="Arial"/>
          <w:sz w:val="18"/>
          <w:szCs w:val="18"/>
          <w:color w:val="auto"/>
        </w:rPr>
        <w:t>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Risk</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Servicing segment has exposure to concentration risk and client retention risk. As of December 31, 2018, our servicing portfolio included significant client relationships with NRZ which represented 51% and 61% of our servicing portfolio UPB and loan count, respectively. The term of our agreements with NRZ extend through June 2020 (PHH agreements) and July 2022 (Ocwen agreements); however, NRZ has the right to transfer, without cause, 25% of the PHH units beginning in June 2018, and an additional 25% of the units beginning in June 2019. The termination of servicing agreements, or other significant reductions to our servicing portfolio, could adversely affect our business, financial condition and results of operations.</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Market conditions, including interest rates and future economic projections, could impact investor demand to hold MSRs, which may result in our loss of additional subservicing relationships, or significantly decrease the number of loans under such relationships.</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New York, Florida, New Jersey and Texas, which, taken together, comprise 39% of the number of loans serviced at December 31, 2018. California has the largest concentration with 13% of the total loans serviced.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692" w:right="279" w:bottom="1440" w:gutter="0" w:footer="0" w:header="0"/>
        </w:sectPr>
      </w:pPr>
    </w:p>
    <w:bookmarkStart w:id="85" w:name="page86"/>
    <w:bookmarkEnd w:id="85"/>
    <w:p>
      <w:pPr>
        <w:ind w:right="4660"/>
        <w:spacing w:after="0" w:line="378" w:lineRule="auto"/>
        <w:rPr>
          <w:sz w:val="20"/>
          <w:szCs w:val="20"/>
          <w:color w:val="auto"/>
        </w:rPr>
      </w:pPr>
      <w:r>
        <w:rPr>
          <w:rFonts w:ascii="Arial" w:cs="Arial" w:eastAsia="Arial" w:hAnsi="Arial"/>
          <w:sz w:val="18"/>
          <w:szCs w:val="18"/>
          <w:b w:val="1"/>
          <w:bCs w:val="1"/>
          <w:color w:val="auto"/>
        </w:rPr>
        <w:t>CONTRACTUAL OBLIGATIONS AND OFF-BALANCE SHEET ARRANGEMENTS Contractual Obligations</w:t>
      </w:r>
    </w:p>
    <w:p>
      <w:pPr>
        <w:ind w:right="220" w:firstLine="324"/>
        <w:spacing w:after="0" w:line="34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The following table sets forth certain information regarding amounts we owe to others under contractual obligations as of December 31, 2018: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secured term loan (1)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214,750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231,500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notes (1)</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97,521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330,878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449,942</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50,888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72,084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24,247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147,219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145,193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145,193</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1,426,814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1,426,814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64,450</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1,753,788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338,466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371,455</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2,465,118</w:t>
            </w:r>
          </w:p>
        </w:tc>
      </w:tr>
      <w:tr>
        <w:trPr>
          <w:trHeight w:val="20"/>
        </w:trPr>
        <w:tc>
          <w:tcPr>
            <w:tcW w:w="4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60" w:hanging="492"/>
        <w:spacing w:after="0" w:line="250"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are exclusive of any related discount, unamortized debt issuance costs or fair value adjustment. Excludes match funded liabilities and borrowings under mortgage loan warehouse facilities as these represent debt where the holders only have recourse to the assets that collateralize the debt and such assets are not available to satisfy general claims against Ocwen. Also excludes financing liabilities that result from sales of assets that do not qualify as sales for accounting purposes and, therefore, are accounted for as secured financings. See Note 13 — Borrowings to the Consolidated Financial Statements for additional information related to these excluded borrowings.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estimated future interest payments on senior notes and the SSTL, based on applicable interest rates as of December 31, 2018.</w:t>
      </w:r>
    </w:p>
    <w:p>
      <w:pPr>
        <w:spacing w:after="0" w:line="5" w:lineRule="exact"/>
        <w:rPr>
          <w:rFonts w:ascii="Arial" w:cs="Arial" w:eastAsia="Arial" w:hAnsi="Arial"/>
          <w:sz w:val="16"/>
          <w:szCs w:val="16"/>
          <w:color w:val="auto"/>
        </w:rPr>
      </w:pPr>
    </w:p>
    <w:p>
      <w:pPr>
        <w:ind w:left="500" w:right="100" w:hanging="492"/>
        <w:spacing w:after="0" w:line="257"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additional equity draw obligations in connection with reverse mortgage loans originated or purchased by Liberty. Because these draws can be made in their entirety, we have classified them as due in less than one year at December 31, 2018.</w:t>
      </w:r>
    </w:p>
    <w:p>
      <w:pPr>
        <w:spacing w:after="0" w:line="7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As of December 31, 2018, we had gross unrecognized tax benefits of $9.6 million and an additional $4.1 million for gross interest and penalties classified as liabilities. At this time, we are unable to make a reasonably reliable estimate of the timing of payments in individual years in connection with these tax liabilities, including whether or not these tax liabilities will be paid; therefore, such amounts are not included in the above contractual obligation table.</w:t>
      </w:r>
    </w:p>
    <w:p>
      <w:pPr>
        <w:spacing w:after="0" w:line="3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special purpose entities (SPEs) (a type of variable interest entity or VIE) and notional amounts of our derivatives. We have also entered into non-cancelable operating leases principally for our office facilities.</w:t>
      </w:r>
    </w:p>
    <w:p>
      <w:pPr>
        <w:spacing w:after="0" w:line="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 xml:space="preserve">Mortgage Loan Repurchase and Indemnification Liabilities. </w:t>
      </w:r>
      <w:r>
        <w:rPr>
          <w:rFonts w:ascii="Arial" w:cs="Arial" w:eastAsia="Arial" w:hAnsi="Arial"/>
          <w:sz w:val="16"/>
          <w:szCs w:val="16"/>
          <w:color w:val="auto"/>
        </w:rPr>
        <w:t>We have exposure to representation, warranty and indemnification obligations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3 — Securitizations and Variable Interest Entities, Note 14 — Other Liabilities and Note 25 — Contingencies to the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88" w:right="239" w:bottom="1440" w:gutter="0" w:footer="0" w:header="0"/>
        </w:sectPr>
      </w:pPr>
    </w:p>
    <w:bookmarkStart w:id="86" w:name="page87"/>
    <w:bookmarkEnd w:id="86"/>
    <w:p>
      <w:pPr>
        <w:ind w:right="340" w:firstLine="324"/>
        <w:spacing w:after="0" w:line="286" w:lineRule="auto"/>
        <w:rPr>
          <w:sz w:val="20"/>
          <w:szCs w:val="20"/>
          <w:color w:val="auto"/>
        </w:rPr>
      </w:pPr>
      <w:r>
        <w:rPr>
          <w:rFonts w:ascii="Arial" w:cs="Arial" w:eastAsia="Arial" w:hAnsi="Arial"/>
          <w:sz w:val="17"/>
          <w:szCs w:val="17"/>
          <w:i w:val="1"/>
          <w:iCs w:val="1"/>
          <w:color w:val="auto"/>
        </w:rPr>
        <w:t>Involvement with VIEs</w:t>
      </w:r>
      <w:r>
        <w:rPr>
          <w:rFonts w:ascii="Arial" w:cs="Arial" w:eastAsia="Arial" w:hAnsi="Arial"/>
          <w:sz w:val="17"/>
          <w:szCs w:val="17"/>
          <w:color w:val="auto"/>
        </w:rPr>
        <w:t>. We use SPEs and VIEs for a variety of purposes but principally in the financing of our servicing advances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securitization of mortgage loans. We include VIEs in our consolidated financial statements if we determine we are the primary beneficiary. See Note 3 — Securitizations and Variable Interest Entities to the Consolidated Financial Statements for additional information.</w:t>
      </w:r>
    </w:p>
    <w:p>
      <w:pPr>
        <w:spacing w:after="0" w:line="5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16 — Derivative Financial Instruments and Hedging Activities to the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described in Note 1 — Organization, Business Environment, Basis of Presentation and Significant Accounting Policies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4 — Fair Value to the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692" w:right="259" w:bottom="1440" w:gutter="0" w:footer="0" w:header="0"/>
        </w:sectPr>
      </w:pPr>
    </w:p>
    <w:bookmarkStart w:id="87" w:name="page88"/>
    <w:bookmarkEnd w:id="87"/>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242,622</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238,358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5,498,719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9"/>
              </w:rPr>
              <w:t>4,715,831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MSRs - recurring basis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1,457,149</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671,962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MSRs - nonrecurring basis, net (1)</w:t>
            </w:r>
          </w:p>
        </w:tc>
        <w:tc>
          <w:tcPr>
            <w:tcW w:w="3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133,227</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5,429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1,592</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U.S. Treasury notes and corporate bonds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1,880</w:t>
            </w:r>
          </w:p>
        </w:tc>
      </w:tr>
      <w:tr>
        <w:trPr>
          <w:trHeight w:val="297"/>
        </w:trPr>
        <w:tc>
          <w:tcPr>
            <w:tcW w:w="81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Assets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7,206,058</w:t>
            </w:r>
          </w:p>
        </w:tc>
        <w:tc>
          <w:tcPr>
            <w:tcW w:w="100" w:type="dxa"/>
            <w:vAlign w:val="bottom"/>
            <w:tcBorders>
              <w:bottom w:val="single" w:sz="8" w:color="EAF9E8"/>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5,768,279</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HMBS-related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5,380,448</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4,601,556</w:t>
            </w:r>
          </w:p>
        </w:tc>
      </w:tr>
      <w:tr>
        <w:trPr>
          <w:trHeight w:val="243"/>
        </w:trPr>
        <w:tc>
          <w:tcPr>
            <w:tcW w:w="8180" w:type="dxa"/>
            <w:vAlign w:val="bottom"/>
          </w:tcPr>
          <w:p>
            <w:pPr>
              <w:ind w:left="160"/>
              <w:spacing w:after="0"/>
              <w:rPr>
                <w:sz w:val="20"/>
                <w:szCs w:val="20"/>
                <w:color w:val="auto"/>
              </w:rPr>
            </w:pPr>
            <w:r>
              <w:rPr>
                <w:rFonts w:ascii="Arial" w:cs="Arial" w:eastAsia="Arial" w:hAnsi="Arial"/>
                <w:sz w:val="18"/>
                <w:szCs w:val="18"/>
                <w:color w:val="auto"/>
              </w:rPr>
              <w:t>Financing liability - MSRs pledged</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1,032,856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508,291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Financing liability - Owed to securitization investors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8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6,438,119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5,109,847</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liabilities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635</w:t>
            </w:r>
          </w:p>
        </w:tc>
      </w:tr>
      <w:tr>
        <w:trPr>
          <w:trHeight w:val="297"/>
        </w:trPr>
        <w:tc>
          <w:tcPr>
            <w:tcW w:w="818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6,443,105</w:t>
            </w:r>
          </w:p>
        </w:tc>
        <w:tc>
          <w:tcPr>
            <w:tcW w:w="100" w:type="dxa"/>
            <w:vAlign w:val="bottom"/>
            <w:tcBorders>
              <w:bottom w:val="single" w:sz="8" w:color="EAF9E8"/>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5,110,482</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8180" w:type="dxa"/>
            <w:vAlign w:val="bottom"/>
            <w:tcBorders>
              <w:bottom w:val="single" w:sz="8" w:color="EAF9E8"/>
            </w:tcBorders>
          </w:tcPr>
          <w:p>
            <w:pPr>
              <w:ind w:left="2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7,024,145</w:t>
            </w:r>
          </w:p>
        </w:tc>
        <w:tc>
          <w:tcPr>
            <w:tcW w:w="100" w:type="dxa"/>
            <w:vAlign w:val="bottom"/>
            <w:tcBorders>
              <w:bottom w:val="single" w:sz="8" w:color="EAF9E8"/>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5,548,764</w:t>
            </w:r>
          </w:p>
        </w:tc>
      </w:tr>
      <w:tr>
        <w:trPr>
          <w:trHeight w:val="23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8180" w:type="dxa"/>
            <w:vAlign w:val="bottom"/>
            <w:tcBorders>
              <w:bottom w:val="single" w:sz="8" w:color="EAF9E8"/>
            </w:tcBorders>
          </w:tcPr>
          <w:p>
            <w:pPr>
              <w:ind w:left="2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6,438,119</w:t>
            </w:r>
          </w:p>
        </w:tc>
        <w:tc>
          <w:tcPr>
            <w:tcW w:w="100" w:type="dxa"/>
            <w:vAlign w:val="bottom"/>
            <w:tcBorders>
              <w:bottom w:val="single" w:sz="8" w:color="EAF9E8"/>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5,109,847</w:t>
            </w:r>
          </w:p>
        </w:tc>
      </w:tr>
      <w:tr>
        <w:trPr>
          <w:trHeight w:val="230"/>
        </w:trPr>
        <w:tc>
          <w:tcPr>
            <w:tcW w:w="8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shd w:val="clear" w:color="auto" w:fill="EAF9E8"/>
          </w:tcPr>
          <w:p>
            <w:pPr>
              <w:spacing w:after="0"/>
              <w:rPr>
                <w:sz w:val="20"/>
                <w:szCs w:val="20"/>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0"/>
                <w:szCs w:val="20"/>
                <w:color w:val="auto"/>
              </w:rPr>
            </w:pPr>
          </w:p>
        </w:tc>
        <w:tc>
          <w:tcPr>
            <w:tcW w:w="540" w:type="dxa"/>
            <w:vAlign w:val="bottom"/>
            <w:shd w:val="clear" w:color="auto" w:fill="EAF9E8"/>
          </w:tcPr>
          <w:p>
            <w:pPr>
              <w:spacing w:after="0"/>
              <w:rPr>
                <w:sz w:val="20"/>
                <w:szCs w:val="20"/>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1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5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100" w:hanging="492"/>
        <w:spacing w:after="0" w:line="275"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balance represents our impaired government-insured stratum of MSRs previously accounted for using the amortization method, which were measured at fair value on a nonrecurring basis. The carrying value of this stratum is net of a valuation allowance of $24.8 million at December 31, 2017.</w:t>
      </w:r>
    </w:p>
    <w:p>
      <w:pPr>
        <w:spacing w:after="0" w:line="6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Assets at fair value using Level 3 inputs increased during 2018 primarily due to reverse mortgage originations, the fair value election on our remaining portfolio of amortization method MSRs and the MSRs acquired in our acquisition of PHH. Liabilities at fair value using Level 3 inputs increased primarily in connection with reverse mortgage securitizations, which we account for as secured financings, and a liability for sales of MSRs that are accounted for as a secured borrowing which we assumed in connection with the acquisition of PHH.</w:t>
      </w:r>
    </w:p>
    <w:p>
      <w:pPr>
        <w:spacing w:after="0" w:line="7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7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MSRs are assets that represent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elect to account for MSRs using either the amortization method or the fair value measurement method. For MSRs accounted for using the amortization measurement method, we assess servicing assets or liabilities for impairment or increased obligation based on fair value on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92" w:right="239" w:bottom="1440" w:gutter="0" w:footer="0" w:header="0"/>
        </w:sectPr>
      </w:pPr>
    </w:p>
    <w:bookmarkStart w:id="88" w:name="page89"/>
    <w:bookmarkEnd w:id="88"/>
    <w:p>
      <w:pPr>
        <w:ind w:right="240"/>
        <w:spacing w:after="0" w:line="286" w:lineRule="auto"/>
        <w:rPr>
          <w:sz w:val="20"/>
          <w:szCs w:val="20"/>
          <w:color w:val="auto"/>
        </w:rPr>
      </w:pPr>
      <w:r>
        <w:rPr>
          <w:rFonts w:ascii="Arial" w:cs="Arial" w:eastAsia="Arial" w:hAnsi="Arial"/>
          <w:sz w:val="17"/>
          <w:szCs w:val="17"/>
          <w:color w:val="auto"/>
        </w:rPr>
        <w:t>quarterly basis. We group our MSRs by stratum for impairment testing based on the predominant risk characteristics of the underlying mortgage loans. Historically, our strata had been defined as conventional loans (i.e. conforming to the underwriting standards of Fannie Mae or Freddie Mac), government-insured loans (insured by FHA or VA) and non-Agency loans (i.e. all private label primary and master serviced).</w:t>
      </w:r>
    </w:p>
    <w:p>
      <w:pPr>
        <w:spacing w:after="0" w:line="30"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value measurement method.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The government-insured MSRs were impaired by $24.8 million at December 31, 2017; therefore, these MSRs are already effectively carried at fair value. At December 31, 2017, the UPB and net carrying value of Agency MSRs for which the fair value election was made was $40.9 billion and $336.9 million, respectively. At December 31, 2017, the UPB and net carrying value of government-insured MSRs for which the fair value election was made was $16.9 billion and $133.2 million, respectively.</w:t>
      </w:r>
    </w:p>
    <w:p>
      <w:pPr>
        <w:spacing w:after="0" w:line="1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 The key assumptions used in the valuation of these MSRs include prepayment speeds, loan delinquency, cost to service and discount rates.</w:t>
      </w:r>
    </w:p>
    <w:p>
      <w:pPr>
        <w:spacing w:after="0" w:line="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provides the range of key assumptions and weighted average (expressed as a percentage of UPB) by class projected for the five-year period beginning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Conventional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Government-Insured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Non-Agency</w:t>
            </w:r>
          </w:p>
        </w:tc>
      </w:tr>
      <w:tr>
        <w:trPr>
          <w:trHeight w:val="27"/>
        </w:trPr>
        <w:tc>
          <w:tcPr>
            <w:tcW w:w="606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6.2% to 11.5%</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7.9% to 15.5%</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12.4% to 20.6%</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8.9%</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11.2%</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1"/>
              </w:rPr>
              <w:t>3.6% to 4.1%</w:t>
            </w:r>
          </w:p>
        </w:tc>
        <w:tc>
          <w:tcPr>
            <w:tcW w:w="18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14.9% to 16.9%</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19.7% to 25.6%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3.9%</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23.4%</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17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Range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$77 to $78</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$131 to $139</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$169 to $264</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$77</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$134</w:t>
            </w:r>
          </w:p>
        </w:tc>
        <w:tc>
          <w:tcPr>
            <w:tcW w:w="10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$230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9.1%</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9.2%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12.5%</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00" w:hanging="328"/>
        <w:spacing w:after="0" w:line="271"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692" w:right="259" w:bottom="1440" w:gutter="0" w:footer="0" w:header="0"/>
        </w:sectPr>
      </w:pPr>
    </w:p>
    <w:bookmarkStart w:id="89" w:name="page90"/>
    <w:bookmarkEnd w:id="89"/>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Government-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Conventional</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Insured</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Non-Agency</w:t>
            </w:r>
          </w:p>
        </w:tc>
      </w:tr>
      <w:tr>
        <w:trPr>
          <w:trHeight w:val="27"/>
        </w:trPr>
        <w:tc>
          <w:tcPr>
            <w:tcW w:w="67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(49,300)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(64,526)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(67,291)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1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(73,596)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(35,110)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Servicing Advances and Receivables</w:t>
      </w:r>
    </w:p>
    <w:p>
      <w:pPr>
        <w:spacing w:after="0" w:line="10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record an allowance for losses on servicing advances through a charge to earnings to the extent that we believe that a portion of advances are uncollectible under the provisions of each servicing contract taking into consideration, among other factors, our historical collection rates, probability of cure or modification, length of delinquency and the amount of the advance. We continually assess collectibility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December 31, 2018, the allowance for losses on servicing advances was $23.3 million.</w:t>
      </w:r>
    </w:p>
    <w:p>
      <w:pPr>
        <w:spacing w:after="0" w:line="2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record an allowance for losses on receivables in our Servicing business related to defaulted FHA or VA insured loans repurchased from Ginnie Mae guaranteed securitizations (government-insured loan claims). This allowance represents management’s estimate of incurred losses and is maintained at a level that management considers adequate based upon continuing assessments of collectibility, current trends, and historical loss experience. At December 31, 2018, the allowance for losses on receivables related to government-insured claims was $52.5 million.</w:t>
      </w:r>
    </w:p>
    <w:p>
      <w:pPr>
        <w:spacing w:after="0" w:line="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Determining an allowance for losses involves degrees of judgment and assumptions that, given similar information at any given point, may result in a different but reasonable estimate.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 xml:space="preserve">In December 2017, the Securities and Exchange Commission Staff issued Staff Accounting Bulletin (SAB) 118 (as further clarified by Financial Accounting Standards Board (FASB) Accounting Standards Update (ASU) 2018-05, Income Taxes (Topic 740): “Amendments to SEC Paragraphs Pursuant to SEC Staff Accounting Bulletin No. 118”), which provides guidance on accounting for the income tax effects of the Tax Act. SAB 118 provides a measurement period that should not extend beyond one year from the Tax Act enactment date of December 22, 2017 for companies to complete the accounting under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We finalized our provisional amounts under SAB 118 in the fourth quarter of 2018. See Note 19 — Income Taxes to the Consolidated Financial Statements for additional information on the Tax Act and the impact on our consolidated financial statements.</w:t>
      </w:r>
    </w:p>
    <w:p>
      <w:pPr>
        <w:spacing w:after="0" w:line="3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99" w:lineRule="exact"/>
        <w:rPr>
          <w:sz w:val="20"/>
          <w:szCs w:val="20"/>
          <w:color w:val="auto"/>
        </w:rPr>
      </w:pPr>
    </w:p>
    <w:p>
      <w:pPr>
        <w:ind w:right="280" w:firstLine="324"/>
        <w:spacing w:after="0" w:line="29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w:t>
      </w:r>
      <w:r>
        <w:rPr>
          <w:rFonts w:ascii="Arial" w:cs="Arial" w:eastAsia="Arial" w:hAnsi="Arial"/>
          <w:sz w:val="18"/>
          <w:szCs w:val="18"/>
          <w:color w:val="auto"/>
        </w:rPr>
        <w:t>.</w:t>
      </w:r>
      <w:r>
        <w:rPr>
          <w:rFonts w:ascii="Arial" w:cs="Arial" w:eastAsia="Arial" w:hAnsi="Arial"/>
          <w:sz w:val="17"/>
          <w:szCs w:val="17"/>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4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For the three-year periods ended December 31, 2018 and 2017, the USVI filing jurisdiction was in a material cumulative loss position. The U.S. jurisdiction is also in a three-year cumulative loss position as of December 31, 2018 and 2017. We recognize that cumulative losses in recent years is an objective form of negative evidence in assessing the need for a valuation allowance and that such negative evidence is difficult to overcome. Other factors considered in these evaluations are estimates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92" w:right="239" w:bottom="1440" w:gutter="0" w:footer="0" w:header="0"/>
        </w:sectPr>
      </w:pPr>
    </w:p>
    <w:bookmarkStart w:id="90" w:name="page91"/>
    <w:bookmarkEnd w:id="90"/>
    <w:p>
      <w:pPr>
        <w:ind w:right="580"/>
        <w:spacing w:after="0" w:line="277" w:lineRule="auto"/>
        <w:rPr>
          <w:sz w:val="20"/>
          <w:szCs w:val="20"/>
          <w:color w:val="auto"/>
        </w:rPr>
      </w:pPr>
      <w:r>
        <w:rPr>
          <w:rFonts w:ascii="Arial" w:cs="Arial" w:eastAsia="Arial" w:hAnsi="Arial"/>
          <w:sz w:val="18"/>
          <w:szCs w:val="18"/>
          <w:color w:val="auto"/>
        </w:rPr>
        <w:t>of future taxable income, future reversals of temporary differences, tax character and the impact of tax planning strategies that may be implemented, if warranted.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these evaluations, we recognized a full valuation allowance of $46.3 million and $62.9 million on our U.S. deferred tax assets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respectively, and a full valuation allowance of $21.3 million and $43.9 million on our USVI deferred tax assets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2017, respectively. The U.S. and USVI jurisdictional deferred tax assets are not considered to be more likely than not realizable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all available positive and negative evidence. We intend to continue maintaining a full valuation allowance on our deferred tax assets in both the U.S.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USVI until there is sufficient evidence to support the reversal of all or some portion of these allowances. Release of the valuation allowance would result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recognition of certain deferred tax assets and a decrease to income tax expense for the period in which the release is recorded. However, the exact timing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amount of the valuation allowance release are subject to change based on the profitability that we achieve.</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193"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have evaluated whether we experienced an ownership change as measured under Section 382, and during 2018 determined that an ownership change did occur in January 2015 and in December 2017 in the U.S. jurisdiction, which also results in an ownership change under Section 382 in the USVI jurisdiction. This determination was made based on information available as of the date of our Form 10-K filing for the fiscal year ended December 31,</w:t>
      </w:r>
    </w:p>
    <w:p>
      <w:pPr>
        <w:ind w:right="180"/>
        <w:spacing w:after="0" w:line="269" w:lineRule="auto"/>
        <w:rPr>
          <w:sz w:val="20"/>
          <w:szCs w:val="20"/>
          <w:color w:val="auto"/>
        </w:rPr>
      </w:pPr>
      <w:r>
        <w:rPr>
          <w:rFonts w:ascii="Arial" w:cs="Arial" w:eastAsia="Arial" w:hAnsi="Arial"/>
          <w:sz w:val="17"/>
          <w:szCs w:val="17"/>
          <w:color w:val="auto"/>
        </w:rPr>
        <w:t>2018. Due to the Section 382 and 383 limitations and the maximum carryforward period for our NOLs and tax credits, we will be unable to fully recognize certain deferred tax assets. Accordingly, as of December 31, 2018, we have reduced our gross deferred tax asset related to our NOLs by $160.9 million, our foreign tax credit deferred tax asset by $29.5 million and corresponding valuation allowance by $55.7 million. The realization of all or a portion of our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 Our inability to utilize our pre-ownership change NOL carryforwards, any future recognized built-in losses or deductions, and tax credit carryforwards could have an adverse effect on our financial condition, results of operations and cash flows.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part of our Section 382 evaluation and consistent with the rules provided within Section 382, Ocwen relies strictly on the existence or absence, as well as the information contained in certain publicly available documents (</w:t>
      </w:r>
      <w:r>
        <w:rPr>
          <w:rFonts w:ascii="Arial" w:cs="Arial" w:eastAsia="Arial" w:hAnsi="Arial"/>
          <w:sz w:val="16"/>
          <w:szCs w:val="16"/>
          <w:i w:val="1"/>
          <w:iCs w:val="1"/>
          <w:color w:val="auto"/>
        </w:rPr>
        <w:t>e.g.</w:t>
      </w:r>
      <w:r>
        <w:rPr>
          <w:rFonts w:ascii="Arial" w:cs="Arial" w:eastAsia="Arial" w:hAnsi="Arial"/>
          <w:sz w:val="16"/>
          <w:szCs w:val="16"/>
          <w:color w:val="auto"/>
        </w:rPr>
        <w:t>, Schedule 13D, Schedule 13G or other documents filed with the SEC) to identify shareholders that own a 5-percent or greater interest in Ocwen 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 is received, Section 382 requires the inclusion of such actual knowledge, even if such inclusion is detrimental to the conclusion reached.</w:t>
      </w:r>
    </w:p>
    <w:p>
      <w:pPr>
        <w:spacing w:after="0" w:line="1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92" w:right="239" w:bottom="1440" w:gutter="0" w:footer="0" w:header="0"/>
        </w:sectPr>
      </w:pPr>
    </w:p>
    <w:bookmarkStart w:id="91" w:name="page92"/>
    <w:bookmarkEnd w:id="91"/>
    <w:p>
      <w:pPr>
        <w:ind w:right="220"/>
        <w:spacing w:after="0" w:line="279" w:lineRule="auto"/>
        <w:rPr>
          <w:sz w:val="20"/>
          <w:szCs w:val="20"/>
          <w:color w:val="auto"/>
        </w:rPr>
      </w:pPr>
      <w:r>
        <w:rPr>
          <w:rFonts w:ascii="Arial" w:cs="Arial" w:eastAsia="Arial" w:hAnsi="Arial"/>
          <w:sz w:val="17"/>
          <w:szCs w:val="17"/>
          <w:color w:val="auto"/>
        </w:rPr>
        <w:t>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10-K, Ocwen has not received all requested responses from selected shareholders, and will continue to consider such shareholders as economic owners of Ocwen’s stock until actual knowledge is otherwise received.</w:t>
      </w:r>
    </w:p>
    <w:p>
      <w:pPr>
        <w:spacing w:after="0" w:line="6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Ocwen is continuing to monitor the ownership in its stock to evaluate information that will become available later in 2019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40" w:hanging="328"/>
        <w:spacing w:after="0" w:line="25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20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4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92"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Listed below are recent ASUs that we adopted on January 1, 2019. Our adoption of the other standards listed below will not have a material impact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ASU 2016-02: Leases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ASU 2017-08: Receivables: Nonrefundable Fees and Other Costs</w:t>
      </w:r>
    </w:p>
    <w:p>
      <w:pPr>
        <w:spacing w:after="0" w:line="9" w:lineRule="exact"/>
        <w:rPr>
          <w:rFonts w:ascii="Arial" w:cs="Arial" w:eastAsia="Arial" w:hAnsi="Arial"/>
          <w:sz w:val="18"/>
          <w:szCs w:val="18"/>
          <w:color w:val="auto"/>
        </w:rPr>
      </w:pPr>
    </w:p>
    <w:p>
      <w:pPr>
        <w:ind w:left="660" w:right="94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ASU 2018-02: Income Statement - Reporting Comprehensive Income: Reclassification of Certain Tax Effects from Accumulated Other Comprehensive Income</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ASU 2018-09: Codification Improvements</w:t>
      </w:r>
    </w:p>
    <w:p>
      <w:pPr>
        <w:spacing w:after="0" w:line="21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addition to the above recently issued ASUs, listed below are ASUs that we adopted in 2018. We adopted ASU 2016-16 on a modified retrospective basis by recording a cumulative-effect reduction of $5.6 million to retained earnings. Our adoption of the pronouncements listed below did not have a material effect on our consolidated financial statements.</w:t>
      </w:r>
    </w:p>
    <w:p>
      <w:pPr>
        <w:spacing w:after="0" w:line="18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2014-09: Revenue from Contracts with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2016-01: Financial Instruments: Recognition and Measurement of Financial Assets and Financial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2016-15: Statement of Cash Flows: Classification of Certain Cash Receipts and Cash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2016-16: Income Taxes: Intra-Entity Transfers of Assets Other Than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2016-18: Statement of Cash Flows: Restricted Cash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2017-01: Business Combinations: Clarifying the Definition of a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2017-09: Compensation: Stock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2018-03: Financial Instruments: Technical Corrections and Improvements to Financial Instruments - Overall (Subtopic 825-10)</w:t>
      </w:r>
    </w:p>
    <w:p>
      <w:pPr>
        <w:spacing w:after="0" w:line="21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For additional information, see Note 1 — Organization, Business Environment, Basis of Presentation and Significant Accounting Policies to the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management, under the supervision of and with the participation of our principal executive officer and our principal financial officer, has evaluated the effectiveness of our disclosure controls and procedures, as such term is defined in Rules 13a-15(e) and 15d-15(e) under the Securities Exchange Act of 1934, as amended (Exchange Act), as of the end of the period covered by this Annual Report. Based on such evaluation, management concluded that, as of the end of such period, our disclosure controls and procedures are effective.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principal executive officer and principal financial officer, we conducted an evaluation of our internal control over financial reporting as of December 31, 2018, based on the framework set forth by the Committee of Sponsoring Organizations of the Treadway Commission (COSO) in Internal Control—Integrated Framework (2013 framework). Based on that evaluation, our management concluded that, as of December 31, 2018, internal control over financial reporting is effective based on criteria established in Internal Control—Integrated Framework issued by the COSO.</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688" w:right="299" w:bottom="1440" w:gutter="0" w:footer="0" w:header="0"/>
        </w:sectPr>
      </w:pPr>
    </w:p>
    <w:bookmarkStart w:id="93" w:name="page94"/>
    <w:bookmarkEnd w:id="93"/>
    <w:p>
      <w:pPr>
        <w:ind w:right="160" w:firstLine="324"/>
        <w:spacing w:after="0" w:line="293" w:lineRule="auto"/>
        <w:rPr>
          <w:sz w:val="20"/>
          <w:szCs w:val="20"/>
          <w:color w:val="auto"/>
        </w:rPr>
      </w:pPr>
      <w:r>
        <w:rPr>
          <w:rFonts w:ascii="Arial" w:cs="Arial" w:eastAsia="Arial" w:hAnsi="Arial"/>
          <w:sz w:val="16"/>
          <w:szCs w:val="16"/>
          <w:color w:val="auto"/>
        </w:rPr>
        <w:t>We acquired PHH on October 4, 2018, as discussed in Note 2 — Business Acquisition to the Consolidated Financial Statements. As permitted by the SEC staff’s Frequently Asked Questions 3 on Management’s Report on Internal Control Over Financial Reporting and Certification of Disclosure in Exchange Act Periodic Reports (revised September 24, 2007), our management excluded from our assessment on internal control over financial reporting effectiveness as of December 31, 2018, PHH’s internal control over financial reporting associated with consolidated total assets of approximately 8.5%, and consolidated total revenues of approximately 6.8%, included in our consolidated financial statements as of and for the year ended December 31, 2018. We will include PHH in our assessment of the effectiveness of internal control over financial reporting beginning in fiscal 2019.</w:t>
      </w:r>
    </w:p>
    <w:p>
      <w:pPr>
        <w:spacing w:after="0" w:line="16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2018 has been audited by Deloitte &amp; Touche LLP, an independent registered public accounting firm, as stated in their report that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2018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in our definitive Proxy Statement with respect to our 2019 Annual Meeting, which we intend to file with the SEC no later than April 30, 2019.</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“Executive Compensation” and “Board of Directors Compensation” in our definitive Proxy Statement with respect to our 2019 Annual Meeting, which we intend to file with the SEC no later than April 30, 2019.</w:t>
      </w:r>
    </w:p>
    <w:p>
      <w:pPr>
        <w:spacing w:after="0" w:line="177"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captions “Security Ownership of Certain Beneficial Owners and Related Shareholder Matters-Beneficial Ownership of Equity Securities” and “Equity Compensation Plan Information” in our definitive Proxy Statement with respect to our 2019 Annual Meeting, which we intend to file with the SEC no later than April 30, 2019.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692" w:right="259" w:bottom="1440" w:gutter="0" w:footer="0" w:header="0"/>
        </w:sectPr>
      </w:pPr>
    </w:p>
    <w:bookmarkStart w:id="94" w:name="page95"/>
    <w:bookmarkEnd w:id="94"/>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“Board of Directors and Corporate Governance-Independence of Directors” and “Business Relationships and Related Transactions” in our definitive Proxy Statement with respect to our 2019 Annual Meeting, which we intend to file with the SEC no later than April 30, 2019.</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 “Ratification of Appointment of Independent Registered Public Accounting Firm” in our definitive Proxy Statement with respect to our 2019 Annual Meeting, which we intend to file with the Securities and Exchange Commission no later than April 30,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160" w:firstLine="8"/>
        <w:spacing w:after="0" w:line="313" w:lineRule="auto"/>
        <w:tabs>
          <w:tab w:leader="none" w:pos="255"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740" w:hanging="705"/>
        <w:spacing w:after="0"/>
        <w:tabs>
          <w:tab w:leader="none" w:pos="74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40" w:type="dxa"/>
            <w:vAlign w:val="bottom"/>
          </w:tcPr>
          <w:p>
            <w:pPr>
              <w:spacing w:after="0"/>
              <w:rPr>
                <w:rFonts w:ascii="Arial" w:cs="Arial" w:eastAsia="Arial" w:hAnsi="Arial"/>
                <w:sz w:val="18"/>
                <w:szCs w:val="18"/>
                <w:color w:val="auto"/>
              </w:rPr>
            </w:pPr>
            <w:hyperlink r:id="rId15">
              <w:r>
                <w:rPr>
                  <w:rFonts w:ascii="Arial" w:cs="Arial" w:eastAsia="Arial" w:hAnsi="Arial"/>
                  <w:sz w:val="18"/>
                  <w:szCs w:val="18"/>
                  <w:color w:val="auto"/>
                </w:rPr>
                <w:t>2.</w:t>
              </w:r>
            </w:hyperlink>
            <w:r>
              <w:rPr>
                <w:rFonts w:ascii="Arial" w:cs="Arial" w:eastAsia="Arial" w:hAnsi="Arial"/>
                <w:sz w:val="18"/>
                <w:szCs w:val="18"/>
                <w:color w:val="auto"/>
              </w:rPr>
              <w:t>1†</w:t>
            </w:r>
          </w:p>
        </w:tc>
        <w:tc>
          <w:tcPr>
            <w:tcW w:w="9800" w:type="dxa"/>
            <w:vAlign w:val="bottom"/>
          </w:tcPr>
          <w:p>
            <w:pPr>
              <w:ind w:left="340"/>
              <w:spacing w:after="0"/>
              <w:rPr>
                <w:rFonts w:ascii="Arial" w:cs="Arial" w:eastAsia="Arial" w:hAnsi="Arial"/>
                <w:sz w:val="18"/>
                <w:szCs w:val="18"/>
                <w:color w:val="auto"/>
                <w:w w:val="91"/>
              </w:rPr>
            </w:pPr>
            <w:hyperlink r:id="rId15">
              <w:r>
                <w:rPr>
                  <w:rFonts w:ascii="Arial" w:cs="Arial" w:eastAsia="Arial" w:hAnsi="Arial"/>
                  <w:sz w:val="18"/>
                  <w:szCs w:val="18"/>
                  <w:color w:val="auto"/>
                  <w:w w:val="91"/>
                </w:rPr>
                <w:t>Merger Agreement, dated as of October 3, 2012, by and among Ocwen Financial Corporation, O&amp;H Acquisition Corp., Homeward</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5">
              <w:r>
                <w:rPr>
                  <w:rFonts w:ascii="Arial" w:cs="Arial" w:eastAsia="Arial" w:hAnsi="Arial"/>
                  <w:sz w:val="18"/>
                  <w:szCs w:val="18"/>
                  <w:color w:val="auto"/>
                </w:rPr>
                <w:t>Residential Holdings, Inc., and WL Ross &amp; Co. LLC (1)</w:t>
              </w:r>
            </w:hyperlink>
          </w:p>
        </w:tc>
      </w:tr>
      <w:tr>
        <w:trPr>
          <w:trHeight w:val="256"/>
        </w:trPr>
        <w:tc>
          <w:tcPr>
            <w:tcW w:w="640" w:type="dxa"/>
            <w:vAlign w:val="bottom"/>
          </w:tcPr>
          <w:p>
            <w:pPr>
              <w:spacing w:after="0"/>
              <w:rPr>
                <w:rFonts w:ascii="Arial" w:cs="Arial" w:eastAsia="Arial" w:hAnsi="Arial"/>
                <w:sz w:val="18"/>
                <w:szCs w:val="18"/>
                <w:color w:val="auto"/>
              </w:rPr>
            </w:pPr>
            <w:hyperlink r:id="rId16">
              <w:r>
                <w:rPr>
                  <w:rFonts w:ascii="Arial" w:cs="Arial" w:eastAsia="Arial" w:hAnsi="Arial"/>
                  <w:sz w:val="18"/>
                  <w:szCs w:val="18"/>
                  <w:color w:val="auto"/>
                </w:rPr>
                <w:t>2.</w:t>
              </w:r>
            </w:hyperlink>
            <w:r>
              <w:rPr>
                <w:rFonts w:ascii="Arial" w:cs="Arial" w:eastAsia="Arial" w:hAnsi="Arial"/>
                <w:sz w:val="18"/>
                <w:szCs w:val="18"/>
                <w:color w:val="auto"/>
              </w:rPr>
              <w:t>2†</w:t>
            </w:r>
          </w:p>
        </w:tc>
        <w:tc>
          <w:tcPr>
            <w:tcW w:w="9800" w:type="dxa"/>
            <w:vAlign w:val="bottom"/>
          </w:tcPr>
          <w:p>
            <w:pPr>
              <w:ind w:left="340"/>
              <w:spacing w:after="0"/>
              <w:rPr>
                <w:rFonts w:ascii="Arial" w:cs="Arial" w:eastAsia="Arial" w:hAnsi="Arial"/>
                <w:sz w:val="18"/>
                <w:szCs w:val="18"/>
                <w:color w:val="auto"/>
                <w:w w:val="93"/>
              </w:rPr>
            </w:pPr>
            <w:hyperlink r:id="rId16">
              <w:r>
                <w:rPr>
                  <w:rFonts w:ascii="Arial" w:cs="Arial" w:eastAsia="Arial" w:hAnsi="Arial"/>
                  <w:sz w:val="18"/>
                  <w:szCs w:val="18"/>
                  <w:color w:val="auto"/>
                  <w:w w:val="93"/>
                </w:rPr>
                <w:t>Asset Purchase Agreement between Ocwen Loan Servicing, LLC, and Residential Capital, LLC, Residential Funding Company,</w:t>
              </w:r>
            </w:hyperlink>
          </w:p>
        </w:tc>
      </w:tr>
      <w:tr>
        <w:trPr>
          <w:trHeight w:val="216"/>
        </w:trPr>
        <w:tc>
          <w:tcPr>
            <w:tcW w:w="640" w:type="dxa"/>
            <w:vAlign w:val="bottom"/>
          </w:tcPr>
          <w:p>
            <w:pPr>
              <w:spacing w:after="0"/>
              <w:rPr>
                <w:sz w:val="18"/>
                <w:szCs w:val="18"/>
                <w:color w:val="auto"/>
              </w:rPr>
            </w:pPr>
          </w:p>
        </w:tc>
        <w:tc>
          <w:tcPr>
            <w:tcW w:w="9800" w:type="dxa"/>
            <w:vAlign w:val="bottom"/>
          </w:tcPr>
          <w:p>
            <w:pPr>
              <w:ind w:left="340"/>
              <w:spacing w:after="0"/>
              <w:rPr>
                <w:rFonts w:ascii="Arial" w:cs="Arial" w:eastAsia="Arial" w:hAnsi="Arial"/>
                <w:sz w:val="18"/>
                <w:szCs w:val="18"/>
                <w:color w:val="auto"/>
                <w:w w:val="95"/>
              </w:rPr>
            </w:pPr>
            <w:hyperlink r:id="rId16">
              <w:r>
                <w:rPr>
                  <w:rFonts w:ascii="Arial" w:cs="Arial" w:eastAsia="Arial" w:hAnsi="Arial"/>
                  <w:sz w:val="18"/>
                  <w:szCs w:val="18"/>
                  <w:color w:val="auto"/>
                  <w:w w:val="95"/>
                </w:rPr>
                <w:t>LLC, GMAC Mortgage, LLC, Executive Trustee Services, LLC, ETS of Washington, Inc., EPRE LLC, GMACM Borrower LLC,</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6">
              <w:r>
                <w:rPr>
                  <w:rFonts w:ascii="Arial" w:cs="Arial" w:eastAsia="Arial" w:hAnsi="Arial"/>
                  <w:sz w:val="18"/>
                  <w:szCs w:val="18"/>
                  <w:color w:val="auto"/>
                </w:rPr>
                <w:t>and RFC Borrower LLC dated as of November 2, 2012 (2)</w:t>
              </w:r>
            </w:hyperlink>
          </w:p>
        </w:tc>
      </w:tr>
      <w:tr>
        <w:trPr>
          <w:trHeight w:val="256"/>
        </w:trPr>
        <w:tc>
          <w:tcPr>
            <w:tcW w:w="640" w:type="dxa"/>
            <w:vAlign w:val="bottom"/>
          </w:tcPr>
          <w:p>
            <w:pPr>
              <w:spacing w:after="0"/>
              <w:rPr>
                <w:rFonts w:ascii="Arial" w:cs="Arial" w:eastAsia="Arial" w:hAnsi="Arial"/>
                <w:sz w:val="18"/>
                <w:szCs w:val="18"/>
                <w:color w:val="auto"/>
              </w:rPr>
            </w:pPr>
            <w:hyperlink r:id="rId17">
              <w:r>
                <w:rPr>
                  <w:rFonts w:ascii="Arial" w:cs="Arial" w:eastAsia="Arial" w:hAnsi="Arial"/>
                  <w:sz w:val="18"/>
                  <w:szCs w:val="18"/>
                  <w:color w:val="auto"/>
                </w:rPr>
                <w:t>2.3†</w:t>
              </w:r>
            </w:hyperlink>
          </w:p>
        </w:tc>
        <w:tc>
          <w:tcPr>
            <w:tcW w:w="9800" w:type="dxa"/>
            <w:vAlign w:val="bottom"/>
          </w:tcPr>
          <w:p>
            <w:pPr>
              <w:ind w:left="340"/>
              <w:spacing w:after="0"/>
              <w:rPr>
                <w:rFonts w:ascii="Arial" w:cs="Arial" w:eastAsia="Arial" w:hAnsi="Arial"/>
                <w:sz w:val="18"/>
                <w:szCs w:val="18"/>
                <w:color w:val="auto"/>
                <w:w w:val="90"/>
              </w:rPr>
            </w:pPr>
            <w:hyperlink r:id="rId17">
              <w:r>
                <w:rPr>
                  <w:rFonts w:ascii="Arial" w:cs="Arial" w:eastAsia="Arial" w:hAnsi="Arial"/>
                  <w:sz w:val="18"/>
                  <w:szCs w:val="18"/>
                  <w:color w:val="auto"/>
                  <w:w w:val="90"/>
                </w:rPr>
                <w:t>Agreement and Plan of Merger, dated as of February 27, 2018, by and among Ocwen Financial Corporation, POMS Corp and PHH</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7">
              <w:r>
                <w:rPr>
                  <w:rFonts w:ascii="Arial" w:cs="Arial" w:eastAsia="Arial" w:hAnsi="Arial"/>
                  <w:sz w:val="18"/>
                  <w:szCs w:val="18"/>
                  <w:color w:val="auto"/>
                </w:rPr>
                <w:t>Corporation (3)</w:t>
              </w:r>
            </w:hyperlink>
          </w:p>
        </w:tc>
      </w:tr>
      <w:tr>
        <w:trPr>
          <w:trHeight w:val="472"/>
        </w:trPr>
        <w:tc>
          <w:tcPr>
            <w:tcW w:w="640" w:type="dxa"/>
            <w:vAlign w:val="bottom"/>
          </w:tcPr>
          <w:p>
            <w:pPr>
              <w:spacing w:after="0"/>
              <w:rPr>
                <w:rFonts w:ascii="Arial" w:cs="Arial" w:eastAsia="Arial" w:hAnsi="Arial"/>
                <w:sz w:val="18"/>
                <w:szCs w:val="18"/>
                <w:color w:val="auto"/>
              </w:rPr>
            </w:pPr>
            <w:hyperlink r:id="rId18">
              <w:r>
                <w:rPr>
                  <w:rFonts w:ascii="Arial" w:cs="Arial" w:eastAsia="Arial" w:hAnsi="Arial"/>
                  <w:sz w:val="18"/>
                  <w:szCs w:val="18"/>
                  <w:color w:val="auto"/>
                </w:rPr>
                <w:t>2.4</w:t>
              </w:r>
            </w:hyperlink>
          </w:p>
        </w:tc>
        <w:tc>
          <w:tcPr>
            <w:tcW w:w="9800" w:type="dxa"/>
            <w:vAlign w:val="bottom"/>
          </w:tcPr>
          <w:p>
            <w:pPr>
              <w:ind w:left="340"/>
              <w:spacing w:after="0"/>
              <w:rPr>
                <w:rFonts w:ascii="Arial" w:cs="Arial" w:eastAsia="Arial" w:hAnsi="Arial"/>
                <w:sz w:val="18"/>
                <w:szCs w:val="18"/>
                <w:color w:val="auto"/>
                <w:w w:val="90"/>
              </w:rPr>
            </w:pPr>
            <w:hyperlink r:id="rId18">
              <w:r>
                <w:rPr>
                  <w:rFonts w:ascii="Arial" w:cs="Arial" w:eastAsia="Arial" w:hAnsi="Arial"/>
                  <w:sz w:val="18"/>
                  <w:szCs w:val="18"/>
                  <w:color w:val="auto"/>
                  <w:w w:val="90"/>
                </w:rPr>
                <w:t>Purchase and Sale Agreement, dated as of March 29, 2013, by and among Altisource Portfolio Solutions, Inc., Altisource Solutions</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8">
              <w:r>
                <w:rPr>
                  <w:rFonts w:ascii="Arial" w:cs="Arial" w:eastAsia="Arial" w:hAnsi="Arial"/>
                  <w:sz w:val="18"/>
                  <w:szCs w:val="18"/>
                  <w:color w:val="auto"/>
                </w:rPr>
                <w:t>S.à r.l., Ocwen Financial Corporation, Homeward Residential, Inc. and Power Valuation Services, Inc. (4)</w:t>
              </w:r>
            </w:hyperlink>
          </w:p>
        </w:tc>
      </w:tr>
      <w:tr>
        <w:trPr>
          <w:trHeight w:val="256"/>
        </w:trPr>
        <w:tc>
          <w:tcPr>
            <w:tcW w:w="640" w:type="dxa"/>
            <w:vAlign w:val="bottom"/>
          </w:tcPr>
          <w:p>
            <w:pPr>
              <w:spacing w:after="0"/>
              <w:rPr>
                <w:rFonts w:ascii="Arial" w:cs="Arial" w:eastAsia="Arial" w:hAnsi="Arial"/>
                <w:sz w:val="18"/>
                <w:szCs w:val="18"/>
                <w:color w:val="auto"/>
              </w:rPr>
            </w:pPr>
            <w:hyperlink r:id="rId19">
              <w:r>
                <w:rPr>
                  <w:rFonts w:ascii="Arial" w:cs="Arial" w:eastAsia="Arial" w:hAnsi="Arial"/>
                  <w:sz w:val="18"/>
                  <w:szCs w:val="18"/>
                  <w:color w:val="auto"/>
                </w:rPr>
                <w:t>2.5†</w:t>
              </w:r>
            </w:hyperlink>
          </w:p>
        </w:tc>
        <w:tc>
          <w:tcPr>
            <w:tcW w:w="9800" w:type="dxa"/>
            <w:vAlign w:val="bottom"/>
          </w:tcPr>
          <w:p>
            <w:pPr>
              <w:ind w:left="340"/>
              <w:spacing w:after="0"/>
              <w:rPr>
                <w:rFonts w:ascii="Arial" w:cs="Arial" w:eastAsia="Arial" w:hAnsi="Arial"/>
                <w:sz w:val="18"/>
                <w:szCs w:val="18"/>
                <w:color w:val="auto"/>
                <w:w w:val="91"/>
              </w:rPr>
            </w:pPr>
            <w:hyperlink r:id="rId19">
              <w:r>
                <w:rPr>
                  <w:rFonts w:ascii="Arial" w:cs="Arial" w:eastAsia="Arial" w:hAnsi="Arial"/>
                  <w:sz w:val="18"/>
                  <w:szCs w:val="18"/>
                  <w:color w:val="auto"/>
                  <w:w w:val="91"/>
                </w:rPr>
                <w:t>Agreement for the Purchase and Sale of Servicing Rights, dated December 28, 2016, by and between New Residential Mortgage</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19">
              <w:r>
                <w:rPr>
                  <w:rFonts w:ascii="Arial" w:cs="Arial" w:eastAsia="Arial" w:hAnsi="Arial"/>
                  <w:sz w:val="18"/>
                  <w:szCs w:val="18"/>
                  <w:color w:val="auto"/>
                </w:rPr>
                <w:t>LLC, PHH Mortgage Corporation and, for limited purposes, PHH Corporation (36)</w:t>
              </w:r>
            </w:hyperlink>
          </w:p>
        </w:tc>
      </w:tr>
      <w:tr>
        <w:trPr>
          <w:trHeight w:val="270"/>
        </w:trPr>
        <w:tc>
          <w:tcPr>
            <w:tcW w:w="640" w:type="dxa"/>
            <w:vAlign w:val="bottom"/>
          </w:tcPr>
          <w:p>
            <w:pPr>
              <w:spacing w:after="0"/>
              <w:rPr>
                <w:rFonts w:ascii="Arial" w:cs="Arial" w:eastAsia="Arial" w:hAnsi="Arial"/>
                <w:sz w:val="18"/>
                <w:szCs w:val="18"/>
                <w:color w:val="auto"/>
              </w:rPr>
            </w:pPr>
            <w:hyperlink r:id="rId20">
              <w:r>
                <w:rPr>
                  <w:rFonts w:ascii="Arial" w:cs="Arial" w:eastAsia="Arial" w:hAnsi="Arial"/>
                  <w:sz w:val="18"/>
                  <w:szCs w:val="18"/>
                  <w:color w:val="auto"/>
                </w:rPr>
                <w:t>3.1</w:t>
              </w:r>
            </w:hyperlink>
          </w:p>
        </w:tc>
        <w:tc>
          <w:tcPr>
            <w:tcW w:w="9800" w:type="dxa"/>
            <w:vAlign w:val="bottom"/>
          </w:tcPr>
          <w:p>
            <w:pPr>
              <w:ind w:left="340"/>
              <w:spacing w:after="0"/>
              <w:rPr>
                <w:rFonts w:ascii="Arial" w:cs="Arial" w:eastAsia="Arial" w:hAnsi="Arial"/>
                <w:sz w:val="18"/>
                <w:szCs w:val="18"/>
                <w:color w:val="auto"/>
              </w:rPr>
            </w:pPr>
            <w:hyperlink r:id="rId20">
              <w:r>
                <w:rPr>
                  <w:rFonts w:ascii="Arial" w:cs="Arial" w:eastAsia="Arial" w:hAnsi="Arial"/>
                  <w:sz w:val="18"/>
                  <w:szCs w:val="18"/>
                  <w:color w:val="auto"/>
                </w:rPr>
                <w:t>Amended and Restated Articles of Incorporation, as amended (5)</w:t>
              </w:r>
            </w:hyperlink>
          </w:p>
        </w:tc>
      </w:tr>
      <w:tr>
        <w:trPr>
          <w:trHeight w:val="270"/>
        </w:trPr>
        <w:tc>
          <w:tcPr>
            <w:tcW w:w="640" w:type="dxa"/>
            <w:vAlign w:val="bottom"/>
          </w:tcPr>
          <w:p>
            <w:pPr>
              <w:spacing w:after="0"/>
              <w:rPr>
                <w:rFonts w:ascii="Arial" w:cs="Arial" w:eastAsia="Arial" w:hAnsi="Arial"/>
                <w:sz w:val="18"/>
                <w:szCs w:val="18"/>
                <w:color w:val="auto"/>
              </w:rPr>
            </w:pPr>
            <w:hyperlink w:anchor="page185">
              <w:r>
                <w:rPr>
                  <w:rFonts w:ascii="Arial" w:cs="Arial" w:eastAsia="Arial" w:hAnsi="Arial"/>
                  <w:sz w:val="18"/>
                  <w:szCs w:val="18"/>
                  <w:color w:val="auto"/>
                </w:rPr>
                <w:t>3.2</w:t>
              </w:r>
            </w:hyperlink>
          </w:p>
        </w:tc>
        <w:tc>
          <w:tcPr>
            <w:tcW w:w="9800" w:type="dxa"/>
            <w:vAlign w:val="bottom"/>
          </w:tcPr>
          <w:p>
            <w:pPr>
              <w:ind w:left="340"/>
              <w:spacing w:after="0"/>
              <w:rPr>
                <w:rFonts w:ascii="Arial" w:cs="Arial" w:eastAsia="Arial" w:hAnsi="Arial"/>
                <w:sz w:val="18"/>
                <w:szCs w:val="18"/>
                <w:color w:val="auto"/>
              </w:rPr>
            </w:pPr>
            <w:hyperlink w:anchor="page185">
              <w:r>
                <w:rPr>
                  <w:rFonts w:ascii="Arial" w:cs="Arial" w:eastAsia="Arial" w:hAnsi="Arial"/>
                  <w:sz w:val="18"/>
                  <w:szCs w:val="18"/>
                  <w:color w:val="auto"/>
                </w:rPr>
                <w:t>Amended and Restated Bylaws of Ocwen Financial Corporation (filed herewith)</w:t>
              </w:r>
            </w:hyperlink>
          </w:p>
        </w:tc>
      </w:tr>
      <w:tr>
        <w:trPr>
          <w:trHeight w:val="270"/>
        </w:trPr>
        <w:tc>
          <w:tcPr>
            <w:tcW w:w="640" w:type="dxa"/>
            <w:vAlign w:val="bottom"/>
          </w:tcPr>
          <w:p>
            <w:pPr>
              <w:spacing w:after="0"/>
              <w:rPr>
                <w:rFonts w:ascii="Arial" w:cs="Arial" w:eastAsia="Arial" w:hAnsi="Arial"/>
                <w:sz w:val="18"/>
                <w:szCs w:val="18"/>
                <w:color w:val="auto"/>
              </w:rPr>
            </w:pPr>
            <w:hyperlink w:anchor="page192">
              <w:r>
                <w:rPr>
                  <w:rFonts w:ascii="Arial" w:cs="Arial" w:eastAsia="Arial" w:hAnsi="Arial"/>
                  <w:sz w:val="18"/>
                  <w:szCs w:val="18"/>
                  <w:color w:val="auto"/>
                </w:rPr>
                <w:t>4.1</w:t>
              </w:r>
            </w:hyperlink>
          </w:p>
        </w:tc>
        <w:tc>
          <w:tcPr>
            <w:tcW w:w="9800" w:type="dxa"/>
            <w:vAlign w:val="bottom"/>
          </w:tcPr>
          <w:p>
            <w:pPr>
              <w:ind w:left="340"/>
              <w:spacing w:after="0"/>
              <w:rPr>
                <w:rFonts w:ascii="Arial" w:cs="Arial" w:eastAsia="Arial" w:hAnsi="Arial"/>
                <w:sz w:val="18"/>
                <w:szCs w:val="18"/>
                <w:color w:val="auto"/>
              </w:rPr>
            </w:pPr>
            <w:hyperlink w:anchor="page192">
              <w:r>
                <w:rPr>
                  <w:rFonts w:ascii="Arial" w:cs="Arial" w:eastAsia="Arial" w:hAnsi="Arial"/>
                  <w:sz w:val="18"/>
                  <w:szCs w:val="18"/>
                  <w:color w:val="auto"/>
                </w:rPr>
                <w:t>Form of Certificate of Common Stock (filed herewith)</w:t>
              </w:r>
            </w:hyperlink>
          </w:p>
        </w:tc>
      </w:tr>
      <w:tr>
        <w:trPr>
          <w:trHeight w:val="256"/>
        </w:trPr>
        <w:tc>
          <w:tcPr>
            <w:tcW w:w="640" w:type="dxa"/>
            <w:vAlign w:val="bottom"/>
          </w:tcPr>
          <w:p>
            <w:pPr>
              <w:spacing w:after="0"/>
              <w:rPr>
                <w:rFonts w:ascii="Arial" w:cs="Arial" w:eastAsia="Arial" w:hAnsi="Arial"/>
                <w:sz w:val="18"/>
                <w:szCs w:val="18"/>
                <w:color w:val="auto"/>
              </w:rPr>
            </w:pPr>
            <w:hyperlink r:id="rId21">
              <w:r>
                <w:rPr>
                  <w:rFonts w:ascii="Arial" w:cs="Arial" w:eastAsia="Arial" w:hAnsi="Arial"/>
                  <w:sz w:val="18"/>
                  <w:szCs w:val="18"/>
                  <w:color w:val="auto"/>
                </w:rPr>
                <w:t>4.2</w:t>
              </w:r>
            </w:hyperlink>
          </w:p>
        </w:tc>
        <w:tc>
          <w:tcPr>
            <w:tcW w:w="9800" w:type="dxa"/>
            <w:vAlign w:val="bottom"/>
          </w:tcPr>
          <w:p>
            <w:pPr>
              <w:ind w:left="340"/>
              <w:spacing w:after="0"/>
              <w:rPr>
                <w:rFonts w:ascii="Arial" w:cs="Arial" w:eastAsia="Arial" w:hAnsi="Arial"/>
                <w:sz w:val="18"/>
                <w:szCs w:val="18"/>
                <w:color w:val="auto"/>
                <w:w w:val="92"/>
              </w:rPr>
            </w:pPr>
            <w:hyperlink r:id="rId21">
              <w:r>
                <w:rPr>
                  <w:rFonts w:ascii="Arial" w:cs="Arial" w:eastAsia="Arial" w:hAnsi="Arial"/>
                  <w:sz w:val="18"/>
                  <w:szCs w:val="18"/>
                  <w:color w:val="auto"/>
                  <w:w w:val="92"/>
                </w:rPr>
                <w:t>Indenture, dated as of May 12, 2014, between Ocwen Financial Corporation and The Bank of New York Mellon Trust Company,</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1">
              <w:r>
                <w:rPr>
                  <w:rFonts w:ascii="Arial" w:cs="Arial" w:eastAsia="Arial" w:hAnsi="Arial"/>
                  <w:sz w:val="18"/>
                  <w:szCs w:val="18"/>
                  <w:color w:val="auto"/>
                </w:rPr>
                <w:t>N.A. (8)</w:t>
              </w:r>
            </w:hyperlink>
          </w:p>
        </w:tc>
      </w:tr>
      <w:tr>
        <w:trPr>
          <w:trHeight w:val="270"/>
        </w:trPr>
        <w:tc>
          <w:tcPr>
            <w:tcW w:w="640" w:type="dxa"/>
            <w:vAlign w:val="bottom"/>
          </w:tcPr>
          <w:p>
            <w:pPr>
              <w:spacing w:after="0"/>
              <w:rPr>
                <w:rFonts w:ascii="Arial" w:cs="Arial" w:eastAsia="Arial" w:hAnsi="Arial"/>
                <w:sz w:val="18"/>
                <w:szCs w:val="18"/>
                <w:color w:val="auto"/>
              </w:rPr>
            </w:pPr>
            <w:hyperlink r:id="rId22">
              <w:r>
                <w:rPr>
                  <w:rFonts w:ascii="Arial" w:cs="Arial" w:eastAsia="Arial" w:hAnsi="Arial"/>
                  <w:sz w:val="18"/>
                  <w:szCs w:val="18"/>
                  <w:color w:val="auto"/>
                </w:rPr>
                <w:t>4.3</w:t>
              </w:r>
            </w:hyperlink>
          </w:p>
        </w:tc>
        <w:tc>
          <w:tcPr>
            <w:tcW w:w="9800" w:type="dxa"/>
            <w:vAlign w:val="bottom"/>
          </w:tcPr>
          <w:p>
            <w:pPr>
              <w:ind w:left="340"/>
              <w:spacing w:after="0"/>
              <w:rPr>
                <w:rFonts w:ascii="Arial" w:cs="Arial" w:eastAsia="Arial" w:hAnsi="Arial"/>
                <w:sz w:val="18"/>
                <w:szCs w:val="18"/>
                <w:color w:val="auto"/>
                <w:w w:val="98"/>
              </w:rPr>
            </w:pPr>
            <w:hyperlink r:id="rId22">
              <w:r>
                <w:rPr>
                  <w:rFonts w:ascii="Arial" w:cs="Arial" w:eastAsia="Arial" w:hAnsi="Arial"/>
                  <w:sz w:val="18"/>
                  <w:szCs w:val="18"/>
                  <w:color w:val="auto"/>
                  <w:w w:val="98"/>
                </w:rPr>
                <w:t>Registration Rights Agreement, dated May 12, 2014, between Ocwen Financial Corporation and Barclays Capital Inc. (8)</w:t>
              </w:r>
            </w:hyperlink>
          </w:p>
        </w:tc>
      </w:tr>
      <w:tr>
        <w:trPr>
          <w:trHeight w:val="256"/>
        </w:trPr>
        <w:tc>
          <w:tcPr>
            <w:tcW w:w="640" w:type="dxa"/>
            <w:vAlign w:val="bottom"/>
          </w:tcPr>
          <w:p>
            <w:pPr>
              <w:spacing w:after="0"/>
              <w:rPr>
                <w:rFonts w:ascii="Arial" w:cs="Arial" w:eastAsia="Arial" w:hAnsi="Arial"/>
                <w:sz w:val="18"/>
                <w:szCs w:val="18"/>
                <w:color w:val="auto"/>
              </w:rPr>
            </w:pPr>
            <w:hyperlink r:id="rId23">
              <w:r>
                <w:rPr>
                  <w:rFonts w:ascii="Arial" w:cs="Arial" w:eastAsia="Arial" w:hAnsi="Arial"/>
                  <w:sz w:val="18"/>
                  <w:szCs w:val="18"/>
                  <w:color w:val="auto"/>
                </w:rPr>
                <w:t>4.4</w:t>
              </w:r>
            </w:hyperlink>
          </w:p>
        </w:tc>
        <w:tc>
          <w:tcPr>
            <w:tcW w:w="9800" w:type="dxa"/>
            <w:vAlign w:val="bottom"/>
          </w:tcPr>
          <w:p>
            <w:pPr>
              <w:ind w:left="340"/>
              <w:spacing w:after="0"/>
              <w:rPr>
                <w:rFonts w:ascii="Arial" w:cs="Arial" w:eastAsia="Arial" w:hAnsi="Arial"/>
                <w:sz w:val="18"/>
                <w:szCs w:val="18"/>
                <w:color w:val="auto"/>
                <w:w w:val="91"/>
              </w:rPr>
            </w:pPr>
            <w:hyperlink r:id="rId23">
              <w:r>
                <w:rPr>
                  <w:rFonts w:ascii="Arial" w:cs="Arial" w:eastAsia="Arial" w:hAnsi="Arial"/>
                  <w:sz w:val="18"/>
                  <w:szCs w:val="18"/>
                  <w:color w:val="auto"/>
                  <w:w w:val="91"/>
                </w:rPr>
                <w:t>Indenture, dated as of December 5, 2016, among Ocwen Loan Servicing, LLC, Ocwen Financial Corporation, the other guarantors</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3">
              <w:r>
                <w:rPr>
                  <w:rFonts w:ascii="Arial" w:cs="Arial" w:eastAsia="Arial" w:hAnsi="Arial"/>
                  <w:sz w:val="18"/>
                  <w:szCs w:val="18"/>
                  <w:color w:val="auto"/>
                </w:rPr>
                <w:t>named therein and Wilmington Trust, National Association (21)</w:t>
              </w:r>
            </w:hyperlink>
          </w:p>
        </w:tc>
      </w:tr>
      <w:tr>
        <w:trPr>
          <w:trHeight w:val="256"/>
        </w:trPr>
        <w:tc>
          <w:tcPr>
            <w:tcW w:w="640" w:type="dxa"/>
            <w:vAlign w:val="bottom"/>
          </w:tcPr>
          <w:p>
            <w:pPr>
              <w:spacing w:after="0"/>
              <w:rPr>
                <w:rFonts w:ascii="Arial" w:cs="Arial" w:eastAsia="Arial" w:hAnsi="Arial"/>
                <w:sz w:val="18"/>
                <w:szCs w:val="18"/>
                <w:color w:val="auto"/>
              </w:rPr>
            </w:pPr>
            <w:hyperlink r:id="rId24">
              <w:r>
                <w:rPr>
                  <w:rFonts w:ascii="Arial" w:cs="Arial" w:eastAsia="Arial" w:hAnsi="Arial"/>
                  <w:sz w:val="18"/>
                  <w:szCs w:val="18"/>
                  <w:color w:val="auto"/>
                </w:rPr>
                <w:t>4.5</w:t>
              </w:r>
            </w:hyperlink>
          </w:p>
        </w:tc>
        <w:tc>
          <w:tcPr>
            <w:tcW w:w="9800" w:type="dxa"/>
            <w:vAlign w:val="bottom"/>
          </w:tcPr>
          <w:p>
            <w:pPr>
              <w:ind w:left="340"/>
              <w:spacing w:after="0"/>
              <w:rPr>
                <w:rFonts w:ascii="Arial" w:cs="Arial" w:eastAsia="Arial" w:hAnsi="Arial"/>
                <w:sz w:val="18"/>
                <w:szCs w:val="18"/>
                <w:color w:val="auto"/>
                <w:w w:val="92"/>
              </w:rPr>
            </w:pPr>
            <w:hyperlink r:id="rId24">
              <w:r>
                <w:rPr>
                  <w:rFonts w:ascii="Arial" w:cs="Arial" w:eastAsia="Arial" w:hAnsi="Arial"/>
                  <w:sz w:val="18"/>
                  <w:szCs w:val="18"/>
                  <w:color w:val="auto"/>
                  <w:w w:val="92"/>
                </w:rPr>
                <w:t>Indenture, dated as of January 17, 2012, between PHH Corporation and The Bank of New York Mellon Trust Company, N.A., as</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4">
              <w:r>
                <w:rPr>
                  <w:rFonts w:ascii="Arial" w:cs="Arial" w:eastAsia="Arial" w:hAnsi="Arial"/>
                  <w:sz w:val="18"/>
                  <w:szCs w:val="18"/>
                  <w:color w:val="auto"/>
                </w:rPr>
                <w:t>trustee (30)</w:t>
              </w:r>
            </w:hyperlink>
          </w:p>
        </w:tc>
      </w:tr>
      <w:tr>
        <w:trPr>
          <w:trHeight w:val="256"/>
        </w:trPr>
        <w:tc>
          <w:tcPr>
            <w:tcW w:w="640" w:type="dxa"/>
            <w:vAlign w:val="bottom"/>
          </w:tcPr>
          <w:p>
            <w:pPr>
              <w:spacing w:after="0"/>
              <w:rPr>
                <w:rFonts w:ascii="Arial" w:cs="Arial" w:eastAsia="Arial" w:hAnsi="Arial"/>
                <w:sz w:val="18"/>
                <w:szCs w:val="18"/>
                <w:color w:val="auto"/>
              </w:rPr>
            </w:pPr>
            <w:hyperlink r:id="rId25">
              <w:r>
                <w:rPr>
                  <w:rFonts w:ascii="Arial" w:cs="Arial" w:eastAsia="Arial" w:hAnsi="Arial"/>
                  <w:sz w:val="18"/>
                  <w:szCs w:val="18"/>
                  <w:color w:val="auto"/>
                </w:rPr>
                <w:t>4.6</w:t>
              </w:r>
            </w:hyperlink>
          </w:p>
        </w:tc>
        <w:tc>
          <w:tcPr>
            <w:tcW w:w="9800" w:type="dxa"/>
            <w:vAlign w:val="bottom"/>
          </w:tcPr>
          <w:p>
            <w:pPr>
              <w:ind w:left="340"/>
              <w:spacing w:after="0"/>
              <w:rPr>
                <w:rFonts w:ascii="Arial" w:cs="Arial" w:eastAsia="Arial" w:hAnsi="Arial"/>
                <w:sz w:val="18"/>
                <w:szCs w:val="18"/>
                <w:color w:val="auto"/>
                <w:w w:val="91"/>
              </w:rPr>
            </w:pPr>
            <w:hyperlink r:id="rId25">
              <w:r>
                <w:rPr>
                  <w:rFonts w:ascii="Arial" w:cs="Arial" w:eastAsia="Arial" w:hAnsi="Arial"/>
                  <w:sz w:val="18"/>
                  <w:szCs w:val="18"/>
                  <w:color w:val="auto"/>
                  <w:w w:val="91"/>
                </w:rPr>
                <w:t>First Supplemental Indenture, dated as of October 4, 2018, among PHH Corporation, PHH Mortgage Corporation and Wilmington</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5">
              <w:r>
                <w:rPr>
                  <w:rFonts w:ascii="Arial" w:cs="Arial" w:eastAsia="Arial" w:hAnsi="Arial"/>
                  <w:sz w:val="18"/>
                  <w:szCs w:val="18"/>
                  <w:color w:val="auto"/>
                </w:rPr>
                <w:t>Trust, National Association (31)</w:t>
              </w:r>
            </w:hyperlink>
          </w:p>
        </w:tc>
      </w:tr>
      <w:tr>
        <w:trPr>
          <w:trHeight w:val="256"/>
        </w:trPr>
        <w:tc>
          <w:tcPr>
            <w:tcW w:w="640" w:type="dxa"/>
            <w:vAlign w:val="bottom"/>
          </w:tcPr>
          <w:p>
            <w:pPr>
              <w:spacing w:after="0"/>
              <w:rPr>
                <w:rFonts w:ascii="Arial" w:cs="Arial" w:eastAsia="Arial" w:hAnsi="Arial"/>
                <w:sz w:val="18"/>
                <w:szCs w:val="18"/>
                <w:color w:val="auto"/>
              </w:rPr>
            </w:pPr>
            <w:hyperlink r:id="rId26">
              <w:r>
                <w:rPr>
                  <w:rFonts w:ascii="Arial" w:cs="Arial" w:eastAsia="Arial" w:hAnsi="Arial"/>
                  <w:sz w:val="18"/>
                  <w:szCs w:val="18"/>
                  <w:color w:val="auto"/>
                </w:rPr>
                <w:t>4.7</w:t>
              </w:r>
            </w:hyperlink>
          </w:p>
        </w:tc>
        <w:tc>
          <w:tcPr>
            <w:tcW w:w="9800" w:type="dxa"/>
            <w:vAlign w:val="bottom"/>
          </w:tcPr>
          <w:p>
            <w:pPr>
              <w:ind w:left="340"/>
              <w:spacing w:after="0"/>
              <w:rPr>
                <w:rFonts w:ascii="Arial" w:cs="Arial" w:eastAsia="Arial" w:hAnsi="Arial"/>
                <w:sz w:val="18"/>
                <w:szCs w:val="18"/>
                <w:color w:val="auto"/>
                <w:w w:val="95"/>
              </w:rPr>
            </w:pPr>
            <w:hyperlink r:id="rId26">
              <w:r>
                <w:rPr>
                  <w:rFonts w:ascii="Arial" w:cs="Arial" w:eastAsia="Arial" w:hAnsi="Arial"/>
                  <w:sz w:val="18"/>
                  <w:szCs w:val="18"/>
                  <w:color w:val="auto"/>
                  <w:w w:val="95"/>
                </w:rPr>
                <w:t>Second Supplemental Indenture, dated August 23, 2012, between PHH Corporation and The Bank of New York Mellon Trust</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6">
              <w:r>
                <w:rPr>
                  <w:rFonts w:ascii="Arial" w:cs="Arial" w:eastAsia="Arial" w:hAnsi="Arial"/>
                  <w:sz w:val="18"/>
                  <w:szCs w:val="18"/>
                  <w:color w:val="auto"/>
                </w:rPr>
                <w:t>Company, N.A., as trustee (32)</w:t>
              </w:r>
            </w:hyperlink>
          </w:p>
        </w:tc>
      </w:tr>
      <w:tr>
        <w:trPr>
          <w:trHeight w:val="256"/>
        </w:trPr>
        <w:tc>
          <w:tcPr>
            <w:tcW w:w="640" w:type="dxa"/>
            <w:vAlign w:val="bottom"/>
          </w:tcPr>
          <w:p>
            <w:pPr>
              <w:spacing w:after="0"/>
              <w:rPr>
                <w:rFonts w:ascii="Arial" w:cs="Arial" w:eastAsia="Arial" w:hAnsi="Arial"/>
                <w:sz w:val="18"/>
                <w:szCs w:val="18"/>
                <w:color w:val="auto"/>
              </w:rPr>
            </w:pPr>
            <w:hyperlink r:id="rId27">
              <w:r>
                <w:rPr>
                  <w:rFonts w:ascii="Arial" w:cs="Arial" w:eastAsia="Arial" w:hAnsi="Arial"/>
                  <w:sz w:val="18"/>
                  <w:szCs w:val="18"/>
                  <w:color w:val="auto"/>
                </w:rPr>
                <w:t>4.8</w:t>
              </w:r>
            </w:hyperlink>
          </w:p>
        </w:tc>
        <w:tc>
          <w:tcPr>
            <w:tcW w:w="9800" w:type="dxa"/>
            <w:vAlign w:val="bottom"/>
          </w:tcPr>
          <w:p>
            <w:pPr>
              <w:ind w:left="340"/>
              <w:spacing w:after="0"/>
              <w:rPr>
                <w:rFonts w:ascii="Arial" w:cs="Arial" w:eastAsia="Arial" w:hAnsi="Arial"/>
                <w:sz w:val="18"/>
                <w:szCs w:val="18"/>
                <w:color w:val="auto"/>
                <w:w w:val="97"/>
              </w:rPr>
            </w:pPr>
            <w:hyperlink r:id="rId27">
              <w:r>
                <w:rPr>
                  <w:rFonts w:ascii="Arial" w:cs="Arial" w:eastAsia="Arial" w:hAnsi="Arial"/>
                  <w:sz w:val="18"/>
                  <w:szCs w:val="18"/>
                  <w:color w:val="auto"/>
                  <w:w w:val="97"/>
                </w:rPr>
                <w:t>Third Supplemental Indenture, dated August 20, 2013, between PHH Corporation and The Bank of New York Mellon Trust</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7">
              <w:r>
                <w:rPr>
                  <w:rFonts w:ascii="Arial" w:cs="Arial" w:eastAsia="Arial" w:hAnsi="Arial"/>
                  <w:sz w:val="18"/>
                  <w:szCs w:val="18"/>
                  <w:color w:val="auto"/>
                </w:rPr>
                <w:t>Company, N.A., as trustee (33)</w:t>
              </w:r>
            </w:hyperlink>
          </w:p>
        </w:tc>
      </w:tr>
      <w:tr>
        <w:trPr>
          <w:trHeight w:val="256"/>
        </w:trPr>
        <w:tc>
          <w:tcPr>
            <w:tcW w:w="640" w:type="dxa"/>
            <w:vAlign w:val="bottom"/>
          </w:tcPr>
          <w:p>
            <w:pPr>
              <w:spacing w:after="0"/>
              <w:rPr>
                <w:rFonts w:ascii="Arial" w:cs="Arial" w:eastAsia="Arial" w:hAnsi="Arial"/>
                <w:sz w:val="18"/>
                <w:szCs w:val="18"/>
                <w:color w:val="auto"/>
              </w:rPr>
            </w:pPr>
            <w:hyperlink r:id="rId28">
              <w:r>
                <w:rPr>
                  <w:rFonts w:ascii="Arial" w:cs="Arial" w:eastAsia="Arial" w:hAnsi="Arial"/>
                  <w:sz w:val="18"/>
                  <w:szCs w:val="18"/>
                  <w:color w:val="auto"/>
                </w:rPr>
                <w:t>4.9</w:t>
              </w:r>
            </w:hyperlink>
          </w:p>
        </w:tc>
        <w:tc>
          <w:tcPr>
            <w:tcW w:w="9800" w:type="dxa"/>
            <w:vAlign w:val="bottom"/>
          </w:tcPr>
          <w:p>
            <w:pPr>
              <w:ind w:left="340"/>
              <w:spacing w:after="0"/>
              <w:rPr>
                <w:rFonts w:ascii="Arial" w:cs="Arial" w:eastAsia="Arial" w:hAnsi="Arial"/>
                <w:sz w:val="18"/>
                <w:szCs w:val="18"/>
                <w:color w:val="auto"/>
                <w:w w:val="92"/>
              </w:rPr>
            </w:pPr>
            <w:hyperlink r:id="rId28">
              <w:r>
                <w:rPr>
                  <w:rFonts w:ascii="Arial" w:cs="Arial" w:eastAsia="Arial" w:hAnsi="Arial"/>
                  <w:sz w:val="18"/>
                  <w:szCs w:val="18"/>
                  <w:color w:val="auto"/>
                  <w:w w:val="92"/>
                </w:rPr>
                <w:t>Fourth Supplemental Indenture, dated as of July 3, 2017, among PHH Corporation, as issuer and The Bank of New York Mellon</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8">
              <w:r>
                <w:rPr>
                  <w:rFonts w:ascii="Arial" w:cs="Arial" w:eastAsia="Arial" w:hAnsi="Arial"/>
                  <w:sz w:val="18"/>
                  <w:szCs w:val="18"/>
                  <w:color w:val="auto"/>
                </w:rPr>
                <w:t>Trust Company, N.A., as trustee (34)</w:t>
              </w:r>
            </w:hyperlink>
          </w:p>
        </w:tc>
      </w:tr>
      <w:tr>
        <w:trPr>
          <w:trHeight w:val="256"/>
        </w:trPr>
        <w:tc>
          <w:tcPr>
            <w:tcW w:w="640" w:type="dxa"/>
            <w:vAlign w:val="bottom"/>
          </w:tcPr>
          <w:p>
            <w:pPr>
              <w:spacing w:after="0"/>
              <w:rPr>
                <w:rFonts w:ascii="Arial" w:cs="Arial" w:eastAsia="Arial" w:hAnsi="Arial"/>
                <w:sz w:val="18"/>
                <w:szCs w:val="18"/>
                <w:color w:val="auto"/>
              </w:rPr>
            </w:pPr>
            <w:hyperlink r:id="rId29">
              <w:r>
                <w:rPr>
                  <w:rFonts w:ascii="Arial" w:cs="Arial" w:eastAsia="Arial" w:hAnsi="Arial"/>
                  <w:sz w:val="18"/>
                  <w:szCs w:val="18"/>
                  <w:color w:val="auto"/>
                </w:rPr>
                <w:t>4.10</w:t>
              </w:r>
            </w:hyperlink>
          </w:p>
        </w:tc>
        <w:tc>
          <w:tcPr>
            <w:tcW w:w="9800" w:type="dxa"/>
            <w:vAlign w:val="bottom"/>
          </w:tcPr>
          <w:p>
            <w:pPr>
              <w:ind w:left="340"/>
              <w:spacing w:after="0"/>
              <w:rPr>
                <w:rFonts w:ascii="Arial" w:cs="Arial" w:eastAsia="Arial" w:hAnsi="Arial"/>
                <w:sz w:val="18"/>
                <w:szCs w:val="18"/>
                <w:color w:val="auto"/>
                <w:w w:val="94"/>
              </w:rPr>
            </w:pPr>
            <w:hyperlink r:id="rId29">
              <w:r>
                <w:rPr>
                  <w:rFonts w:ascii="Arial" w:cs="Arial" w:eastAsia="Arial" w:hAnsi="Arial"/>
                  <w:sz w:val="18"/>
                  <w:szCs w:val="18"/>
                  <w:color w:val="auto"/>
                  <w:w w:val="94"/>
                </w:rPr>
                <w:t>Fifth Supplemental Indenture, dated as of July 3, 2017, among PHH Corporation, as issuer and The Bank of New York Mellon</w:t>
              </w:r>
            </w:hyperlink>
          </w:p>
        </w:tc>
      </w:tr>
      <w:tr>
        <w:trPr>
          <w:trHeight w:val="230"/>
        </w:trPr>
        <w:tc>
          <w:tcPr>
            <w:tcW w:w="640" w:type="dxa"/>
            <w:vAlign w:val="bottom"/>
          </w:tcPr>
          <w:p>
            <w:pPr>
              <w:spacing w:after="0"/>
              <w:rPr>
                <w:sz w:val="20"/>
                <w:szCs w:val="20"/>
                <w:color w:val="auto"/>
              </w:rPr>
            </w:pPr>
          </w:p>
        </w:tc>
        <w:tc>
          <w:tcPr>
            <w:tcW w:w="9800" w:type="dxa"/>
            <w:vAlign w:val="bottom"/>
          </w:tcPr>
          <w:p>
            <w:pPr>
              <w:ind w:left="340"/>
              <w:spacing w:after="0"/>
              <w:rPr>
                <w:rFonts w:ascii="Arial" w:cs="Arial" w:eastAsia="Arial" w:hAnsi="Arial"/>
                <w:sz w:val="18"/>
                <w:szCs w:val="18"/>
                <w:color w:val="auto"/>
              </w:rPr>
            </w:pPr>
            <w:hyperlink r:id="rId29">
              <w:r>
                <w:rPr>
                  <w:rFonts w:ascii="Arial" w:cs="Arial" w:eastAsia="Arial" w:hAnsi="Arial"/>
                  <w:sz w:val="18"/>
                  <w:szCs w:val="18"/>
                  <w:color w:val="auto"/>
                </w:rPr>
                <w:t>Trust Company, N.A., as trustee (34)</w:t>
              </w:r>
            </w:hyperlink>
          </w:p>
        </w:tc>
      </w:tr>
      <w:tr>
        <w:trPr>
          <w:trHeight w:val="486"/>
        </w:trPr>
        <w:tc>
          <w:tcPr>
            <w:tcW w:w="640" w:type="dxa"/>
            <w:vAlign w:val="bottom"/>
          </w:tcPr>
          <w:p>
            <w:pPr>
              <w:spacing w:after="0"/>
              <w:rPr>
                <w:sz w:val="24"/>
                <w:szCs w:val="24"/>
                <w:color w:val="auto"/>
              </w:rPr>
            </w:pPr>
          </w:p>
        </w:tc>
        <w:tc>
          <w:tcPr>
            <w:tcW w:w="9800" w:type="dxa"/>
            <w:vAlign w:val="bottom"/>
          </w:tcPr>
          <w:p>
            <w:pPr>
              <w:ind w:left="408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420"/>
          </w:cols>
          <w:pgMar w:left="240" w:top="796"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ind w:left="80"/>
              <w:spacing w:after="0"/>
              <w:rPr>
                <w:rFonts w:ascii="Arial" w:cs="Arial" w:eastAsia="Arial" w:hAnsi="Arial"/>
                <w:sz w:val="18"/>
                <w:szCs w:val="18"/>
                <w:color w:val="auto"/>
              </w:rPr>
            </w:pPr>
            <w:hyperlink r:id="rId26">
              <w:r>
                <w:rPr>
                  <w:rFonts w:ascii="Arial" w:cs="Arial" w:eastAsia="Arial" w:hAnsi="Arial"/>
                  <w:sz w:val="18"/>
                  <w:szCs w:val="18"/>
                  <w:color w:val="auto"/>
                </w:rPr>
                <w:t>4.11</w:t>
              </w:r>
            </w:hyperlink>
          </w:p>
        </w:tc>
        <w:tc>
          <w:tcPr>
            <w:tcW w:w="9820" w:type="dxa"/>
            <w:vAlign w:val="bottom"/>
          </w:tcPr>
          <w:p>
            <w:pPr>
              <w:ind w:left="340"/>
              <w:spacing w:after="0"/>
              <w:rPr>
                <w:rFonts w:ascii="Arial" w:cs="Arial" w:eastAsia="Arial" w:hAnsi="Arial"/>
                <w:sz w:val="18"/>
                <w:szCs w:val="18"/>
                <w:color w:val="auto"/>
              </w:rPr>
            </w:pPr>
            <w:hyperlink r:id="rId26">
              <w:r>
                <w:rPr>
                  <w:rFonts w:ascii="Arial" w:cs="Arial" w:eastAsia="Arial" w:hAnsi="Arial"/>
                  <w:sz w:val="18"/>
                  <w:szCs w:val="18"/>
                  <w:color w:val="auto"/>
                </w:rPr>
                <w:t>Form of 7.375% Senior Note due 2019 (32)</w:t>
              </w:r>
            </w:hyperlink>
          </w:p>
        </w:tc>
      </w:tr>
      <w:tr>
        <w:trPr>
          <w:trHeight w:val="270"/>
        </w:trPr>
        <w:tc>
          <w:tcPr>
            <w:tcW w:w="720" w:type="dxa"/>
            <w:vAlign w:val="bottom"/>
          </w:tcPr>
          <w:p>
            <w:pPr>
              <w:ind w:left="80"/>
              <w:spacing w:after="0"/>
              <w:rPr>
                <w:rFonts w:ascii="Arial" w:cs="Arial" w:eastAsia="Arial" w:hAnsi="Arial"/>
                <w:sz w:val="18"/>
                <w:szCs w:val="18"/>
                <w:color w:val="auto"/>
              </w:rPr>
            </w:pPr>
            <w:hyperlink r:id="rId27">
              <w:r>
                <w:rPr>
                  <w:rFonts w:ascii="Arial" w:cs="Arial" w:eastAsia="Arial" w:hAnsi="Arial"/>
                  <w:sz w:val="18"/>
                  <w:szCs w:val="18"/>
                  <w:color w:val="auto"/>
                </w:rPr>
                <w:t>4.12</w:t>
              </w:r>
            </w:hyperlink>
          </w:p>
        </w:tc>
        <w:tc>
          <w:tcPr>
            <w:tcW w:w="9820" w:type="dxa"/>
            <w:vAlign w:val="bottom"/>
          </w:tcPr>
          <w:p>
            <w:pPr>
              <w:ind w:left="340"/>
              <w:spacing w:after="0"/>
              <w:rPr>
                <w:rFonts w:ascii="Arial" w:cs="Arial" w:eastAsia="Arial" w:hAnsi="Arial"/>
                <w:sz w:val="18"/>
                <w:szCs w:val="18"/>
                <w:color w:val="auto"/>
              </w:rPr>
            </w:pPr>
            <w:hyperlink r:id="rId27">
              <w:r>
                <w:rPr>
                  <w:rFonts w:ascii="Arial" w:cs="Arial" w:eastAsia="Arial" w:hAnsi="Arial"/>
                  <w:sz w:val="18"/>
                  <w:szCs w:val="18"/>
                  <w:color w:val="auto"/>
                </w:rPr>
                <w:t>Form of 6.375% Senior Note due 2021 (33)</w:t>
              </w:r>
            </w:hyperlink>
          </w:p>
        </w:tc>
      </w:tr>
      <w:tr>
        <w:trPr>
          <w:trHeight w:val="270"/>
        </w:trPr>
        <w:tc>
          <w:tcPr>
            <w:tcW w:w="720" w:type="dxa"/>
            <w:vAlign w:val="bottom"/>
          </w:tcPr>
          <w:p>
            <w:pPr>
              <w:spacing w:after="0"/>
              <w:rPr>
                <w:rFonts w:ascii="Arial" w:cs="Arial" w:eastAsia="Arial" w:hAnsi="Arial"/>
                <w:sz w:val="18"/>
                <w:szCs w:val="18"/>
                <w:color w:val="auto"/>
              </w:rPr>
            </w:pPr>
            <w:hyperlink r:id="rId30">
              <w:r>
                <w:rPr>
                  <w:rFonts w:ascii="Arial" w:cs="Arial" w:eastAsia="Arial" w:hAnsi="Arial"/>
                  <w:sz w:val="18"/>
                  <w:szCs w:val="18"/>
                  <w:color w:val="auto"/>
                </w:rPr>
                <w:t>10.1*</w:t>
              </w:r>
            </w:hyperlink>
          </w:p>
        </w:tc>
        <w:tc>
          <w:tcPr>
            <w:tcW w:w="9820" w:type="dxa"/>
            <w:vAlign w:val="bottom"/>
          </w:tcPr>
          <w:p>
            <w:pPr>
              <w:ind w:left="340"/>
              <w:spacing w:after="0"/>
              <w:rPr>
                <w:rFonts w:ascii="Arial" w:cs="Arial" w:eastAsia="Arial" w:hAnsi="Arial"/>
                <w:sz w:val="18"/>
                <w:szCs w:val="18"/>
                <w:color w:val="auto"/>
              </w:rPr>
            </w:pPr>
            <w:hyperlink r:id="rId30">
              <w:r>
                <w:rPr>
                  <w:rFonts w:ascii="Arial" w:cs="Arial" w:eastAsia="Arial" w:hAnsi="Arial"/>
                  <w:sz w:val="18"/>
                  <w:szCs w:val="18"/>
                  <w:color w:val="auto"/>
                </w:rPr>
                <w:t>Ocwen Financial Corporation 1998 Annual Incentive Plan, as amended (9)</w:t>
              </w:r>
            </w:hyperlink>
          </w:p>
        </w:tc>
      </w:tr>
      <w:tr>
        <w:trPr>
          <w:trHeight w:val="270"/>
        </w:trPr>
        <w:tc>
          <w:tcPr>
            <w:tcW w:w="720" w:type="dxa"/>
            <w:vAlign w:val="bottom"/>
          </w:tcPr>
          <w:p>
            <w:pPr>
              <w:spacing w:after="0"/>
              <w:rPr>
                <w:rFonts w:ascii="Arial" w:cs="Arial" w:eastAsia="Arial" w:hAnsi="Arial"/>
                <w:sz w:val="18"/>
                <w:szCs w:val="18"/>
                <w:color w:val="auto"/>
              </w:rPr>
            </w:pPr>
            <w:hyperlink r:id="rId31">
              <w:r>
                <w:rPr>
                  <w:rFonts w:ascii="Arial" w:cs="Arial" w:eastAsia="Arial" w:hAnsi="Arial"/>
                  <w:sz w:val="18"/>
                  <w:szCs w:val="18"/>
                  <w:color w:val="auto"/>
                </w:rPr>
                <w:t>10.2*</w:t>
              </w:r>
            </w:hyperlink>
          </w:p>
        </w:tc>
        <w:tc>
          <w:tcPr>
            <w:tcW w:w="9820" w:type="dxa"/>
            <w:vAlign w:val="bottom"/>
          </w:tcPr>
          <w:p>
            <w:pPr>
              <w:ind w:left="340"/>
              <w:spacing w:after="0"/>
              <w:rPr>
                <w:rFonts w:ascii="Arial" w:cs="Arial" w:eastAsia="Arial" w:hAnsi="Arial"/>
                <w:sz w:val="18"/>
                <w:szCs w:val="18"/>
                <w:color w:val="auto"/>
              </w:rPr>
            </w:pPr>
            <w:hyperlink r:id="rId31">
              <w:r>
                <w:rPr>
                  <w:rFonts w:ascii="Arial" w:cs="Arial" w:eastAsia="Arial" w:hAnsi="Arial"/>
                  <w:sz w:val="18"/>
                  <w:szCs w:val="18"/>
                  <w:color w:val="auto"/>
                </w:rPr>
                <w:t>Ocwen Financial Corporation Deferral Plan for Directors, dated March 7, 2005 (11)</w:t>
              </w:r>
            </w:hyperlink>
          </w:p>
        </w:tc>
      </w:tr>
      <w:tr>
        <w:trPr>
          <w:trHeight w:val="270"/>
        </w:trPr>
        <w:tc>
          <w:tcPr>
            <w:tcW w:w="720" w:type="dxa"/>
            <w:vAlign w:val="bottom"/>
          </w:tcPr>
          <w:p>
            <w:pPr>
              <w:spacing w:after="0"/>
              <w:rPr>
                <w:rFonts w:ascii="Arial" w:cs="Arial" w:eastAsia="Arial" w:hAnsi="Arial"/>
                <w:sz w:val="18"/>
                <w:szCs w:val="18"/>
                <w:color w:val="auto"/>
              </w:rPr>
            </w:pPr>
            <w:hyperlink r:id="rId32">
              <w:r>
                <w:rPr>
                  <w:rFonts w:ascii="Arial" w:cs="Arial" w:eastAsia="Arial" w:hAnsi="Arial"/>
                  <w:sz w:val="18"/>
                  <w:szCs w:val="18"/>
                  <w:color w:val="auto"/>
                </w:rPr>
                <w:t>10.3*</w:t>
              </w:r>
            </w:hyperlink>
          </w:p>
        </w:tc>
        <w:tc>
          <w:tcPr>
            <w:tcW w:w="9820" w:type="dxa"/>
            <w:vAlign w:val="bottom"/>
          </w:tcPr>
          <w:p>
            <w:pPr>
              <w:ind w:left="340"/>
              <w:spacing w:after="0"/>
              <w:rPr>
                <w:rFonts w:ascii="Arial" w:cs="Arial" w:eastAsia="Arial" w:hAnsi="Arial"/>
                <w:sz w:val="18"/>
                <w:szCs w:val="18"/>
                <w:color w:val="auto"/>
              </w:rPr>
            </w:pPr>
            <w:hyperlink r:id="rId32">
              <w:r>
                <w:rPr>
                  <w:rFonts w:ascii="Arial" w:cs="Arial" w:eastAsia="Arial" w:hAnsi="Arial"/>
                  <w:sz w:val="18"/>
                  <w:szCs w:val="18"/>
                  <w:color w:val="auto"/>
                </w:rPr>
                <w:t>Ocwen Financial Corporation 2007 Equity Incentive Plan, dated May 10, 2007 (12)</w:t>
              </w:r>
            </w:hyperlink>
          </w:p>
        </w:tc>
      </w:tr>
      <w:tr>
        <w:trPr>
          <w:trHeight w:val="270"/>
        </w:trPr>
        <w:tc>
          <w:tcPr>
            <w:tcW w:w="720" w:type="dxa"/>
            <w:vAlign w:val="bottom"/>
          </w:tcPr>
          <w:p>
            <w:pPr>
              <w:spacing w:after="0"/>
              <w:rPr>
                <w:rFonts w:ascii="Arial" w:cs="Arial" w:eastAsia="Arial" w:hAnsi="Arial"/>
                <w:sz w:val="18"/>
                <w:szCs w:val="18"/>
                <w:color w:val="auto"/>
              </w:rPr>
            </w:pPr>
            <w:hyperlink r:id="rId33">
              <w:r>
                <w:rPr>
                  <w:rFonts w:ascii="Arial" w:cs="Arial" w:eastAsia="Arial" w:hAnsi="Arial"/>
                  <w:sz w:val="18"/>
                  <w:szCs w:val="18"/>
                  <w:color w:val="auto"/>
                </w:rPr>
                <w:t>10.4*</w:t>
              </w:r>
            </w:hyperlink>
          </w:p>
        </w:tc>
        <w:tc>
          <w:tcPr>
            <w:tcW w:w="9820" w:type="dxa"/>
            <w:vAlign w:val="bottom"/>
          </w:tcPr>
          <w:p>
            <w:pPr>
              <w:ind w:left="340"/>
              <w:spacing w:after="0"/>
              <w:rPr>
                <w:rFonts w:ascii="Arial" w:cs="Arial" w:eastAsia="Arial" w:hAnsi="Arial"/>
                <w:sz w:val="18"/>
                <w:szCs w:val="18"/>
                <w:color w:val="auto"/>
              </w:rPr>
            </w:pPr>
            <w:hyperlink r:id="rId33">
              <w:r>
                <w:rPr>
                  <w:rFonts w:ascii="Arial" w:cs="Arial" w:eastAsia="Arial" w:hAnsi="Arial"/>
                  <w:sz w:val="18"/>
                  <w:szCs w:val="18"/>
                  <w:color w:val="auto"/>
                </w:rPr>
                <w:t>Ocwen Mortgage Servicing, Inc. Amended and Restated 2013 Preferred Stock Plan (6)</w:t>
              </w:r>
            </w:hyperlink>
          </w:p>
        </w:tc>
      </w:tr>
      <w:tr>
        <w:trPr>
          <w:trHeight w:val="270"/>
        </w:trPr>
        <w:tc>
          <w:tcPr>
            <w:tcW w:w="720" w:type="dxa"/>
            <w:vAlign w:val="bottom"/>
          </w:tcPr>
          <w:p>
            <w:pPr>
              <w:spacing w:after="0"/>
              <w:rPr>
                <w:rFonts w:ascii="Arial" w:cs="Arial" w:eastAsia="Arial" w:hAnsi="Arial"/>
                <w:sz w:val="18"/>
                <w:szCs w:val="18"/>
                <w:color w:val="auto"/>
              </w:rPr>
            </w:pPr>
            <w:hyperlink r:id="rId34">
              <w:r>
                <w:rPr>
                  <w:rFonts w:ascii="Arial" w:cs="Arial" w:eastAsia="Arial" w:hAnsi="Arial"/>
                  <w:sz w:val="18"/>
                  <w:szCs w:val="18"/>
                  <w:color w:val="auto"/>
                </w:rPr>
                <w:t>10.5</w:t>
              </w:r>
            </w:hyperlink>
          </w:p>
        </w:tc>
        <w:tc>
          <w:tcPr>
            <w:tcW w:w="9820" w:type="dxa"/>
            <w:vAlign w:val="bottom"/>
          </w:tcPr>
          <w:p>
            <w:pPr>
              <w:ind w:left="340"/>
              <w:spacing w:after="0"/>
              <w:rPr>
                <w:rFonts w:ascii="Arial" w:cs="Arial" w:eastAsia="Arial" w:hAnsi="Arial"/>
                <w:sz w:val="18"/>
                <w:szCs w:val="18"/>
                <w:color w:val="auto"/>
              </w:rPr>
            </w:pPr>
            <w:hyperlink r:id="rId34">
              <w:r>
                <w:rPr>
                  <w:rFonts w:ascii="Arial" w:cs="Arial" w:eastAsia="Arial" w:hAnsi="Arial"/>
                  <w:sz w:val="18"/>
                  <w:szCs w:val="18"/>
                  <w:color w:val="auto"/>
                </w:rPr>
                <w:t>Ocwen Financial Corporation 2017 Performance Incentive Plan (23)</w:t>
              </w:r>
            </w:hyperlink>
          </w:p>
        </w:tc>
      </w:tr>
      <w:tr>
        <w:trPr>
          <w:trHeight w:val="472"/>
        </w:trPr>
        <w:tc>
          <w:tcPr>
            <w:tcW w:w="720" w:type="dxa"/>
            <w:vAlign w:val="bottom"/>
          </w:tcPr>
          <w:p>
            <w:pPr>
              <w:spacing w:after="0"/>
              <w:rPr>
                <w:rFonts w:ascii="Arial" w:cs="Arial" w:eastAsia="Arial" w:hAnsi="Arial"/>
                <w:sz w:val="18"/>
                <w:szCs w:val="18"/>
                <w:color w:val="auto"/>
              </w:rPr>
            </w:pPr>
            <w:hyperlink r:id="rId35">
              <w:r>
                <w:rPr>
                  <w:rFonts w:ascii="Arial" w:cs="Arial" w:eastAsia="Arial" w:hAnsi="Arial"/>
                  <w:sz w:val="18"/>
                  <w:szCs w:val="18"/>
                  <w:color w:val="auto"/>
                </w:rPr>
                <w:t>10.6</w:t>
              </w:r>
            </w:hyperlink>
          </w:p>
        </w:tc>
        <w:tc>
          <w:tcPr>
            <w:tcW w:w="9820" w:type="dxa"/>
            <w:vAlign w:val="bottom"/>
          </w:tcPr>
          <w:p>
            <w:pPr>
              <w:ind w:left="340"/>
              <w:spacing w:after="0"/>
              <w:rPr>
                <w:rFonts w:ascii="Arial" w:cs="Arial" w:eastAsia="Arial" w:hAnsi="Arial"/>
                <w:sz w:val="18"/>
                <w:szCs w:val="18"/>
                <w:color w:val="auto"/>
                <w:w w:val="90"/>
              </w:rPr>
            </w:pPr>
            <w:hyperlink r:id="rId35">
              <w:r>
                <w:rPr>
                  <w:rFonts w:ascii="Arial" w:cs="Arial" w:eastAsia="Arial" w:hAnsi="Arial"/>
                  <w:sz w:val="18"/>
                  <w:szCs w:val="18"/>
                  <w:color w:val="auto"/>
                  <w:w w:val="90"/>
                </w:rPr>
                <w:t>Products Services Agreement, dated as of August 10, 2009, by and between Ocwen Financial Corporation and Altisource Solutions</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5">
              <w:r>
                <w:rPr>
                  <w:rFonts w:ascii="Arial" w:cs="Arial" w:eastAsia="Arial" w:hAnsi="Arial"/>
                  <w:sz w:val="18"/>
                  <w:szCs w:val="18"/>
                  <w:color w:val="auto"/>
                </w:rPr>
                <w:t>S.à r.l. (10)</w:t>
              </w:r>
            </w:hyperlink>
          </w:p>
        </w:tc>
      </w:tr>
      <w:tr>
        <w:trPr>
          <w:trHeight w:val="256"/>
        </w:trPr>
        <w:tc>
          <w:tcPr>
            <w:tcW w:w="720" w:type="dxa"/>
            <w:vAlign w:val="bottom"/>
          </w:tcPr>
          <w:p>
            <w:pPr>
              <w:spacing w:after="0"/>
              <w:rPr>
                <w:rFonts w:ascii="Arial" w:cs="Arial" w:eastAsia="Arial" w:hAnsi="Arial"/>
                <w:sz w:val="18"/>
                <w:szCs w:val="18"/>
                <w:color w:val="auto"/>
              </w:rPr>
            </w:pPr>
            <w:hyperlink r:id="rId36">
              <w:r>
                <w:rPr>
                  <w:rFonts w:ascii="Arial" w:cs="Arial" w:eastAsia="Arial" w:hAnsi="Arial"/>
                  <w:sz w:val="18"/>
                  <w:szCs w:val="18"/>
                  <w:color w:val="auto"/>
                </w:rPr>
                <w:t>10.7</w:t>
              </w:r>
            </w:hyperlink>
          </w:p>
        </w:tc>
        <w:tc>
          <w:tcPr>
            <w:tcW w:w="9820" w:type="dxa"/>
            <w:vAlign w:val="bottom"/>
          </w:tcPr>
          <w:p>
            <w:pPr>
              <w:ind w:left="340"/>
              <w:spacing w:after="0"/>
              <w:rPr>
                <w:rFonts w:ascii="Arial" w:cs="Arial" w:eastAsia="Arial" w:hAnsi="Arial"/>
                <w:sz w:val="18"/>
                <w:szCs w:val="18"/>
                <w:color w:val="auto"/>
                <w:w w:val="92"/>
              </w:rPr>
            </w:pPr>
            <w:hyperlink r:id="rId36">
              <w:r>
                <w:rPr>
                  <w:rFonts w:ascii="Arial" w:cs="Arial" w:eastAsia="Arial" w:hAnsi="Arial"/>
                  <w:sz w:val="18"/>
                  <w:szCs w:val="18"/>
                  <w:color w:val="auto"/>
                  <w:w w:val="92"/>
                </w:rPr>
                <w:t>Services Agreement, dated as of August 10, 2009, by and between Ocwen Financial Corporation and Altisource Solutions S.à r.l.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6">
              <w:r>
                <w:rPr>
                  <w:rFonts w:ascii="Arial" w:cs="Arial" w:eastAsia="Arial" w:hAnsi="Arial"/>
                  <w:sz w:val="18"/>
                  <w:szCs w:val="18"/>
                  <w:color w:val="auto"/>
                </w:rPr>
                <w:t>(10)</w:t>
              </w:r>
            </w:hyperlink>
          </w:p>
        </w:tc>
      </w:tr>
      <w:tr>
        <w:trPr>
          <w:trHeight w:val="256"/>
        </w:trPr>
        <w:tc>
          <w:tcPr>
            <w:tcW w:w="720" w:type="dxa"/>
            <w:vAlign w:val="bottom"/>
          </w:tcPr>
          <w:p>
            <w:pPr>
              <w:spacing w:after="0"/>
              <w:rPr>
                <w:rFonts w:ascii="Arial" w:cs="Arial" w:eastAsia="Arial" w:hAnsi="Arial"/>
                <w:sz w:val="18"/>
                <w:szCs w:val="18"/>
                <w:color w:val="auto"/>
              </w:rPr>
            </w:pPr>
            <w:hyperlink r:id="rId37">
              <w:r>
                <w:rPr>
                  <w:rFonts w:ascii="Arial" w:cs="Arial" w:eastAsia="Arial" w:hAnsi="Arial"/>
                  <w:sz w:val="18"/>
                  <w:szCs w:val="18"/>
                  <w:color w:val="auto"/>
                </w:rPr>
                <w:t>10.8</w:t>
              </w:r>
            </w:hyperlink>
          </w:p>
        </w:tc>
        <w:tc>
          <w:tcPr>
            <w:tcW w:w="9820" w:type="dxa"/>
            <w:vAlign w:val="bottom"/>
          </w:tcPr>
          <w:p>
            <w:pPr>
              <w:ind w:left="340"/>
              <w:spacing w:after="0"/>
              <w:rPr>
                <w:rFonts w:ascii="Arial" w:cs="Arial" w:eastAsia="Arial" w:hAnsi="Arial"/>
                <w:sz w:val="18"/>
                <w:szCs w:val="18"/>
                <w:color w:val="auto"/>
                <w:w w:val="98"/>
              </w:rPr>
            </w:pPr>
            <w:hyperlink r:id="rId37">
              <w:r>
                <w:rPr>
                  <w:rFonts w:ascii="Arial" w:cs="Arial" w:eastAsia="Arial" w:hAnsi="Arial"/>
                  <w:sz w:val="18"/>
                  <w:szCs w:val="18"/>
                  <w:color w:val="auto"/>
                  <w:w w:val="98"/>
                </w:rPr>
                <w:t>Data Center and Disaster Recovery Services Agreement, dated as of August 10, 2009, by and between Ocwen Financial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7">
              <w:r>
                <w:rPr>
                  <w:rFonts w:ascii="Arial" w:cs="Arial" w:eastAsia="Arial" w:hAnsi="Arial"/>
                  <w:sz w:val="18"/>
                  <w:szCs w:val="18"/>
                  <w:color w:val="auto"/>
                </w:rPr>
                <w:t>Corporation and Altisource Solutions S.à r.l. (10)</w:t>
              </w:r>
            </w:hyperlink>
          </w:p>
        </w:tc>
      </w:tr>
      <w:tr>
        <w:trPr>
          <w:trHeight w:val="256"/>
        </w:trPr>
        <w:tc>
          <w:tcPr>
            <w:tcW w:w="720" w:type="dxa"/>
            <w:vAlign w:val="bottom"/>
          </w:tcPr>
          <w:p>
            <w:pPr>
              <w:spacing w:after="0"/>
              <w:rPr>
                <w:rFonts w:ascii="Arial" w:cs="Arial" w:eastAsia="Arial" w:hAnsi="Arial"/>
                <w:sz w:val="18"/>
                <w:szCs w:val="18"/>
                <w:color w:val="auto"/>
              </w:rPr>
            </w:pPr>
            <w:hyperlink r:id="rId38">
              <w:r>
                <w:rPr>
                  <w:rFonts w:ascii="Arial" w:cs="Arial" w:eastAsia="Arial" w:hAnsi="Arial"/>
                  <w:sz w:val="18"/>
                  <w:szCs w:val="18"/>
                  <w:color w:val="auto"/>
                </w:rPr>
                <w:t>10.9</w:t>
              </w:r>
            </w:hyperlink>
          </w:p>
        </w:tc>
        <w:tc>
          <w:tcPr>
            <w:tcW w:w="9820" w:type="dxa"/>
            <w:vAlign w:val="bottom"/>
          </w:tcPr>
          <w:p>
            <w:pPr>
              <w:ind w:left="340"/>
              <w:spacing w:after="0"/>
              <w:rPr>
                <w:rFonts w:ascii="Arial" w:cs="Arial" w:eastAsia="Arial" w:hAnsi="Arial"/>
                <w:sz w:val="18"/>
                <w:szCs w:val="18"/>
                <w:color w:val="auto"/>
                <w:w w:val="96"/>
              </w:rPr>
            </w:pPr>
            <w:hyperlink r:id="rId38">
              <w:r>
                <w:rPr>
                  <w:rFonts w:ascii="Arial" w:cs="Arial" w:eastAsia="Arial" w:hAnsi="Arial"/>
                  <w:sz w:val="18"/>
                  <w:szCs w:val="18"/>
                  <w:color w:val="auto"/>
                  <w:w w:val="96"/>
                </w:rPr>
                <w:t>Intellectual Property Agreement, dated as of August 10, 2009, by and between Ocwen Financial Corporation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8">
              <w:r>
                <w:rPr>
                  <w:rFonts w:ascii="Arial" w:cs="Arial" w:eastAsia="Arial" w:hAnsi="Arial"/>
                  <w:sz w:val="18"/>
                  <w:szCs w:val="18"/>
                  <w:color w:val="auto"/>
                </w:rPr>
                <w:t>Solutions S.à r.l. (10)</w:t>
              </w:r>
            </w:hyperlink>
          </w:p>
        </w:tc>
      </w:tr>
      <w:tr>
        <w:trPr>
          <w:trHeight w:val="256"/>
        </w:trPr>
        <w:tc>
          <w:tcPr>
            <w:tcW w:w="720" w:type="dxa"/>
            <w:vAlign w:val="bottom"/>
          </w:tcPr>
          <w:p>
            <w:pPr>
              <w:spacing w:after="0"/>
              <w:rPr>
                <w:rFonts w:ascii="Arial" w:cs="Arial" w:eastAsia="Arial" w:hAnsi="Arial"/>
                <w:sz w:val="18"/>
                <w:szCs w:val="18"/>
                <w:color w:val="auto"/>
              </w:rPr>
            </w:pPr>
            <w:hyperlink r:id="rId39">
              <w:r>
                <w:rPr>
                  <w:rFonts w:ascii="Arial" w:cs="Arial" w:eastAsia="Arial" w:hAnsi="Arial"/>
                  <w:sz w:val="18"/>
                  <w:szCs w:val="18"/>
                  <w:color w:val="auto"/>
                </w:rPr>
                <w:t>10.10</w:t>
              </w:r>
            </w:hyperlink>
          </w:p>
        </w:tc>
        <w:tc>
          <w:tcPr>
            <w:tcW w:w="9820" w:type="dxa"/>
            <w:vAlign w:val="bottom"/>
          </w:tcPr>
          <w:p>
            <w:pPr>
              <w:ind w:left="340"/>
              <w:spacing w:after="0"/>
              <w:rPr>
                <w:rFonts w:ascii="Arial" w:cs="Arial" w:eastAsia="Arial" w:hAnsi="Arial"/>
                <w:sz w:val="18"/>
                <w:szCs w:val="18"/>
                <w:color w:val="auto"/>
                <w:w w:val="90"/>
              </w:rPr>
            </w:pPr>
            <w:hyperlink r:id="rId39">
              <w:r>
                <w:rPr>
                  <w:rFonts w:ascii="Arial" w:cs="Arial" w:eastAsia="Arial" w:hAnsi="Arial"/>
                  <w:sz w:val="18"/>
                  <w:szCs w:val="18"/>
                  <w:color w:val="auto"/>
                  <w:w w:val="90"/>
                </w:rPr>
                <w:t>Services Agreement, dated as of October 1, 2012, by and between Ocwen Mortgage Servicing, Inc. and Altisource Solutions S.à r.l.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39">
              <w:r>
                <w:rPr>
                  <w:rFonts w:ascii="Arial" w:cs="Arial" w:eastAsia="Arial" w:hAnsi="Arial"/>
                  <w:sz w:val="18"/>
                  <w:szCs w:val="18"/>
                  <w:color w:val="auto"/>
                </w:rPr>
                <w:t>(1)</w:t>
              </w:r>
            </w:hyperlink>
          </w:p>
        </w:tc>
      </w:tr>
      <w:tr>
        <w:trPr>
          <w:trHeight w:val="256"/>
        </w:trPr>
        <w:tc>
          <w:tcPr>
            <w:tcW w:w="720" w:type="dxa"/>
            <w:vAlign w:val="bottom"/>
          </w:tcPr>
          <w:p>
            <w:pPr>
              <w:spacing w:after="0"/>
              <w:rPr>
                <w:rFonts w:ascii="Arial" w:cs="Arial" w:eastAsia="Arial" w:hAnsi="Arial"/>
                <w:sz w:val="18"/>
                <w:szCs w:val="18"/>
                <w:color w:val="auto"/>
              </w:rPr>
            </w:pPr>
            <w:hyperlink r:id="rId40">
              <w:r>
                <w:rPr>
                  <w:rFonts w:ascii="Arial" w:cs="Arial" w:eastAsia="Arial" w:hAnsi="Arial"/>
                  <w:sz w:val="18"/>
                  <w:szCs w:val="18"/>
                  <w:color w:val="auto"/>
                </w:rPr>
                <w:t>10.11</w:t>
              </w:r>
            </w:hyperlink>
          </w:p>
        </w:tc>
        <w:tc>
          <w:tcPr>
            <w:tcW w:w="9820" w:type="dxa"/>
            <w:vAlign w:val="bottom"/>
          </w:tcPr>
          <w:p>
            <w:pPr>
              <w:ind w:left="340"/>
              <w:spacing w:after="0"/>
              <w:rPr>
                <w:rFonts w:ascii="Arial" w:cs="Arial" w:eastAsia="Arial" w:hAnsi="Arial"/>
                <w:sz w:val="18"/>
                <w:szCs w:val="18"/>
                <w:color w:val="auto"/>
                <w:w w:val="94"/>
              </w:rPr>
            </w:pPr>
            <w:hyperlink r:id="rId40">
              <w:r>
                <w:rPr>
                  <w:rFonts w:ascii="Arial" w:cs="Arial" w:eastAsia="Arial" w:hAnsi="Arial"/>
                  <w:sz w:val="18"/>
                  <w:szCs w:val="18"/>
                  <w:color w:val="auto"/>
                  <w:w w:val="94"/>
                </w:rPr>
                <w:t>Technology Products Services Agreement, dated as of October 1, 2012, by and between Ocwen Mortgage Servicing, Inc.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0">
              <w:r>
                <w:rPr>
                  <w:rFonts w:ascii="Arial" w:cs="Arial" w:eastAsia="Arial" w:hAnsi="Arial"/>
                  <w:sz w:val="18"/>
                  <w:szCs w:val="18"/>
                  <w:color w:val="auto"/>
                </w:rPr>
                <w:t>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1">
              <w:r>
                <w:rPr>
                  <w:rFonts w:ascii="Arial" w:cs="Arial" w:eastAsia="Arial" w:hAnsi="Arial"/>
                  <w:sz w:val="18"/>
                  <w:szCs w:val="18"/>
                  <w:color w:val="auto"/>
                </w:rPr>
                <w:t>10.12</w:t>
              </w:r>
            </w:hyperlink>
          </w:p>
        </w:tc>
        <w:tc>
          <w:tcPr>
            <w:tcW w:w="9820" w:type="dxa"/>
            <w:vAlign w:val="bottom"/>
          </w:tcPr>
          <w:p>
            <w:pPr>
              <w:ind w:left="340"/>
              <w:spacing w:after="0"/>
              <w:rPr>
                <w:rFonts w:ascii="Arial" w:cs="Arial" w:eastAsia="Arial" w:hAnsi="Arial"/>
                <w:sz w:val="18"/>
                <w:szCs w:val="18"/>
                <w:color w:val="auto"/>
                <w:w w:val="90"/>
              </w:rPr>
            </w:pPr>
            <w:hyperlink r:id="rId41">
              <w:r>
                <w:rPr>
                  <w:rFonts w:ascii="Arial" w:cs="Arial" w:eastAsia="Arial" w:hAnsi="Arial"/>
                  <w:sz w:val="18"/>
                  <w:szCs w:val="18"/>
                  <w:color w:val="auto"/>
                  <w:w w:val="90"/>
                </w:rPr>
                <w:t>Data Center and Disaster Recovery Services Agreement, dated as of October 1, 2012, by and between Ocwen Mortgage Servicing,</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1">
              <w:r>
                <w:rPr>
                  <w:rFonts w:ascii="Arial" w:cs="Arial" w:eastAsia="Arial" w:hAnsi="Arial"/>
                  <w:sz w:val="18"/>
                  <w:szCs w:val="18"/>
                  <w:color w:val="auto"/>
                </w:rPr>
                <w:t>Inc. 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2">
              <w:r>
                <w:rPr>
                  <w:rFonts w:ascii="Arial" w:cs="Arial" w:eastAsia="Arial" w:hAnsi="Arial"/>
                  <w:sz w:val="18"/>
                  <w:szCs w:val="18"/>
                  <w:color w:val="auto"/>
                </w:rPr>
                <w:t>10.13</w:t>
              </w:r>
            </w:hyperlink>
          </w:p>
        </w:tc>
        <w:tc>
          <w:tcPr>
            <w:tcW w:w="9820" w:type="dxa"/>
            <w:vAlign w:val="bottom"/>
          </w:tcPr>
          <w:p>
            <w:pPr>
              <w:ind w:left="340"/>
              <w:spacing w:after="0"/>
              <w:rPr>
                <w:rFonts w:ascii="Arial" w:cs="Arial" w:eastAsia="Arial" w:hAnsi="Arial"/>
                <w:sz w:val="18"/>
                <w:szCs w:val="18"/>
                <w:color w:val="auto"/>
                <w:w w:val="94"/>
              </w:rPr>
            </w:pPr>
            <w:hyperlink r:id="rId42">
              <w:r>
                <w:rPr>
                  <w:rFonts w:ascii="Arial" w:cs="Arial" w:eastAsia="Arial" w:hAnsi="Arial"/>
                  <w:sz w:val="18"/>
                  <w:szCs w:val="18"/>
                  <w:color w:val="auto"/>
                  <w:w w:val="94"/>
                </w:rPr>
                <w:t>Intellectual Property Agreement, dated as of October 1, 2012, by and between Ocwen Mortgage Servicing, Inc.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2">
              <w:r>
                <w:rPr>
                  <w:rFonts w:ascii="Arial" w:cs="Arial" w:eastAsia="Arial" w:hAnsi="Arial"/>
                  <w:sz w:val="18"/>
                  <w:szCs w:val="18"/>
                  <w:color w:val="auto"/>
                </w:rPr>
                <w:t>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3">
              <w:r>
                <w:rPr>
                  <w:rFonts w:ascii="Arial" w:cs="Arial" w:eastAsia="Arial" w:hAnsi="Arial"/>
                  <w:sz w:val="18"/>
                  <w:szCs w:val="18"/>
                  <w:color w:val="auto"/>
                </w:rPr>
                <w:t>10.14</w:t>
              </w:r>
            </w:hyperlink>
          </w:p>
        </w:tc>
        <w:tc>
          <w:tcPr>
            <w:tcW w:w="9820" w:type="dxa"/>
            <w:vAlign w:val="bottom"/>
          </w:tcPr>
          <w:p>
            <w:pPr>
              <w:ind w:left="340"/>
              <w:spacing w:after="0"/>
              <w:rPr>
                <w:rFonts w:ascii="Arial" w:cs="Arial" w:eastAsia="Arial" w:hAnsi="Arial"/>
                <w:sz w:val="18"/>
                <w:szCs w:val="18"/>
                <w:color w:val="auto"/>
                <w:w w:val="97"/>
              </w:rPr>
            </w:pPr>
            <w:hyperlink r:id="rId43">
              <w:r>
                <w:rPr>
                  <w:rFonts w:ascii="Arial" w:cs="Arial" w:eastAsia="Arial" w:hAnsi="Arial"/>
                  <w:sz w:val="18"/>
                  <w:szCs w:val="18"/>
                  <w:color w:val="auto"/>
                  <w:w w:val="97"/>
                </w:rPr>
                <w:t>First Amendment to Services Agreement, dated as of October 1, 2012, by and between Ocwen Financial Corporation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3">
              <w:r>
                <w:rPr>
                  <w:rFonts w:ascii="Arial" w:cs="Arial" w:eastAsia="Arial" w:hAnsi="Arial"/>
                  <w:sz w:val="18"/>
                  <w:szCs w:val="18"/>
                  <w:color w:val="auto"/>
                </w:rPr>
                <w:t>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4">
              <w:r>
                <w:rPr>
                  <w:rFonts w:ascii="Arial" w:cs="Arial" w:eastAsia="Arial" w:hAnsi="Arial"/>
                  <w:sz w:val="18"/>
                  <w:szCs w:val="18"/>
                  <w:color w:val="auto"/>
                </w:rPr>
                <w:t>10.15</w:t>
              </w:r>
            </w:hyperlink>
          </w:p>
        </w:tc>
        <w:tc>
          <w:tcPr>
            <w:tcW w:w="9820" w:type="dxa"/>
            <w:vAlign w:val="bottom"/>
          </w:tcPr>
          <w:p>
            <w:pPr>
              <w:ind w:left="340"/>
              <w:spacing w:after="0"/>
              <w:rPr>
                <w:rFonts w:ascii="Arial" w:cs="Arial" w:eastAsia="Arial" w:hAnsi="Arial"/>
                <w:sz w:val="18"/>
                <w:szCs w:val="18"/>
                <w:color w:val="auto"/>
                <w:w w:val="93"/>
              </w:rPr>
            </w:pPr>
            <w:hyperlink r:id="rId44">
              <w:r>
                <w:rPr>
                  <w:rFonts w:ascii="Arial" w:cs="Arial" w:eastAsia="Arial" w:hAnsi="Arial"/>
                  <w:sz w:val="18"/>
                  <w:szCs w:val="18"/>
                  <w:color w:val="auto"/>
                  <w:w w:val="93"/>
                </w:rPr>
                <w:t>First Amendment to Technology Products Services Agreement, dated as of October 1, 2012, by and between Ocwen Financial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4">
              <w:r>
                <w:rPr>
                  <w:rFonts w:ascii="Arial" w:cs="Arial" w:eastAsia="Arial" w:hAnsi="Arial"/>
                  <w:sz w:val="18"/>
                  <w:szCs w:val="18"/>
                  <w:color w:val="auto"/>
                </w:rPr>
                <w:t>Corporation 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5">
              <w:r>
                <w:rPr>
                  <w:rFonts w:ascii="Arial" w:cs="Arial" w:eastAsia="Arial" w:hAnsi="Arial"/>
                  <w:sz w:val="18"/>
                  <w:szCs w:val="18"/>
                  <w:color w:val="auto"/>
                </w:rPr>
                <w:t>10.16</w:t>
              </w:r>
            </w:hyperlink>
          </w:p>
        </w:tc>
        <w:tc>
          <w:tcPr>
            <w:tcW w:w="9820" w:type="dxa"/>
            <w:vAlign w:val="bottom"/>
          </w:tcPr>
          <w:p>
            <w:pPr>
              <w:ind w:left="340"/>
              <w:spacing w:after="0"/>
              <w:rPr>
                <w:rFonts w:ascii="Arial" w:cs="Arial" w:eastAsia="Arial" w:hAnsi="Arial"/>
                <w:sz w:val="18"/>
                <w:szCs w:val="18"/>
                <w:color w:val="auto"/>
                <w:w w:val="90"/>
              </w:rPr>
            </w:pPr>
            <w:hyperlink r:id="rId45">
              <w:r>
                <w:rPr>
                  <w:rFonts w:ascii="Arial" w:cs="Arial" w:eastAsia="Arial" w:hAnsi="Arial"/>
                  <w:sz w:val="18"/>
                  <w:szCs w:val="18"/>
                  <w:color w:val="auto"/>
                  <w:w w:val="90"/>
                </w:rPr>
                <w:t>First Amendment to Data Center and Disaster Recovery Services Agreement, dated as of October 1, 2012, by and between Ocwen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5">
              <w:r>
                <w:rPr>
                  <w:rFonts w:ascii="Arial" w:cs="Arial" w:eastAsia="Arial" w:hAnsi="Arial"/>
                  <w:sz w:val="18"/>
                  <w:szCs w:val="18"/>
                  <w:color w:val="auto"/>
                </w:rPr>
                <w:t>Financial Corporation 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6">
              <w:r>
                <w:rPr>
                  <w:rFonts w:ascii="Arial" w:cs="Arial" w:eastAsia="Arial" w:hAnsi="Arial"/>
                  <w:sz w:val="18"/>
                  <w:szCs w:val="18"/>
                  <w:color w:val="auto"/>
                </w:rPr>
                <w:t>10.17</w:t>
              </w:r>
            </w:hyperlink>
          </w:p>
        </w:tc>
        <w:tc>
          <w:tcPr>
            <w:tcW w:w="9820" w:type="dxa"/>
            <w:vAlign w:val="bottom"/>
          </w:tcPr>
          <w:p>
            <w:pPr>
              <w:ind w:left="340"/>
              <w:spacing w:after="0"/>
              <w:rPr>
                <w:rFonts w:ascii="Arial" w:cs="Arial" w:eastAsia="Arial" w:hAnsi="Arial"/>
                <w:sz w:val="18"/>
                <w:szCs w:val="18"/>
                <w:color w:val="auto"/>
                <w:w w:val="92"/>
              </w:rPr>
            </w:pPr>
            <w:hyperlink r:id="rId46">
              <w:r>
                <w:rPr>
                  <w:rFonts w:ascii="Arial" w:cs="Arial" w:eastAsia="Arial" w:hAnsi="Arial"/>
                  <w:sz w:val="18"/>
                  <w:szCs w:val="18"/>
                  <w:color w:val="auto"/>
                  <w:w w:val="92"/>
                </w:rPr>
                <w:t>First Amendment to Intellectual Property Agreement, dated as of October 1, 2012, by and between Ocwen Financial Corporation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6">
              <w:r>
                <w:rPr>
                  <w:rFonts w:ascii="Arial" w:cs="Arial" w:eastAsia="Arial" w:hAnsi="Arial"/>
                  <w:sz w:val="18"/>
                  <w:szCs w:val="18"/>
                  <w:color w:val="auto"/>
                </w:rPr>
                <w:t>and Altisource Solutions S.à r.l. (1)</w:t>
              </w:r>
            </w:hyperlink>
          </w:p>
        </w:tc>
      </w:tr>
      <w:tr>
        <w:trPr>
          <w:trHeight w:val="256"/>
        </w:trPr>
        <w:tc>
          <w:tcPr>
            <w:tcW w:w="720" w:type="dxa"/>
            <w:vAlign w:val="bottom"/>
          </w:tcPr>
          <w:p>
            <w:pPr>
              <w:spacing w:after="0"/>
              <w:rPr>
                <w:rFonts w:ascii="Arial" w:cs="Arial" w:eastAsia="Arial" w:hAnsi="Arial"/>
                <w:sz w:val="18"/>
                <w:szCs w:val="18"/>
                <w:color w:val="auto"/>
              </w:rPr>
            </w:pPr>
            <w:hyperlink r:id="rId47">
              <w:r>
                <w:rPr>
                  <w:rFonts w:ascii="Arial" w:cs="Arial" w:eastAsia="Arial" w:hAnsi="Arial"/>
                  <w:sz w:val="18"/>
                  <w:szCs w:val="18"/>
                  <w:color w:val="auto"/>
                </w:rPr>
                <w:t>10.18</w:t>
              </w:r>
            </w:hyperlink>
          </w:p>
        </w:tc>
        <w:tc>
          <w:tcPr>
            <w:tcW w:w="9820" w:type="dxa"/>
            <w:vAlign w:val="bottom"/>
          </w:tcPr>
          <w:p>
            <w:pPr>
              <w:ind w:left="340"/>
              <w:spacing w:after="0"/>
              <w:rPr>
                <w:rFonts w:ascii="Arial" w:cs="Arial" w:eastAsia="Arial" w:hAnsi="Arial"/>
                <w:sz w:val="18"/>
                <w:szCs w:val="18"/>
                <w:color w:val="auto"/>
                <w:w w:val="95"/>
              </w:rPr>
            </w:pPr>
            <w:hyperlink r:id="rId47">
              <w:r>
                <w:rPr>
                  <w:rFonts w:ascii="Arial" w:cs="Arial" w:eastAsia="Arial" w:hAnsi="Arial"/>
                  <w:sz w:val="18"/>
                  <w:szCs w:val="18"/>
                  <w:color w:val="auto"/>
                  <w:w w:val="95"/>
                </w:rPr>
                <w:t>Second Amendment to Services Agreement, dated as of March 29, 2013, by and between Ocwen Financial Corporation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7">
              <w:r>
                <w:rPr>
                  <w:rFonts w:ascii="Arial" w:cs="Arial" w:eastAsia="Arial" w:hAnsi="Arial"/>
                  <w:sz w:val="18"/>
                  <w:szCs w:val="18"/>
                  <w:color w:val="auto"/>
                </w:rPr>
                <w:t>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8">
              <w:r>
                <w:rPr>
                  <w:rFonts w:ascii="Arial" w:cs="Arial" w:eastAsia="Arial" w:hAnsi="Arial"/>
                  <w:sz w:val="18"/>
                  <w:szCs w:val="18"/>
                  <w:color w:val="auto"/>
                </w:rPr>
                <w:t>10.19</w:t>
              </w:r>
            </w:hyperlink>
          </w:p>
        </w:tc>
        <w:tc>
          <w:tcPr>
            <w:tcW w:w="9820" w:type="dxa"/>
            <w:vAlign w:val="bottom"/>
          </w:tcPr>
          <w:p>
            <w:pPr>
              <w:ind w:left="340"/>
              <w:spacing w:after="0"/>
              <w:rPr>
                <w:rFonts w:ascii="Arial" w:cs="Arial" w:eastAsia="Arial" w:hAnsi="Arial"/>
                <w:sz w:val="18"/>
                <w:szCs w:val="18"/>
                <w:color w:val="auto"/>
                <w:w w:val="91"/>
              </w:rPr>
            </w:pPr>
            <w:hyperlink r:id="rId48">
              <w:r>
                <w:rPr>
                  <w:rFonts w:ascii="Arial" w:cs="Arial" w:eastAsia="Arial" w:hAnsi="Arial"/>
                  <w:sz w:val="18"/>
                  <w:szCs w:val="18"/>
                  <w:color w:val="auto"/>
                  <w:w w:val="91"/>
                </w:rPr>
                <w:t>Second Amendment to Technology Products Services Agreement, dated as of March 29, 2013, by and between Ocwen Financial</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8">
              <w:r>
                <w:rPr>
                  <w:rFonts w:ascii="Arial" w:cs="Arial" w:eastAsia="Arial" w:hAnsi="Arial"/>
                  <w:sz w:val="18"/>
                  <w:szCs w:val="18"/>
                  <w:color w:val="auto"/>
                </w:rPr>
                <w:t>Corporation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49">
              <w:r>
                <w:rPr>
                  <w:rFonts w:ascii="Arial" w:cs="Arial" w:eastAsia="Arial" w:hAnsi="Arial"/>
                  <w:sz w:val="18"/>
                  <w:szCs w:val="18"/>
                  <w:color w:val="auto"/>
                </w:rPr>
                <w:t>10.20</w:t>
              </w:r>
            </w:hyperlink>
          </w:p>
        </w:tc>
        <w:tc>
          <w:tcPr>
            <w:tcW w:w="9820" w:type="dxa"/>
            <w:vAlign w:val="bottom"/>
          </w:tcPr>
          <w:p>
            <w:pPr>
              <w:ind w:left="340"/>
              <w:spacing w:after="0"/>
              <w:rPr>
                <w:rFonts w:ascii="Arial" w:cs="Arial" w:eastAsia="Arial" w:hAnsi="Arial"/>
                <w:sz w:val="18"/>
                <w:szCs w:val="18"/>
                <w:color w:val="auto"/>
                <w:w w:val="94"/>
              </w:rPr>
            </w:pPr>
            <w:hyperlink r:id="rId49">
              <w:r>
                <w:rPr>
                  <w:rFonts w:ascii="Arial" w:cs="Arial" w:eastAsia="Arial" w:hAnsi="Arial"/>
                  <w:sz w:val="18"/>
                  <w:szCs w:val="18"/>
                  <w:color w:val="auto"/>
                  <w:w w:val="94"/>
                </w:rPr>
                <w:t>Second Amendment to Data Center and Disaster Recovery Services Agreement, dated as of March 29, 2013, by and between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49">
              <w:r>
                <w:rPr>
                  <w:rFonts w:ascii="Arial" w:cs="Arial" w:eastAsia="Arial" w:hAnsi="Arial"/>
                  <w:sz w:val="18"/>
                  <w:szCs w:val="18"/>
                  <w:color w:val="auto"/>
                </w:rPr>
                <w:t>Ocwen Financial Corporation 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50">
              <w:r>
                <w:rPr>
                  <w:rFonts w:ascii="Arial" w:cs="Arial" w:eastAsia="Arial" w:hAnsi="Arial"/>
                  <w:sz w:val="18"/>
                  <w:szCs w:val="18"/>
                  <w:color w:val="auto"/>
                </w:rPr>
                <w:t>10.21</w:t>
              </w:r>
            </w:hyperlink>
          </w:p>
        </w:tc>
        <w:tc>
          <w:tcPr>
            <w:tcW w:w="9820" w:type="dxa"/>
            <w:vAlign w:val="bottom"/>
          </w:tcPr>
          <w:p>
            <w:pPr>
              <w:ind w:left="340"/>
              <w:spacing w:after="0"/>
              <w:rPr>
                <w:rFonts w:ascii="Arial" w:cs="Arial" w:eastAsia="Arial" w:hAnsi="Arial"/>
                <w:sz w:val="18"/>
                <w:szCs w:val="18"/>
                <w:color w:val="auto"/>
                <w:w w:val="90"/>
              </w:rPr>
            </w:pPr>
            <w:hyperlink r:id="rId50">
              <w:r>
                <w:rPr>
                  <w:rFonts w:ascii="Arial" w:cs="Arial" w:eastAsia="Arial" w:hAnsi="Arial"/>
                  <w:sz w:val="18"/>
                  <w:szCs w:val="18"/>
                  <w:color w:val="auto"/>
                  <w:w w:val="90"/>
                </w:rPr>
                <w:t>Second Amendment to Intellectual Property Agreement, dated as of March 29, 2013, by and between Ocwen Financial Corporation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0">
              <w:r>
                <w:rPr>
                  <w:rFonts w:ascii="Arial" w:cs="Arial" w:eastAsia="Arial" w:hAnsi="Arial"/>
                  <w:sz w:val="18"/>
                  <w:szCs w:val="18"/>
                  <w:color w:val="auto"/>
                </w:rPr>
                <w:t>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51">
              <w:r>
                <w:rPr>
                  <w:rFonts w:ascii="Arial" w:cs="Arial" w:eastAsia="Arial" w:hAnsi="Arial"/>
                  <w:sz w:val="18"/>
                  <w:szCs w:val="18"/>
                  <w:color w:val="auto"/>
                </w:rPr>
                <w:t>10.22</w:t>
              </w:r>
            </w:hyperlink>
          </w:p>
        </w:tc>
        <w:tc>
          <w:tcPr>
            <w:tcW w:w="9820" w:type="dxa"/>
            <w:vAlign w:val="bottom"/>
          </w:tcPr>
          <w:p>
            <w:pPr>
              <w:ind w:left="340"/>
              <w:spacing w:after="0"/>
              <w:rPr>
                <w:rFonts w:ascii="Arial" w:cs="Arial" w:eastAsia="Arial" w:hAnsi="Arial"/>
                <w:sz w:val="18"/>
                <w:szCs w:val="18"/>
                <w:color w:val="auto"/>
                <w:w w:val="95"/>
              </w:rPr>
            </w:pPr>
            <w:hyperlink r:id="rId51">
              <w:r>
                <w:rPr>
                  <w:rFonts w:ascii="Arial" w:cs="Arial" w:eastAsia="Arial" w:hAnsi="Arial"/>
                  <w:sz w:val="18"/>
                  <w:szCs w:val="18"/>
                  <w:color w:val="auto"/>
                  <w:w w:val="95"/>
                </w:rPr>
                <w:t>First Amendment to Services Agreement, dated as of March 29, 2013, by and between Ocwen Mortgage Servicing, Inc. and</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1">
              <w:r>
                <w:rPr>
                  <w:rFonts w:ascii="Arial" w:cs="Arial" w:eastAsia="Arial" w:hAnsi="Arial"/>
                  <w:sz w:val="18"/>
                  <w:szCs w:val="18"/>
                  <w:color w:val="auto"/>
                </w:rPr>
                <w:t>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52">
              <w:r>
                <w:rPr>
                  <w:rFonts w:ascii="Arial" w:cs="Arial" w:eastAsia="Arial" w:hAnsi="Arial"/>
                  <w:sz w:val="18"/>
                  <w:szCs w:val="18"/>
                  <w:color w:val="auto"/>
                </w:rPr>
                <w:t>10.23</w:t>
              </w:r>
            </w:hyperlink>
          </w:p>
        </w:tc>
        <w:tc>
          <w:tcPr>
            <w:tcW w:w="9820" w:type="dxa"/>
            <w:vAlign w:val="bottom"/>
          </w:tcPr>
          <w:p>
            <w:pPr>
              <w:ind w:left="340"/>
              <w:spacing w:after="0"/>
              <w:rPr>
                <w:rFonts w:ascii="Arial" w:cs="Arial" w:eastAsia="Arial" w:hAnsi="Arial"/>
                <w:sz w:val="18"/>
                <w:szCs w:val="18"/>
                <w:color w:val="auto"/>
                <w:w w:val="93"/>
              </w:rPr>
            </w:pPr>
            <w:hyperlink r:id="rId52">
              <w:r>
                <w:rPr>
                  <w:rFonts w:ascii="Arial" w:cs="Arial" w:eastAsia="Arial" w:hAnsi="Arial"/>
                  <w:sz w:val="18"/>
                  <w:szCs w:val="18"/>
                  <w:color w:val="auto"/>
                  <w:w w:val="93"/>
                </w:rPr>
                <w:t>First Amendment to Technology Products Services Agreement, dated as of March 29, 2013, by and between Ocwen Mortgage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2">
              <w:r>
                <w:rPr>
                  <w:rFonts w:ascii="Arial" w:cs="Arial" w:eastAsia="Arial" w:hAnsi="Arial"/>
                  <w:sz w:val="18"/>
                  <w:szCs w:val="18"/>
                  <w:color w:val="auto"/>
                </w:rPr>
                <w:t>Servicing, Inc. 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53">
              <w:r>
                <w:rPr>
                  <w:rFonts w:ascii="Arial" w:cs="Arial" w:eastAsia="Arial" w:hAnsi="Arial"/>
                  <w:sz w:val="18"/>
                  <w:szCs w:val="18"/>
                  <w:color w:val="auto"/>
                </w:rPr>
                <w:t>10.24</w:t>
              </w:r>
            </w:hyperlink>
          </w:p>
        </w:tc>
        <w:tc>
          <w:tcPr>
            <w:tcW w:w="9820" w:type="dxa"/>
            <w:vAlign w:val="bottom"/>
          </w:tcPr>
          <w:p>
            <w:pPr>
              <w:ind w:left="340"/>
              <w:spacing w:after="0"/>
              <w:rPr>
                <w:rFonts w:ascii="Arial" w:cs="Arial" w:eastAsia="Arial" w:hAnsi="Arial"/>
                <w:sz w:val="18"/>
                <w:szCs w:val="18"/>
                <w:color w:val="auto"/>
                <w:w w:val="90"/>
              </w:rPr>
            </w:pPr>
            <w:hyperlink r:id="rId53">
              <w:r>
                <w:rPr>
                  <w:rFonts w:ascii="Arial" w:cs="Arial" w:eastAsia="Arial" w:hAnsi="Arial"/>
                  <w:sz w:val="18"/>
                  <w:szCs w:val="18"/>
                  <w:color w:val="auto"/>
                  <w:w w:val="90"/>
                </w:rPr>
                <w:t>First Amendment to Data Center and Disaster Recovery Services Agreement, dated as of March 29, 2013, by and between Ocwen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3">
              <w:r>
                <w:rPr>
                  <w:rFonts w:ascii="Arial" w:cs="Arial" w:eastAsia="Arial" w:hAnsi="Arial"/>
                  <w:sz w:val="18"/>
                  <w:szCs w:val="18"/>
                  <w:color w:val="auto"/>
                </w:rPr>
                <w:t>Mortgage Servicing, Inc. 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54">
              <w:r>
                <w:rPr>
                  <w:rFonts w:ascii="Arial" w:cs="Arial" w:eastAsia="Arial" w:hAnsi="Arial"/>
                  <w:sz w:val="18"/>
                  <w:szCs w:val="18"/>
                  <w:color w:val="auto"/>
                </w:rPr>
                <w:t>10.25</w:t>
              </w:r>
            </w:hyperlink>
          </w:p>
        </w:tc>
        <w:tc>
          <w:tcPr>
            <w:tcW w:w="9820" w:type="dxa"/>
            <w:vAlign w:val="bottom"/>
          </w:tcPr>
          <w:p>
            <w:pPr>
              <w:ind w:left="340"/>
              <w:spacing w:after="0"/>
              <w:rPr>
                <w:rFonts w:ascii="Arial" w:cs="Arial" w:eastAsia="Arial" w:hAnsi="Arial"/>
                <w:sz w:val="18"/>
                <w:szCs w:val="18"/>
                <w:color w:val="auto"/>
                <w:w w:val="90"/>
              </w:rPr>
            </w:pPr>
            <w:hyperlink r:id="rId54">
              <w:r>
                <w:rPr>
                  <w:rFonts w:ascii="Arial" w:cs="Arial" w:eastAsia="Arial" w:hAnsi="Arial"/>
                  <w:sz w:val="18"/>
                  <w:szCs w:val="18"/>
                  <w:color w:val="auto"/>
                  <w:w w:val="90"/>
                </w:rPr>
                <w:t>First Amendment to Intellectual Property Agreement, dated as of March 29, 2013, by and between Ocwen Mortgage Servicing, Inc.</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4">
              <w:r>
                <w:rPr>
                  <w:rFonts w:ascii="Arial" w:cs="Arial" w:eastAsia="Arial" w:hAnsi="Arial"/>
                  <w:sz w:val="18"/>
                  <w:szCs w:val="18"/>
                  <w:color w:val="auto"/>
                </w:rPr>
                <w:t>and Altisource Solutions S.à r.l. (4)</w:t>
              </w:r>
            </w:hyperlink>
          </w:p>
        </w:tc>
      </w:tr>
      <w:tr>
        <w:trPr>
          <w:trHeight w:val="256"/>
        </w:trPr>
        <w:tc>
          <w:tcPr>
            <w:tcW w:w="720" w:type="dxa"/>
            <w:vAlign w:val="bottom"/>
          </w:tcPr>
          <w:p>
            <w:pPr>
              <w:spacing w:after="0"/>
              <w:rPr>
                <w:rFonts w:ascii="Arial" w:cs="Arial" w:eastAsia="Arial" w:hAnsi="Arial"/>
                <w:sz w:val="18"/>
                <w:szCs w:val="18"/>
                <w:color w:val="auto"/>
              </w:rPr>
            </w:pPr>
            <w:hyperlink r:id="rId55">
              <w:r>
                <w:rPr>
                  <w:rFonts w:ascii="Arial" w:cs="Arial" w:eastAsia="Arial" w:hAnsi="Arial"/>
                  <w:sz w:val="18"/>
                  <w:szCs w:val="18"/>
                  <w:color w:val="auto"/>
                </w:rPr>
                <w:t>10.26</w:t>
              </w:r>
            </w:hyperlink>
          </w:p>
        </w:tc>
        <w:tc>
          <w:tcPr>
            <w:tcW w:w="9820" w:type="dxa"/>
            <w:vAlign w:val="bottom"/>
          </w:tcPr>
          <w:p>
            <w:pPr>
              <w:ind w:left="340"/>
              <w:spacing w:after="0"/>
              <w:rPr>
                <w:rFonts w:ascii="Arial" w:cs="Arial" w:eastAsia="Arial" w:hAnsi="Arial"/>
                <w:sz w:val="18"/>
                <w:szCs w:val="18"/>
                <w:color w:val="auto"/>
                <w:w w:val="91"/>
              </w:rPr>
            </w:pPr>
            <w:hyperlink r:id="rId55">
              <w:r>
                <w:rPr>
                  <w:rFonts w:ascii="Arial" w:cs="Arial" w:eastAsia="Arial" w:hAnsi="Arial"/>
                  <w:sz w:val="18"/>
                  <w:szCs w:val="18"/>
                  <w:color w:val="auto"/>
                  <w:w w:val="91"/>
                </w:rPr>
                <w:t>Third Amendment to Services Agreement, dated as of July 24, 2013, by and between Ocwen Financial Corporation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5">
              <w:r>
                <w:rPr>
                  <w:rFonts w:ascii="Arial" w:cs="Arial" w:eastAsia="Arial" w:hAnsi="Arial"/>
                  <w:sz w:val="18"/>
                  <w:szCs w:val="18"/>
                  <w:color w:val="auto"/>
                </w:rPr>
                <w:t>Solutions S.à r.l. (6)</w:t>
              </w:r>
            </w:hyperlink>
          </w:p>
        </w:tc>
      </w:tr>
      <w:tr>
        <w:trPr>
          <w:trHeight w:val="256"/>
        </w:trPr>
        <w:tc>
          <w:tcPr>
            <w:tcW w:w="720" w:type="dxa"/>
            <w:vAlign w:val="bottom"/>
          </w:tcPr>
          <w:p>
            <w:pPr>
              <w:spacing w:after="0"/>
              <w:rPr>
                <w:rFonts w:ascii="Arial" w:cs="Arial" w:eastAsia="Arial" w:hAnsi="Arial"/>
                <w:sz w:val="18"/>
                <w:szCs w:val="18"/>
                <w:color w:val="auto"/>
              </w:rPr>
            </w:pPr>
            <w:hyperlink r:id="rId56">
              <w:r>
                <w:rPr>
                  <w:rFonts w:ascii="Arial" w:cs="Arial" w:eastAsia="Arial" w:hAnsi="Arial"/>
                  <w:sz w:val="18"/>
                  <w:szCs w:val="18"/>
                  <w:color w:val="auto"/>
                </w:rPr>
                <w:t>10.27</w:t>
              </w:r>
            </w:hyperlink>
          </w:p>
        </w:tc>
        <w:tc>
          <w:tcPr>
            <w:tcW w:w="9820" w:type="dxa"/>
            <w:vAlign w:val="bottom"/>
          </w:tcPr>
          <w:p>
            <w:pPr>
              <w:ind w:left="340"/>
              <w:spacing w:after="0"/>
              <w:rPr>
                <w:rFonts w:ascii="Arial" w:cs="Arial" w:eastAsia="Arial" w:hAnsi="Arial"/>
                <w:sz w:val="18"/>
                <w:szCs w:val="18"/>
                <w:color w:val="auto"/>
                <w:w w:val="92"/>
              </w:rPr>
            </w:pPr>
            <w:hyperlink r:id="rId56">
              <w:r>
                <w:rPr>
                  <w:rFonts w:ascii="Arial" w:cs="Arial" w:eastAsia="Arial" w:hAnsi="Arial"/>
                  <w:sz w:val="18"/>
                  <w:szCs w:val="18"/>
                  <w:color w:val="auto"/>
                  <w:w w:val="92"/>
                </w:rPr>
                <w:t>Second Amendment to Services Agreement dated July 24, 2013 by and between Ocwen Mortgage Servicing, Inc. and Altisource</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6">
              <w:r>
                <w:rPr>
                  <w:rFonts w:ascii="Arial" w:cs="Arial" w:eastAsia="Arial" w:hAnsi="Arial"/>
                  <w:sz w:val="18"/>
                  <w:szCs w:val="18"/>
                  <w:color w:val="auto"/>
                </w:rPr>
                <w:t>Solutions S.à r.l. (6)</w:t>
              </w:r>
            </w:hyperlink>
          </w:p>
        </w:tc>
      </w:tr>
      <w:tr>
        <w:trPr>
          <w:trHeight w:val="256"/>
        </w:trPr>
        <w:tc>
          <w:tcPr>
            <w:tcW w:w="720" w:type="dxa"/>
            <w:vAlign w:val="bottom"/>
          </w:tcPr>
          <w:p>
            <w:pPr>
              <w:spacing w:after="0"/>
              <w:rPr>
                <w:rFonts w:ascii="Arial" w:cs="Arial" w:eastAsia="Arial" w:hAnsi="Arial"/>
                <w:sz w:val="18"/>
                <w:szCs w:val="18"/>
                <w:color w:val="auto"/>
              </w:rPr>
            </w:pPr>
            <w:hyperlink r:id="rId57">
              <w:r>
                <w:rPr>
                  <w:rFonts w:ascii="Arial" w:cs="Arial" w:eastAsia="Arial" w:hAnsi="Arial"/>
                  <w:sz w:val="18"/>
                  <w:szCs w:val="18"/>
                  <w:color w:val="auto"/>
                </w:rPr>
                <w:t>10.28</w:t>
              </w:r>
            </w:hyperlink>
          </w:p>
        </w:tc>
        <w:tc>
          <w:tcPr>
            <w:tcW w:w="9820" w:type="dxa"/>
            <w:vAlign w:val="bottom"/>
          </w:tcPr>
          <w:p>
            <w:pPr>
              <w:ind w:left="340"/>
              <w:spacing w:after="0"/>
              <w:rPr>
                <w:rFonts w:ascii="Arial" w:cs="Arial" w:eastAsia="Arial" w:hAnsi="Arial"/>
                <w:sz w:val="18"/>
                <w:szCs w:val="18"/>
                <w:color w:val="auto"/>
                <w:w w:val="96"/>
              </w:rPr>
            </w:pPr>
            <w:hyperlink r:id="rId57">
              <w:r>
                <w:rPr>
                  <w:rFonts w:ascii="Arial" w:cs="Arial" w:eastAsia="Arial" w:hAnsi="Arial"/>
                  <w:sz w:val="18"/>
                  <w:szCs w:val="18"/>
                  <w:color w:val="auto"/>
                  <w:w w:val="96"/>
                </w:rPr>
                <w:t>Agreement dated as of April 12, 2013 by and among Altisource Solutions S.à r.l., Ocwen Financial Corporation and Ocwen</w:t>
              </w:r>
            </w:hyperlink>
          </w:p>
        </w:tc>
      </w:tr>
      <w:tr>
        <w:trPr>
          <w:trHeight w:val="230"/>
        </w:trPr>
        <w:tc>
          <w:tcPr>
            <w:tcW w:w="720" w:type="dxa"/>
            <w:vAlign w:val="bottom"/>
          </w:tcPr>
          <w:p>
            <w:pPr>
              <w:spacing w:after="0"/>
              <w:rPr>
                <w:sz w:val="20"/>
                <w:szCs w:val="20"/>
                <w:color w:val="auto"/>
              </w:rPr>
            </w:pPr>
          </w:p>
        </w:tc>
        <w:tc>
          <w:tcPr>
            <w:tcW w:w="9820" w:type="dxa"/>
            <w:vAlign w:val="bottom"/>
          </w:tcPr>
          <w:p>
            <w:pPr>
              <w:ind w:left="340"/>
              <w:spacing w:after="0"/>
              <w:rPr>
                <w:rFonts w:ascii="Arial" w:cs="Arial" w:eastAsia="Arial" w:hAnsi="Arial"/>
                <w:sz w:val="18"/>
                <w:szCs w:val="18"/>
                <w:color w:val="auto"/>
              </w:rPr>
            </w:pPr>
            <w:hyperlink r:id="rId57">
              <w:r>
                <w:rPr>
                  <w:rFonts w:ascii="Arial" w:cs="Arial" w:eastAsia="Arial" w:hAnsi="Arial"/>
                  <w:sz w:val="18"/>
                  <w:szCs w:val="18"/>
                  <w:color w:val="auto"/>
                </w:rPr>
                <w:t>Mortgage Servicing, Inc. (13)</w:t>
              </w:r>
            </w:hyperlink>
          </w:p>
        </w:tc>
      </w:tr>
    </w:tbl>
    <w:p>
      <w:pPr>
        <w:spacing w:after="0" w:line="200" w:lineRule="exact"/>
        <w:rPr>
          <w:sz w:val="20"/>
          <w:szCs w:val="20"/>
          <w:color w:val="auto"/>
        </w:rPr>
      </w:pPr>
    </w:p>
    <w:p>
      <w:pPr>
        <w:sectPr>
          <w:pgSz w:w="11900" w:h="16838" w:orient="portrait"/>
          <w:cols w:equalWidth="0" w:num="1">
            <w:col w:w="10540"/>
          </w:cols>
          <w:pgMar w:left="1060" w:top="746" w:right="299" w:bottom="1440" w:gutter="0" w:footer="0" w:header="0"/>
        </w:sectPr>
      </w:pPr>
    </w:p>
    <w:p>
      <w:pPr>
        <w:spacing w:after="0" w:line="56"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540"/>
          </w:cols>
          <w:pgMar w:left="1060" w:top="746" w:right="29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rFonts w:ascii="Arial" w:cs="Arial" w:eastAsia="Arial" w:hAnsi="Arial"/>
                <w:sz w:val="18"/>
                <w:szCs w:val="18"/>
                <w:color w:val="auto"/>
              </w:rPr>
            </w:pPr>
            <w:hyperlink r:id="rId58">
              <w:r>
                <w:rPr>
                  <w:rFonts w:ascii="Arial" w:cs="Arial" w:eastAsia="Arial" w:hAnsi="Arial"/>
                  <w:sz w:val="18"/>
                  <w:szCs w:val="18"/>
                  <w:color w:val="auto"/>
                </w:rPr>
                <w:t>10.29</w:t>
              </w:r>
            </w:hyperlink>
          </w:p>
        </w:tc>
        <w:tc>
          <w:tcPr>
            <w:tcW w:w="9760" w:type="dxa"/>
            <w:vAlign w:val="bottom"/>
          </w:tcPr>
          <w:p>
            <w:pPr>
              <w:ind w:left="240"/>
              <w:spacing w:after="0"/>
              <w:rPr>
                <w:rFonts w:ascii="Arial" w:cs="Arial" w:eastAsia="Arial" w:hAnsi="Arial"/>
                <w:sz w:val="18"/>
                <w:szCs w:val="18"/>
                <w:color w:val="auto"/>
                <w:w w:val="92"/>
              </w:rPr>
            </w:pPr>
            <w:hyperlink r:id="rId58">
              <w:r>
                <w:rPr>
                  <w:rFonts w:ascii="Arial" w:cs="Arial" w:eastAsia="Arial" w:hAnsi="Arial"/>
                  <w:sz w:val="18"/>
                  <w:szCs w:val="18"/>
                  <w:color w:val="auto"/>
                  <w:w w:val="92"/>
                </w:rPr>
                <w:t>Servicing Rights Purchase Agreement, dated October 1, 2012, between Ocwen Loan Servicing, LLC and HLSS Holdings, LLC (6)</w:t>
              </w:r>
            </w:hyperlink>
          </w:p>
        </w:tc>
      </w:tr>
      <w:tr>
        <w:trPr>
          <w:trHeight w:val="270"/>
        </w:trPr>
        <w:tc>
          <w:tcPr>
            <w:tcW w:w="820" w:type="dxa"/>
            <w:vAlign w:val="bottom"/>
          </w:tcPr>
          <w:p>
            <w:pPr>
              <w:spacing w:after="0"/>
              <w:rPr>
                <w:rFonts w:ascii="Arial" w:cs="Arial" w:eastAsia="Arial" w:hAnsi="Arial"/>
                <w:sz w:val="18"/>
                <w:szCs w:val="18"/>
                <w:color w:val="auto"/>
              </w:rPr>
            </w:pPr>
            <w:hyperlink r:id="rId59">
              <w:r>
                <w:rPr>
                  <w:rFonts w:ascii="Arial" w:cs="Arial" w:eastAsia="Arial" w:hAnsi="Arial"/>
                  <w:sz w:val="18"/>
                  <w:szCs w:val="18"/>
                  <w:color w:val="auto"/>
                </w:rPr>
                <w:t>10.30</w:t>
              </w:r>
            </w:hyperlink>
          </w:p>
        </w:tc>
        <w:tc>
          <w:tcPr>
            <w:tcW w:w="9760" w:type="dxa"/>
            <w:vAlign w:val="bottom"/>
          </w:tcPr>
          <w:p>
            <w:pPr>
              <w:ind w:left="240"/>
              <w:spacing w:after="0"/>
              <w:rPr>
                <w:rFonts w:ascii="Arial" w:cs="Arial" w:eastAsia="Arial" w:hAnsi="Arial"/>
                <w:sz w:val="18"/>
                <w:szCs w:val="18"/>
                <w:color w:val="auto"/>
                <w:w w:val="96"/>
              </w:rPr>
            </w:pPr>
            <w:hyperlink r:id="rId59">
              <w:r>
                <w:rPr>
                  <w:rFonts w:ascii="Arial" w:cs="Arial" w:eastAsia="Arial" w:hAnsi="Arial"/>
                  <w:sz w:val="18"/>
                  <w:szCs w:val="18"/>
                  <w:color w:val="auto"/>
                  <w:w w:val="96"/>
                </w:rPr>
                <w:t>Master Subservicing Agreement, dated October 1, 2012, between Ocwen Loan Servicing, LLC and HLSS Holdings, LLC (6)</w:t>
              </w:r>
            </w:hyperlink>
          </w:p>
        </w:tc>
      </w:tr>
      <w:tr>
        <w:trPr>
          <w:trHeight w:val="270"/>
        </w:trPr>
        <w:tc>
          <w:tcPr>
            <w:tcW w:w="820" w:type="dxa"/>
            <w:vAlign w:val="bottom"/>
          </w:tcPr>
          <w:p>
            <w:pPr>
              <w:spacing w:after="0"/>
              <w:rPr>
                <w:rFonts w:ascii="Arial" w:cs="Arial" w:eastAsia="Arial" w:hAnsi="Arial"/>
                <w:sz w:val="18"/>
                <w:szCs w:val="18"/>
                <w:color w:val="auto"/>
              </w:rPr>
            </w:pPr>
            <w:hyperlink r:id="rId60">
              <w:r>
                <w:rPr>
                  <w:rFonts w:ascii="Arial" w:cs="Arial" w:eastAsia="Arial" w:hAnsi="Arial"/>
                  <w:sz w:val="18"/>
                  <w:szCs w:val="18"/>
                  <w:color w:val="auto"/>
                </w:rPr>
                <w:t>10.31</w:t>
              </w:r>
            </w:hyperlink>
          </w:p>
        </w:tc>
        <w:tc>
          <w:tcPr>
            <w:tcW w:w="9760" w:type="dxa"/>
            <w:vAlign w:val="bottom"/>
          </w:tcPr>
          <w:p>
            <w:pPr>
              <w:ind w:left="240"/>
              <w:spacing w:after="0"/>
              <w:rPr>
                <w:rFonts w:ascii="Arial" w:cs="Arial" w:eastAsia="Arial" w:hAnsi="Arial"/>
                <w:sz w:val="18"/>
                <w:szCs w:val="18"/>
                <w:color w:val="auto"/>
                <w:w w:val="97"/>
              </w:rPr>
            </w:pPr>
            <w:hyperlink r:id="rId60">
              <w:r>
                <w:rPr>
                  <w:rFonts w:ascii="Arial" w:cs="Arial" w:eastAsia="Arial" w:hAnsi="Arial"/>
                  <w:sz w:val="18"/>
                  <w:szCs w:val="18"/>
                  <w:color w:val="auto"/>
                  <w:w w:val="97"/>
                </w:rPr>
                <w:t>Amendment to Master Servicing Rights Purchase Agreement and Sale Supplements, dated as of December 26, 2012 (22)</w:t>
              </w:r>
            </w:hyperlink>
          </w:p>
        </w:tc>
      </w:tr>
      <w:tr>
        <w:trPr>
          <w:trHeight w:val="256"/>
        </w:trPr>
        <w:tc>
          <w:tcPr>
            <w:tcW w:w="820" w:type="dxa"/>
            <w:vAlign w:val="bottom"/>
          </w:tcPr>
          <w:p>
            <w:pPr>
              <w:spacing w:after="0"/>
              <w:rPr>
                <w:rFonts w:ascii="Arial" w:cs="Arial" w:eastAsia="Arial" w:hAnsi="Arial"/>
                <w:sz w:val="18"/>
                <w:szCs w:val="18"/>
                <w:color w:val="auto"/>
              </w:rPr>
            </w:pPr>
            <w:hyperlink r:id="rId61">
              <w:r>
                <w:rPr>
                  <w:rFonts w:ascii="Arial" w:cs="Arial" w:eastAsia="Arial" w:hAnsi="Arial"/>
                  <w:sz w:val="18"/>
                  <w:szCs w:val="18"/>
                  <w:color w:val="auto"/>
                </w:rPr>
                <w:t>10.32</w:t>
              </w:r>
            </w:hyperlink>
          </w:p>
        </w:tc>
        <w:tc>
          <w:tcPr>
            <w:tcW w:w="9760" w:type="dxa"/>
            <w:vAlign w:val="bottom"/>
          </w:tcPr>
          <w:p>
            <w:pPr>
              <w:ind w:left="240"/>
              <w:spacing w:after="0"/>
              <w:rPr>
                <w:rFonts w:ascii="Arial" w:cs="Arial" w:eastAsia="Arial" w:hAnsi="Arial"/>
                <w:sz w:val="18"/>
                <w:szCs w:val="18"/>
                <w:color w:val="auto"/>
                <w:w w:val="94"/>
              </w:rPr>
            </w:pPr>
            <w:hyperlink r:id="rId61">
              <w:r>
                <w:rPr>
                  <w:rFonts w:ascii="Arial" w:cs="Arial" w:eastAsia="Arial" w:hAnsi="Arial"/>
                  <w:sz w:val="18"/>
                  <w:szCs w:val="18"/>
                  <w:color w:val="auto"/>
                  <w:w w:val="94"/>
                </w:rPr>
                <w:t>Sale Supplement, dated as of July 1, 2013, to the Master Servicing Rights Purchase Agreement, dated as of October 1, 2012,</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1">
              <w:r>
                <w:rPr>
                  <w:rFonts w:ascii="Arial" w:cs="Arial" w:eastAsia="Arial" w:hAnsi="Arial"/>
                  <w:sz w:val="18"/>
                  <w:szCs w:val="18"/>
                  <w:color w:val="auto"/>
                </w:rPr>
                <w:t>between Ocwen Loan Servicing, LLC, HLSS Holdings, LLC and Home Loan Servicing Solutions, Ltd. (14)</w:t>
              </w:r>
            </w:hyperlink>
          </w:p>
        </w:tc>
      </w:tr>
      <w:tr>
        <w:trPr>
          <w:trHeight w:val="256"/>
        </w:trPr>
        <w:tc>
          <w:tcPr>
            <w:tcW w:w="820" w:type="dxa"/>
            <w:vAlign w:val="bottom"/>
          </w:tcPr>
          <w:p>
            <w:pPr>
              <w:spacing w:after="0"/>
              <w:rPr>
                <w:rFonts w:ascii="Arial" w:cs="Arial" w:eastAsia="Arial" w:hAnsi="Arial"/>
                <w:sz w:val="18"/>
                <w:szCs w:val="18"/>
                <w:color w:val="auto"/>
              </w:rPr>
            </w:pPr>
            <w:hyperlink r:id="rId62">
              <w:r>
                <w:rPr>
                  <w:rFonts w:ascii="Arial" w:cs="Arial" w:eastAsia="Arial" w:hAnsi="Arial"/>
                  <w:sz w:val="18"/>
                  <w:szCs w:val="18"/>
                  <w:color w:val="auto"/>
                </w:rPr>
                <w:t>10.33</w:t>
              </w:r>
            </w:hyperlink>
          </w:p>
        </w:tc>
        <w:tc>
          <w:tcPr>
            <w:tcW w:w="9760" w:type="dxa"/>
            <w:vAlign w:val="bottom"/>
          </w:tcPr>
          <w:p>
            <w:pPr>
              <w:ind w:left="240"/>
              <w:spacing w:after="0"/>
              <w:rPr>
                <w:rFonts w:ascii="Arial" w:cs="Arial" w:eastAsia="Arial" w:hAnsi="Arial"/>
                <w:sz w:val="18"/>
                <w:szCs w:val="18"/>
                <w:color w:val="auto"/>
                <w:w w:val="92"/>
              </w:rPr>
            </w:pPr>
            <w:hyperlink r:id="rId62">
              <w:r>
                <w:rPr>
                  <w:rFonts w:ascii="Arial" w:cs="Arial" w:eastAsia="Arial" w:hAnsi="Arial"/>
                  <w:sz w:val="18"/>
                  <w:szCs w:val="18"/>
                  <w:color w:val="auto"/>
                  <w:w w:val="92"/>
                </w:rPr>
                <w:t>Subservicing Supplement, dated as of July 1, 2013, to the Master Subservicing Agreement, dated as of October 1, 2012, between</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2">
              <w:r>
                <w:rPr>
                  <w:rFonts w:ascii="Arial" w:cs="Arial" w:eastAsia="Arial" w:hAnsi="Arial"/>
                  <w:sz w:val="18"/>
                  <w:szCs w:val="18"/>
                  <w:color w:val="auto"/>
                </w:rPr>
                <w:t>Ocwen Loan Servicing, LLC and HLSS Holdings LLC (14)</w:t>
              </w:r>
            </w:hyperlink>
          </w:p>
        </w:tc>
      </w:tr>
      <w:tr>
        <w:trPr>
          <w:trHeight w:val="256"/>
        </w:trPr>
        <w:tc>
          <w:tcPr>
            <w:tcW w:w="820" w:type="dxa"/>
            <w:vAlign w:val="bottom"/>
          </w:tcPr>
          <w:p>
            <w:pPr>
              <w:spacing w:after="0"/>
              <w:rPr>
                <w:rFonts w:ascii="Arial" w:cs="Arial" w:eastAsia="Arial" w:hAnsi="Arial"/>
                <w:sz w:val="18"/>
                <w:szCs w:val="18"/>
                <w:color w:val="auto"/>
              </w:rPr>
            </w:pPr>
            <w:hyperlink r:id="rId63">
              <w:r>
                <w:rPr>
                  <w:rFonts w:ascii="Arial" w:cs="Arial" w:eastAsia="Arial" w:hAnsi="Arial"/>
                  <w:sz w:val="18"/>
                  <w:szCs w:val="18"/>
                  <w:color w:val="auto"/>
                </w:rPr>
                <w:t>10.34</w:t>
              </w:r>
            </w:hyperlink>
          </w:p>
        </w:tc>
        <w:tc>
          <w:tcPr>
            <w:tcW w:w="9760" w:type="dxa"/>
            <w:vAlign w:val="bottom"/>
          </w:tcPr>
          <w:p>
            <w:pPr>
              <w:ind w:left="240"/>
              <w:spacing w:after="0"/>
              <w:rPr>
                <w:rFonts w:ascii="Arial" w:cs="Arial" w:eastAsia="Arial" w:hAnsi="Arial"/>
                <w:sz w:val="18"/>
                <w:szCs w:val="18"/>
                <w:color w:val="auto"/>
                <w:w w:val="93"/>
              </w:rPr>
            </w:pPr>
            <w:hyperlink r:id="rId63">
              <w:r>
                <w:rPr>
                  <w:rFonts w:ascii="Arial" w:cs="Arial" w:eastAsia="Arial" w:hAnsi="Arial"/>
                  <w:sz w:val="18"/>
                  <w:szCs w:val="18"/>
                  <w:color w:val="auto"/>
                  <w:w w:val="93"/>
                </w:rPr>
                <w:t>Amendment, dated as of September 30, 2013, to the Sale Supplement, dated as of July 1, 2013, to the Master Servicing Rights</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3"/>
              </w:rPr>
            </w:pPr>
            <w:hyperlink r:id="rId63">
              <w:r>
                <w:rPr>
                  <w:rFonts w:ascii="Arial" w:cs="Arial" w:eastAsia="Arial" w:hAnsi="Arial"/>
                  <w:sz w:val="18"/>
                  <w:szCs w:val="18"/>
                  <w:color w:val="auto"/>
                  <w:w w:val="93"/>
                </w:rPr>
                <w:t>Purchase Agreement, dated as of October 1, 2012, between Ocwen Loan Servicing, LLC, HLSS Holdings, LLC and Home Loan</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3">
              <w:r>
                <w:rPr>
                  <w:rFonts w:ascii="Arial" w:cs="Arial" w:eastAsia="Arial" w:hAnsi="Arial"/>
                  <w:sz w:val="18"/>
                  <w:szCs w:val="18"/>
                  <w:color w:val="auto"/>
                </w:rPr>
                <w:t>Servicing Solutions, Ltd. (15)</w:t>
              </w:r>
            </w:hyperlink>
          </w:p>
        </w:tc>
      </w:tr>
      <w:tr>
        <w:trPr>
          <w:trHeight w:val="256"/>
        </w:trPr>
        <w:tc>
          <w:tcPr>
            <w:tcW w:w="820" w:type="dxa"/>
            <w:vAlign w:val="bottom"/>
          </w:tcPr>
          <w:p>
            <w:pPr>
              <w:spacing w:after="0"/>
              <w:rPr>
                <w:rFonts w:ascii="Arial" w:cs="Arial" w:eastAsia="Arial" w:hAnsi="Arial"/>
                <w:sz w:val="18"/>
                <w:szCs w:val="18"/>
                <w:color w:val="auto"/>
              </w:rPr>
            </w:pPr>
            <w:hyperlink r:id="rId64">
              <w:r>
                <w:rPr>
                  <w:rFonts w:ascii="Arial" w:cs="Arial" w:eastAsia="Arial" w:hAnsi="Arial"/>
                  <w:sz w:val="18"/>
                  <w:szCs w:val="18"/>
                  <w:color w:val="auto"/>
                </w:rPr>
                <w:t>10.35</w:t>
              </w:r>
            </w:hyperlink>
          </w:p>
        </w:tc>
        <w:tc>
          <w:tcPr>
            <w:tcW w:w="9760" w:type="dxa"/>
            <w:vAlign w:val="bottom"/>
          </w:tcPr>
          <w:p>
            <w:pPr>
              <w:ind w:left="240"/>
              <w:spacing w:after="0"/>
              <w:rPr>
                <w:rFonts w:ascii="Arial" w:cs="Arial" w:eastAsia="Arial" w:hAnsi="Arial"/>
                <w:sz w:val="18"/>
                <w:szCs w:val="18"/>
                <w:color w:val="auto"/>
                <w:w w:val="90"/>
              </w:rPr>
            </w:pPr>
            <w:hyperlink r:id="rId64">
              <w:r>
                <w:rPr>
                  <w:rFonts w:ascii="Arial" w:cs="Arial" w:eastAsia="Arial" w:hAnsi="Arial"/>
                  <w:sz w:val="18"/>
                  <w:szCs w:val="18"/>
                  <w:color w:val="auto"/>
                  <w:w w:val="90"/>
                </w:rPr>
                <w:t>Amendment, dated as of September 30, 2013, to the Subservicing Supplement, dated as of July 1, 2013, to the Master Subservicing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4">
              <w:r>
                <w:rPr>
                  <w:rFonts w:ascii="Arial" w:cs="Arial" w:eastAsia="Arial" w:hAnsi="Arial"/>
                  <w:sz w:val="18"/>
                  <w:szCs w:val="18"/>
                  <w:color w:val="auto"/>
                </w:rPr>
                <w:t>Agreement, dated as of October 1, 2012, between Ocwen Loan Servicing, LLC and HLSS Holdings LLC (15)</w:t>
              </w:r>
            </w:hyperlink>
          </w:p>
        </w:tc>
      </w:tr>
      <w:tr>
        <w:trPr>
          <w:trHeight w:val="256"/>
        </w:trPr>
        <w:tc>
          <w:tcPr>
            <w:tcW w:w="820" w:type="dxa"/>
            <w:vAlign w:val="bottom"/>
          </w:tcPr>
          <w:p>
            <w:pPr>
              <w:spacing w:after="0"/>
              <w:rPr>
                <w:rFonts w:ascii="Arial" w:cs="Arial" w:eastAsia="Arial" w:hAnsi="Arial"/>
                <w:sz w:val="18"/>
                <w:szCs w:val="18"/>
                <w:color w:val="auto"/>
              </w:rPr>
            </w:pPr>
            <w:hyperlink r:id="rId65">
              <w:r>
                <w:rPr>
                  <w:rFonts w:ascii="Arial" w:cs="Arial" w:eastAsia="Arial" w:hAnsi="Arial"/>
                  <w:sz w:val="18"/>
                  <w:szCs w:val="18"/>
                  <w:color w:val="auto"/>
                </w:rPr>
                <w:t>10.36</w:t>
              </w:r>
            </w:hyperlink>
          </w:p>
        </w:tc>
        <w:tc>
          <w:tcPr>
            <w:tcW w:w="9760" w:type="dxa"/>
            <w:vAlign w:val="bottom"/>
          </w:tcPr>
          <w:p>
            <w:pPr>
              <w:ind w:left="240"/>
              <w:spacing w:after="0"/>
              <w:rPr>
                <w:rFonts w:ascii="Arial" w:cs="Arial" w:eastAsia="Arial" w:hAnsi="Arial"/>
                <w:sz w:val="18"/>
                <w:szCs w:val="18"/>
                <w:color w:val="auto"/>
                <w:w w:val="89"/>
              </w:rPr>
            </w:pPr>
            <w:hyperlink r:id="rId65">
              <w:r>
                <w:rPr>
                  <w:rFonts w:ascii="Arial" w:cs="Arial" w:eastAsia="Arial" w:hAnsi="Arial"/>
                  <w:sz w:val="18"/>
                  <w:szCs w:val="18"/>
                  <w:color w:val="auto"/>
                  <w:w w:val="89"/>
                </w:rPr>
                <w:t>Amendment, dated as of February 4, 2014, to the Sale Supplement dated as of July 1, 2013, the Sale Supplement dated February 10,</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2"/>
              </w:rPr>
            </w:pPr>
            <w:hyperlink r:id="rId65">
              <w:r>
                <w:rPr>
                  <w:rFonts w:ascii="Arial" w:cs="Arial" w:eastAsia="Arial" w:hAnsi="Arial"/>
                  <w:sz w:val="18"/>
                  <w:szCs w:val="18"/>
                  <w:color w:val="auto"/>
                  <w:w w:val="92"/>
                </w:rPr>
                <w:t>2012 and various other sale supplements, between Ocwen Loan Servicing, LLC, HLSS Holdings, LLC and Home Loan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5">
              <w:r>
                <w:rPr>
                  <w:rFonts w:ascii="Arial" w:cs="Arial" w:eastAsia="Arial" w:hAnsi="Arial"/>
                  <w:sz w:val="18"/>
                  <w:szCs w:val="18"/>
                  <w:color w:val="auto"/>
                </w:rPr>
                <w:t>Solutions, Ltd. (6)</w:t>
              </w:r>
            </w:hyperlink>
          </w:p>
        </w:tc>
      </w:tr>
      <w:tr>
        <w:trPr>
          <w:trHeight w:val="256"/>
        </w:trPr>
        <w:tc>
          <w:tcPr>
            <w:tcW w:w="820" w:type="dxa"/>
            <w:vAlign w:val="bottom"/>
          </w:tcPr>
          <w:p>
            <w:pPr>
              <w:spacing w:after="0"/>
              <w:rPr>
                <w:rFonts w:ascii="Arial" w:cs="Arial" w:eastAsia="Arial" w:hAnsi="Arial"/>
                <w:sz w:val="18"/>
                <w:szCs w:val="18"/>
                <w:color w:val="auto"/>
              </w:rPr>
            </w:pPr>
            <w:hyperlink r:id="rId66">
              <w:r>
                <w:rPr>
                  <w:rFonts w:ascii="Arial" w:cs="Arial" w:eastAsia="Arial" w:hAnsi="Arial"/>
                  <w:sz w:val="18"/>
                  <w:szCs w:val="18"/>
                  <w:color w:val="auto"/>
                </w:rPr>
                <w:t>10.37</w:t>
              </w:r>
            </w:hyperlink>
          </w:p>
        </w:tc>
        <w:tc>
          <w:tcPr>
            <w:tcW w:w="9760" w:type="dxa"/>
            <w:vAlign w:val="bottom"/>
          </w:tcPr>
          <w:p>
            <w:pPr>
              <w:ind w:left="240"/>
              <w:spacing w:after="0"/>
              <w:rPr>
                <w:rFonts w:ascii="Arial" w:cs="Arial" w:eastAsia="Arial" w:hAnsi="Arial"/>
                <w:sz w:val="18"/>
                <w:szCs w:val="18"/>
                <w:color w:val="auto"/>
                <w:w w:val="91"/>
              </w:rPr>
            </w:pPr>
            <w:hyperlink r:id="rId66">
              <w:r>
                <w:rPr>
                  <w:rFonts w:ascii="Arial" w:cs="Arial" w:eastAsia="Arial" w:hAnsi="Arial"/>
                  <w:sz w:val="18"/>
                  <w:szCs w:val="18"/>
                  <w:color w:val="auto"/>
                  <w:w w:val="91"/>
                </w:rPr>
                <w:t>Amendment, dated as of February 4, 2014, to the Subservicing Supplement dated as of July 1, 2013, the Subservicing Supplement</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7"/>
              </w:rPr>
            </w:pPr>
            <w:hyperlink r:id="rId66">
              <w:r>
                <w:rPr>
                  <w:rFonts w:ascii="Arial" w:cs="Arial" w:eastAsia="Arial" w:hAnsi="Arial"/>
                  <w:sz w:val="18"/>
                  <w:szCs w:val="18"/>
                  <w:color w:val="auto"/>
                  <w:w w:val="97"/>
                </w:rPr>
                <w:t>dated as of February 10, 2012 and various other subservicing supplements, among Ocwen Loan Servicing, LLC and HLSS</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66">
              <w:r>
                <w:rPr>
                  <w:rFonts w:ascii="Arial" w:cs="Arial" w:eastAsia="Arial" w:hAnsi="Arial"/>
                  <w:sz w:val="18"/>
                  <w:szCs w:val="18"/>
                  <w:color w:val="auto"/>
                </w:rPr>
                <w:t>Holdings, LLC (6)</w:t>
              </w:r>
            </w:hyperlink>
          </w:p>
        </w:tc>
      </w:tr>
      <w:tr>
        <w:trPr>
          <w:trHeight w:val="270"/>
        </w:trPr>
        <w:tc>
          <w:tcPr>
            <w:tcW w:w="820" w:type="dxa"/>
            <w:vAlign w:val="bottom"/>
          </w:tcPr>
          <w:p>
            <w:pPr>
              <w:spacing w:after="0"/>
              <w:rPr>
                <w:rFonts w:ascii="Arial" w:cs="Arial" w:eastAsia="Arial" w:hAnsi="Arial"/>
                <w:sz w:val="18"/>
                <w:szCs w:val="18"/>
                <w:color w:val="auto"/>
              </w:rPr>
            </w:pPr>
            <w:hyperlink r:id="rId67">
              <w:r>
                <w:rPr>
                  <w:rFonts w:ascii="Arial" w:cs="Arial" w:eastAsia="Arial" w:hAnsi="Arial"/>
                  <w:sz w:val="18"/>
                  <w:szCs w:val="18"/>
                  <w:color w:val="auto"/>
                </w:rPr>
                <w:t>10.38</w:t>
              </w:r>
            </w:hyperlink>
          </w:p>
        </w:tc>
        <w:tc>
          <w:tcPr>
            <w:tcW w:w="9760" w:type="dxa"/>
            <w:vAlign w:val="bottom"/>
          </w:tcPr>
          <w:p>
            <w:pPr>
              <w:ind w:left="240"/>
              <w:spacing w:after="0"/>
              <w:rPr>
                <w:rFonts w:ascii="Arial" w:cs="Arial" w:eastAsia="Arial" w:hAnsi="Arial"/>
                <w:sz w:val="18"/>
                <w:szCs w:val="18"/>
                <w:color w:val="auto"/>
                <w:w w:val="98"/>
              </w:rPr>
            </w:pPr>
            <w:hyperlink r:id="rId67">
              <w:r>
                <w:rPr>
                  <w:rFonts w:ascii="Arial" w:cs="Arial" w:eastAsia="Arial" w:hAnsi="Arial"/>
                  <w:sz w:val="18"/>
                  <w:szCs w:val="18"/>
                  <w:color w:val="auto"/>
                  <w:w w:val="98"/>
                </w:rPr>
                <w:t>Amendment No. 2 to Master Servicing Rights Purchase Agreement and Sale Supplements, dated as of April 6, 2015 (16)</w:t>
              </w:r>
            </w:hyperlink>
          </w:p>
        </w:tc>
      </w:tr>
      <w:tr>
        <w:trPr>
          <w:trHeight w:val="270"/>
        </w:trPr>
        <w:tc>
          <w:tcPr>
            <w:tcW w:w="820" w:type="dxa"/>
            <w:vAlign w:val="bottom"/>
          </w:tcPr>
          <w:p>
            <w:pPr>
              <w:spacing w:after="0"/>
              <w:rPr>
                <w:rFonts w:ascii="Arial" w:cs="Arial" w:eastAsia="Arial" w:hAnsi="Arial"/>
                <w:sz w:val="18"/>
                <w:szCs w:val="18"/>
                <w:color w:val="auto"/>
              </w:rPr>
            </w:pPr>
            <w:hyperlink r:id="rId68">
              <w:r>
                <w:rPr>
                  <w:rFonts w:ascii="Arial" w:cs="Arial" w:eastAsia="Arial" w:hAnsi="Arial"/>
                  <w:sz w:val="18"/>
                  <w:szCs w:val="18"/>
                  <w:color w:val="auto"/>
                </w:rPr>
                <w:t>10.39</w:t>
              </w:r>
            </w:hyperlink>
          </w:p>
        </w:tc>
        <w:tc>
          <w:tcPr>
            <w:tcW w:w="9760" w:type="dxa"/>
            <w:vAlign w:val="bottom"/>
          </w:tcPr>
          <w:p>
            <w:pPr>
              <w:ind w:left="240"/>
              <w:spacing w:after="0"/>
              <w:rPr>
                <w:rFonts w:ascii="Arial" w:cs="Arial" w:eastAsia="Arial" w:hAnsi="Arial"/>
                <w:sz w:val="18"/>
                <w:szCs w:val="18"/>
                <w:color w:val="auto"/>
              </w:rPr>
            </w:pPr>
            <w:hyperlink r:id="rId68">
              <w:r>
                <w:rPr>
                  <w:rFonts w:ascii="Arial" w:cs="Arial" w:eastAsia="Arial" w:hAnsi="Arial"/>
                  <w:sz w:val="18"/>
                  <w:szCs w:val="18"/>
                  <w:color w:val="auto"/>
                </w:rPr>
                <w:t>February 17, 2017 Amendment to the Master Servicing Rights Purchase Agreement and Sale Supplements (22)</w:t>
              </w:r>
            </w:hyperlink>
          </w:p>
        </w:tc>
      </w:tr>
      <w:tr>
        <w:trPr>
          <w:trHeight w:val="256"/>
        </w:trPr>
        <w:tc>
          <w:tcPr>
            <w:tcW w:w="820" w:type="dxa"/>
            <w:vAlign w:val="bottom"/>
          </w:tcPr>
          <w:p>
            <w:pPr>
              <w:spacing w:after="0"/>
              <w:rPr>
                <w:rFonts w:ascii="Arial" w:cs="Arial" w:eastAsia="Arial" w:hAnsi="Arial"/>
                <w:sz w:val="18"/>
                <w:szCs w:val="18"/>
                <w:color w:val="auto"/>
              </w:rPr>
            </w:pPr>
            <w:hyperlink r:id="rId69">
              <w:r>
                <w:rPr>
                  <w:rFonts w:ascii="Arial" w:cs="Arial" w:eastAsia="Arial" w:hAnsi="Arial"/>
                  <w:sz w:val="18"/>
                  <w:szCs w:val="18"/>
                  <w:color w:val="auto"/>
                </w:rPr>
                <w:t>10.40</w:t>
              </w:r>
            </w:hyperlink>
          </w:p>
        </w:tc>
        <w:tc>
          <w:tcPr>
            <w:tcW w:w="9760" w:type="dxa"/>
            <w:vAlign w:val="bottom"/>
          </w:tcPr>
          <w:p>
            <w:pPr>
              <w:ind w:left="240"/>
              <w:spacing w:after="0"/>
              <w:rPr>
                <w:rFonts w:ascii="Arial" w:cs="Arial" w:eastAsia="Arial" w:hAnsi="Arial"/>
                <w:sz w:val="18"/>
                <w:szCs w:val="18"/>
                <w:color w:val="auto"/>
                <w:w w:val="90"/>
              </w:rPr>
            </w:pPr>
            <w:hyperlink r:id="rId69">
              <w:r>
                <w:rPr>
                  <w:rFonts w:ascii="Arial" w:cs="Arial" w:eastAsia="Arial" w:hAnsi="Arial"/>
                  <w:sz w:val="18"/>
                  <w:szCs w:val="18"/>
                  <w:color w:val="auto"/>
                  <w:w w:val="90"/>
                </w:rPr>
                <w:t>Amended and Restated Senior Secured Term Loan Facility Agreement, dated as of December 5, 2016, by and among Ocwen Loan</w:t>
              </w:r>
            </w:hyperlink>
          </w:p>
        </w:tc>
      </w:tr>
      <w:tr>
        <w:trPr>
          <w:trHeight w:val="216"/>
        </w:trPr>
        <w:tc>
          <w:tcPr>
            <w:tcW w:w="820" w:type="dxa"/>
            <w:vAlign w:val="bottom"/>
          </w:tcPr>
          <w:p>
            <w:pPr>
              <w:spacing w:after="0"/>
              <w:rPr>
                <w:sz w:val="18"/>
                <w:szCs w:val="18"/>
                <w:color w:val="auto"/>
              </w:rPr>
            </w:pPr>
          </w:p>
        </w:tc>
        <w:tc>
          <w:tcPr>
            <w:tcW w:w="9760" w:type="dxa"/>
            <w:vAlign w:val="bottom"/>
          </w:tcPr>
          <w:p>
            <w:pPr>
              <w:ind w:left="240"/>
              <w:spacing w:after="0"/>
              <w:rPr>
                <w:rFonts w:ascii="Arial" w:cs="Arial" w:eastAsia="Arial" w:hAnsi="Arial"/>
                <w:sz w:val="18"/>
                <w:szCs w:val="18"/>
                <w:color w:val="auto"/>
                <w:w w:val="94"/>
              </w:rPr>
            </w:pPr>
            <w:hyperlink r:id="rId69">
              <w:r>
                <w:rPr>
                  <w:rFonts w:ascii="Arial" w:cs="Arial" w:eastAsia="Arial" w:hAnsi="Arial"/>
                  <w:sz w:val="18"/>
                  <w:szCs w:val="18"/>
                  <w:color w:val="auto"/>
                  <w:w w:val="94"/>
                </w:rPr>
                <w:t>Servicing, LLC, as Borrower, Ocwen Financial Corporation, as Parent, Certain Subsidiaries of Ocwen Financial Corporation, as</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w w:val="94"/>
              </w:rPr>
            </w:pPr>
            <w:hyperlink r:id="rId69">
              <w:r>
                <w:rPr>
                  <w:rFonts w:ascii="Arial" w:cs="Arial" w:eastAsia="Arial" w:hAnsi="Arial"/>
                  <w:sz w:val="18"/>
                  <w:szCs w:val="18"/>
                  <w:color w:val="auto"/>
                  <w:w w:val="94"/>
                </w:rPr>
                <w:t>Subsidiary Guarantors, the Lender Parties thereto, and Barclays Bank PLC, as Administrative Agent and Collateral Agent (21)</w:t>
              </w:r>
            </w:hyperlink>
          </w:p>
        </w:tc>
      </w:tr>
      <w:tr>
        <w:trPr>
          <w:trHeight w:val="256"/>
        </w:trPr>
        <w:tc>
          <w:tcPr>
            <w:tcW w:w="820" w:type="dxa"/>
            <w:vAlign w:val="bottom"/>
          </w:tcPr>
          <w:p>
            <w:pPr>
              <w:spacing w:after="0"/>
              <w:rPr>
                <w:rFonts w:ascii="Arial" w:cs="Arial" w:eastAsia="Arial" w:hAnsi="Arial"/>
                <w:sz w:val="18"/>
                <w:szCs w:val="18"/>
                <w:color w:val="auto"/>
              </w:rPr>
            </w:pPr>
            <w:hyperlink r:id="rId70">
              <w:r>
                <w:rPr>
                  <w:rFonts w:ascii="Arial" w:cs="Arial" w:eastAsia="Arial" w:hAnsi="Arial"/>
                  <w:sz w:val="18"/>
                  <w:szCs w:val="18"/>
                  <w:color w:val="auto"/>
                </w:rPr>
                <w:t>10.41</w:t>
              </w:r>
            </w:hyperlink>
          </w:p>
        </w:tc>
        <w:tc>
          <w:tcPr>
            <w:tcW w:w="9760" w:type="dxa"/>
            <w:vAlign w:val="bottom"/>
          </w:tcPr>
          <w:p>
            <w:pPr>
              <w:ind w:left="240"/>
              <w:spacing w:after="0"/>
              <w:rPr>
                <w:rFonts w:ascii="Arial" w:cs="Arial" w:eastAsia="Arial" w:hAnsi="Arial"/>
                <w:sz w:val="18"/>
                <w:szCs w:val="18"/>
                <w:color w:val="auto"/>
                <w:w w:val="89"/>
              </w:rPr>
            </w:pPr>
            <w:hyperlink r:id="rId70">
              <w:r>
                <w:rPr>
                  <w:rFonts w:ascii="Arial" w:cs="Arial" w:eastAsia="Arial" w:hAnsi="Arial"/>
                  <w:sz w:val="18"/>
                  <w:szCs w:val="18"/>
                  <w:color w:val="auto"/>
                  <w:w w:val="89"/>
                </w:rPr>
                <w:t>Pledge and Security Agreement dated as of February 15, 2013 between each of the Grantor Parties thereto, and Barclays Bank PLC,</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0">
              <w:r>
                <w:rPr>
                  <w:rFonts w:ascii="Arial" w:cs="Arial" w:eastAsia="Arial" w:hAnsi="Arial"/>
                  <w:sz w:val="18"/>
                  <w:szCs w:val="18"/>
                  <w:color w:val="auto"/>
                </w:rPr>
                <w:t>as Collateral Agent (17)</w:t>
              </w:r>
            </w:hyperlink>
          </w:p>
        </w:tc>
      </w:tr>
      <w:tr>
        <w:trPr>
          <w:trHeight w:val="256"/>
        </w:trPr>
        <w:tc>
          <w:tcPr>
            <w:tcW w:w="820" w:type="dxa"/>
            <w:vAlign w:val="bottom"/>
          </w:tcPr>
          <w:p>
            <w:pPr>
              <w:spacing w:after="0"/>
              <w:rPr>
                <w:rFonts w:ascii="Arial" w:cs="Arial" w:eastAsia="Arial" w:hAnsi="Arial"/>
                <w:sz w:val="18"/>
                <w:szCs w:val="18"/>
                <w:color w:val="auto"/>
              </w:rPr>
            </w:pPr>
            <w:hyperlink r:id="rId71">
              <w:r>
                <w:rPr>
                  <w:rFonts w:ascii="Arial" w:cs="Arial" w:eastAsia="Arial" w:hAnsi="Arial"/>
                  <w:sz w:val="18"/>
                  <w:szCs w:val="18"/>
                  <w:color w:val="auto"/>
                </w:rPr>
                <w:t>10.</w:t>
              </w:r>
            </w:hyperlink>
            <w:r>
              <w:rPr>
                <w:rFonts w:ascii="Arial" w:cs="Arial" w:eastAsia="Arial" w:hAnsi="Arial"/>
                <w:sz w:val="18"/>
                <w:szCs w:val="18"/>
                <w:color w:val="auto"/>
              </w:rPr>
              <w:t>42</w:t>
            </w:r>
          </w:p>
        </w:tc>
        <w:tc>
          <w:tcPr>
            <w:tcW w:w="9760" w:type="dxa"/>
            <w:vAlign w:val="bottom"/>
          </w:tcPr>
          <w:p>
            <w:pPr>
              <w:ind w:left="240"/>
              <w:spacing w:after="0"/>
              <w:rPr>
                <w:rFonts w:ascii="Arial" w:cs="Arial" w:eastAsia="Arial" w:hAnsi="Arial"/>
                <w:sz w:val="18"/>
                <w:szCs w:val="18"/>
                <w:color w:val="auto"/>
                <w:w w:val="90"/>
              </w:rPr>
            </w:pPr>
            <w:hyperlink r:id="rId71">
              <w:r>
                <w:rPr>
                  <w:rFonts w:ascii="Arial" w:cs="Arial" w:eastAsia="Arial" w:hAnsi="Arial"/>
                  <w:sz w:val="18"/>
                  <w:szCs w:val="18"/>
                  <w:color w:val="auto"/>
                  <w:w w:val="90"/>
                </w:rPr>
                <w:t>Second Lien Notes Pledge and Security Agreement, dated as of December 5, 2016, among each of the grantors named therein and</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1">
              <w:r>
                <w:rPr>
                  <w:rFonts w:ascii="Arial" w:cs="Arial" w:eastAsia="Arial" w:hAnsi="Arial"/>
                  <w:sz w:val="18"/>
                  <w:szCs w:val="18"/>
                  <w:color w:val="auto"/>
                </w:rPr>
                <w:t>Wilmington Trust, National Association (21)</w:t>
              </w:r>
            </w:hyperlink>
          </w:p>
        </w:tc>
      </w:tr>
      <w:tr>
        <w:trPr>
          <w:trHeight w:val="256"/>
        </w:trPr>
        <w:tc>
          <w:tcPr>
            <w:tcW w:w="820" w:type="dxa"/>
            <w:vAlign w:val="bottom"/>
          </w:tcPr>
          <w:p>
            <w:pPr>
              <w:spacing w:after="0"/>
              <w:rPr>
                <w:rFonts w:ascii="Arial" w:cs="Arial" w:eastAsia="Arial" w:hAnsi="Arial"/>
                <w:sz w:val="18"/>
                <w:szCs w:val="18"/>
                <w:color w:val="auto"/>
              </w:rPr>
            </w:pPr>
            <w:hyperlink r:id="rId72">
              <w:r>
                <w:rPr>
                  <w:rFonts w:ascii="Arial" w:cs="Arial" w:eastAsia="Arial" w:hAnsi="Arial"/>
                  <w:sz w:val="18"/>
                  <w:szCs w:val="18"/>
                  <w:color w:val="auto"/>
                </w:rPr>
                <w:t>10.</w:t>
              </w:r>
            </w:hyperlink>
            <w:r>
              <w:rPr>
                <w:rFonts w:ascii="Arial" w:cs="Arial" w:eastAsia="Arial" w:hAnsi="Arial"/>
                <w:sz w:val="18"/>
                <w:szCs w:val="18"/>
                <w:color w:val="auto"/>
              </w:rPr>
              <w:t>43</w:t>
            </w:r>
          </w:p>
        </w:tc>
        <w:tc>
          <w:tcPr>
            <w:tcW w:w="9760" w:type="dxa"/>
            <w:vAlign w:val="bottom"/>
          </w:tcPr>
          <w:p>
            <w:pPr>
              <w:ind w:left="240"/>
              <w:spacing w:after="0"/>
              <w:rPr>
                <w:rFonts w:ascii="Arial" w:cs="Arial" w:eastAsia="Arial" w:hAnsi="Arial"/>
                <w:sz w:val="18"/>
                <w:szCs w:val="18"/>
                <w:color w:val="auto"/>
                <w:w w:val="95"/>
              </w:rPr>
            </w:pPr>
            <w:hyperlink r:id="rId72">
              <w:r>
                <w:rPr>
                  <w:rFonts w:ascii="Arial" w:cs="Arial" w:eastAsia="Arial" w:hAnsi="Arial"/>
                  <w:sz w:val="18"/>
                  <w:szCs w:val="18"/>
                  <w:color w:val="auto"/>
                  <w:w w:val="95"/>
                </w:rPr>
                <w:t>Junior Priority Intercreditor Agreement, dated as of December 5, 2016, among Ocwen Loan Servicing, LLC, Ocwen Financial</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2">
              <w:r>
                <w:rPr>
                  <w:rFonts w:ascii="Arial" w:cs="Arial" w:eastAsia="Arial" w:hAnsi="Arial"/>
                  <w:sz w:val="18"/>
                  <w:szCs w:val="18"/>
                  <w:color w:val="auto"/>
                </w:rPr>
                <w:t>Corporation, the other grantors named therein, Barclays Bank PLC and Wilmington Trust, National Association (21)</w:t>
              </w:r>
            </w:hyperlink>
          </w:p>
        </w:tc>
      </w:tr>
      <w:tr>
        <w:trPr>
          <w:trHeight w:val="270"/>
        </w:trPr>
        <w:tc>
          <w:tcPr>
            <w:tcW w:w="820" w:type="dxa"/>
            <w:vAlign w:val="bottom"/>
          </w:tcPr>
          <w:p>
            <w:pPr>
              <w:spacing w:after="0"/>
              <w:rPr>
                <w:rFonts w:ascii="Arial" w:cs="Arial" w:eastAsia="Arial" w:hAnsi="Arial"/>
                <w:sz w:val="18"/>
                <w:szCs w:val="18"/>
                <w:color w:val="auto"/>
              </w:rPr>
            </w:pPr>
            <w:hyperlink r:id="rId73">
              <w:r>
                <w:rPr>
                  <w:rFonts w:ascii="Arial" w:cs="Arial" w:eastAsia="Arial" w:hAnsi="Arial"/>
                  <w:sz w:val="18"/>
                  <w:szCs w:val="18"/>
                  <w:color w:val="auto"/>
                </w:rPr>
                <w:t>10.44*</w:t>
              </w:r>
            </w:hyperlink>
          </w:p>
        </w:tc>
        <w:tc>
          <w:tcPr>
            <w:tcW w:w="9760" w:type="dxa"/>
            <w:vAlign w:val="bottom"/>
          </w:tcPr>
          <w:p>
            <w:pPr>
              <w:ind w:left="240"/>
              <w:spacing w:after="0"/>
              <w:rPr>
                <w:rFonts w:ascii="Arial" w:cs="Arial" w:eastAsia="Arial" w:hAnsi="Arial"/>
                <w:sz w:val="18"/>
                <w:szCs w:val="18"/>
                <w:color w:val="auto"/>
              </w:rPr>
            </w:pPr>
            <w:hyperlink r:id="rId73">
              <w:r>
                <w:rPr>
                  <w:rFonts w:ascii="Arial" w:cs="Arial" w:eastAsia="Arial" w:hAnsi="Arial"/>
                  <w:sz w:val="18"/>
                  <w:szCs w:val="18"/>
                  <w:color w:val="auto"/>
                </w:rPr>
                <w:t>Description of USVI Relocation Package of Ocwen Mortgage Servicing, Inc. (18)</w:t>
              </w:r>
            </w:hyperlink>
          </w:p>
        </w:tc>
      </w:tr>
      <w:tr>
        <w:trPr>
          <w:trHeight w:val="256"/>
        </w:trPr>
        <w:tc>
          <w:tcPr>
            <w:tcW w:w="820" w:type="dxa"/>
            <w:vAlign w:val="bottom"/>
          </w:tcPr>
          <w:p>
            <w:pPr>
              <w:spacing w:after="0"/>
              <w:rPr>
                <w:rFonts w:ascii="Arial" w:cs="Arial" w:eastAsia="Arial" w:hAnsi="Arial"/>
                <w:sz w:val="18"/>
                <w:szCs w:val="18"/>
                <w:color w:val="auto"/>
              </w:rPr>
            </w:pPr>
            <w:hyperlink r:id="rId74">
              <w:r>
                <w:rPr>
                  <w:rFonts w:ascii="Arial" w:cs="Arial" w:eastAsia="Arial" w:hAnsi="Arial"/>
                  <w:sz w:val="18"/>
                  <w:szCs w:val="18"/>
                  <w:color w:val="auto"/>
                </w:rPr>
                <w:t>10.45*</w:t>
              </w:r>
            </w:hyperlink>
          </w:p>
        </w:tc>
        <w:tc>
          <w:tcPr>
            <w:tcW w:w="9760" w:type="dxa"/>
            <w:vAlign w:val="bottom"/>
          </w:tcPr>
          <w:p>
            <w:pPr>
              <w:ind w:left="240"/>
              <w:spacing w:after="0"/>
              <w:rPr>
                <w:rFonts w:ascii="Arial" w:cs="Arial" w:eastAsia="Arial" w:hAnsi="Arial"/>
                <w:sz w:val="18"/>
                <w:szCs w:val="18"/>
                <w:color w:val="auto"/>
                <w:w w:val="93"/>
              </w:rPr>
            </w:pPr>
            <w:hyperlink r:id="rId74">
              <w:r>
                <w:rPr>
                  <w:rFonts w:ascii="Arial" w:cs="Arial" w:eastAsia="Arial" w:hAnsi="Arial"/>
                  <w:sz w:val="18"/>
                  <w:szCs w:val="18"/>
                  <w:color w:val="auto"/>
                  <w:w w:val="93"/>
                </w:rPr>
                <w:t>Retirement Agreement, dated as of January 16, 2015, by and among Ocwen Financial Corporation, Ocwen Mortgage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4">
              <w:r>
                <w:rPr>
                  <w:rFonts w:ascii="Arial" w:cs="Arial" w:eastAsia="Arial" w:hAnsi="Arial"/>
                  <w:sz w:val="18"/>
                  <w:szCs w:val="18"/>
                  <w:color w:val="auto"/>
                </w:rPr>
                <w:t>Inc. and William C. Erbey. (19)</w:t>
              </w:r>
            </w:hyperlink>
          </w:p>
        </w:tc>
      </w:tr>
      <w:tr>
        <w:trPr>
          <w:trHeight w:val="270"/>
        </w:trPr>
        <w:tc>
          <w:tcPr>
            <w:tcW w:w="820" w:type="dxa"/>
            <w:vAlign w:val="bottom"/>
          </w:tcPr>
          <w:p>
            <w:pPr>
              <w:spacing w:after="0"/>
              <w:rPr>
                <w:rFonts w:ascii="Arial" w:cs="Arial" w:eastAsia="Arial" w:hAnsi="Arial"/>
                <w:sz w:val="18"/>
                <w:szCs w:val="18"/>
                <w:color w:val="auto"/>
              </w:rPr>
            </w:pPr>
            <w:hyperlink r:id="rId75">
              <w:r>
                <w:rPr>
                  <w:rFonts w:ascii="Arial" w:cs="Arial" w:eastAsia="Arial" w:hAnsi="Arial"/>
                  <w:sz w:val="18"/>
                  <w:szCs w:val="18"/>
                  <w:color w:val="auto"/>
                </w:rPr>
                <w:t>10.</w:t>
              </w:r>
            </w:hyperlink>
            <w:r>
              <w:rPr>
                <w:rFonts w:ascii="Arial" w:cs="Arial" w:eastAsia="Arial" w:hAnsi="Arial"/>
                <w:sz w:val="18"/>
                <w:szCs w:val="18"/>
                <w:color w:val="auto"/>
              </w:rPr>
              <w:t>46*</w:t>
            </w:r>
          </w:p>
        </w:tc>
        <w:tc>
          <w:tcPr>
            <w:tcW w:w="9760" w:type="dxa"/>
            <w:vAlign w:val="bottom"/>
          </w:tcPr>
          <w:p>
            <w:pPr>
              <w:ind w:left="240"/>
              <w:spacing w:after="0"/>
              <w:rPr>
                <w:rFonts w:ascii="Arial" w:cs="Arial" w:eastAsia="Arial" w:hAnsi="Arial"/>
                <w:sz w:val="18"/>
                <w:szCs w:val="18"/>
                <w:color w:val="auto"/>
              </w:rPr>
            </w:pPr>
            <w:hyperlink r:id="rId75">
              <w:r>
                <w:rPr>
                  <w:rFonts w:ascii="Arial" w:cs="Arial" w:eastAsia="Arial" w:hAnsi="Arial"/>
                  <w:sz w:val="18"/>
                  <w:szCs w:val="18"/>
                  <w:color w:val="auto"/>
                </w:rPr>
                <w:t>Form of Indemnification Agreement (20)</w:t>
              </w:r>
            </w:hyperlink>
          </w:p>
        </w:tc>
      </w:tr>
      <w:tr>
        <w:trPr>
          <w:trHeight w:val="270"/>
        </w:trPr>
        <w:tc>
          <w:tcPr>
            <w:tcW w:w="820" w:type="dxa"/>
            <w:vAlign w:val="bottom"/>
          </w:tcPr>
          <w:p>
            <w:pPr>
              <w:spacing w:after="0"/>
              <w:rPr>
                <w:rFonts w:ascii="Arial" w:cs="Arial" w:eastAsia="Arial" w:hAnsi="Arial"/>
                <w:sz w:val="18"/>
                <w:szCs w:val="18"/>
                <w:color w:val="auto"/>
              </w:rPr>
            </w:pPr>
            <w:hyperlink r:id="rId76">
              <w:r>
                <w:rPr>
                  <w:rFonts w:ascii="Arial" w:cs="Arial" w:eastAsia="Arial" w:hAnsi="Arial"/>
                  <w:sz w:val="18"/>
                  <w:szCs w:val="18"/>
                  <w:color w:val="auto"/>
                </w:rPr>
                <w:t>10.</w:t>
              </w:r>
            </w:hyperlink>
            <w:r>
              <w:rPr>
                <w:rFonts w:ascii="Arial" w:cs="Arial" w:eastAsia="Arial" w:hAnsi="Arial"/>
                <w:sz w:val="18"/>
                <w:szCs w:val="18"/>
                <w:color w:val="auto"/>
              </w:rPr>
              <w:t>47*</w:t>
            </w:r>
          </w:p>
        </w:tc>
        <w:tc>
          <w:tcPr>
            <w:tcW w:w="9760" w:type="dxa"/>
            <w:vAlign w:val="bottom"/>
          </w:tcPr>
          <w:p>
            <w:pPr>
              <w:ind w:left="240"/>
              <w:spacing w:after="0"/>
              <w:rPr>
                <w:rFonts w:ascii="Arial" w:cs="Arial" w:eastAsia="Arial" w:hAnsi="Arial"/>
                <w:sz w:val="18"/>
                <w:szCs w:val="18"/>
                <w:color w:val="auto"/>
              </w:rPr>
            </w:pPr>
            <w:hyperlink r:id="rId76">
              <w:r>
                <w:rPr>
                  <w:rFonts w:ascii="Arial" w:cs="Arial" w:eastAsia="Arial" w:hAnsi="Arial"/>
                  <w:sz w:val="18"/>
                  <w:szCs w:val="18"/>
                  <w:color w:val="auto"/>
                </w:rPr>
                <w:t>Form of Undertaking to Repay Advancement of Indemnification Expenses (20)</w:t>
              </w:r>
            </w:hyperlink>
          </w:p>
        </w:tc>
      </w:tr>
      <w:tr>
        <w:trPr>
          <w:trHeight w:val="256"/>
        </w:trPr>
        <w:tc>
          <w:tcPr>
            <w:tcW w:w="820" w:type="dxa"/>
            <w:vAlign w:val="bottom"/>
          </w:tcPr>
          <w:p>
            <w:pPr>
              <w:spacing w:after="0"/>
              <w:rPr>
                <w:rFonts w:ascii="Arial" w:cs="Arial" w:eastAsia="Arial" w:hAnsi="Arial"/>
                <w:sz w:val="18"/>
                <w:szCs w:val="18"/>
                <w:color w:val="auto"/>
              </w:rPr>
            </w:pPr>
            <w:hyperlink r:id="rId77">
              <w:r>
                <w:rPr>
                  <w:rFonts w:ascii="Arial" w:cs="Arial" w:eastAsia="Arial" w:hAnsi="Arial"/>
                  <w:sz w:val="18"/>
                  <w:szCs w:val="18"/>
                  <w:color w:val="auto"/>
                </w:rPr>
                <w:t>10.48††</w:t>
              </w:r>
            </w:hyperlink>
          </w:p>
        </w:tc>
        <w:tc>
          <w:tcPr>
            <w:tcW w:w="9760" w:type="dxa"/>
            <w:vAlign w:val="bottom"/>
          </w:tcPr>
          <w:p>
            <w:pPr>
              <w:ind w:left="240"/>
              <w:spacing w:after="0"/>
              <w:rPr>
                <w:rFonts w:ascii="Arial" w:cs="Arial" w:eastAsia="Arial" w:hAnsi="Arial"/>
                <w:sz w:val="18"/>
                <w:szCs w:val="18"/>
                <w:color w:val="auto"/>
                <w:w w:val="92"/>
              </w:rPr>
            </w:pPr>
            <w:hyperlink r:id="rId77">
              <w:r>
                <w:rPr>
                  <w:rFonts w:ascii="Arial" w:cs="Arial" w:eastAsia="Arial" w:hAnsi="Arial"/>
                  <w:sz w:val="18"/>
                  <w:szCs w:val="18"/>
                  <w:color w:val="auto"/>
                  <w:w w:val="92"/>
                </w:rPr>
                <w:t>Master Agreement dated as of July 23, 2017 by and among Ocwen Loan Servicing, LLC, HLSS Holdings, LLC, HLSS MSR - EBO</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7">
              <w:r>
                <w:rPr>
                  <w:rFonts w:ascii="Arial" w:cs="Arial" w:eastAsia="Arial" w:hAnsi="Arial"/>
                  <w:sz w:val="18"/>
                  <w:szCs w:val="18"/>
                  <w:color w:val="auto"/>
                </w:rPr>
                <w:t>Acquisition LLC, and New Residential Mortgage LLC (24)</w:t>
              </w:r>
            </w:hyperlink>
          </w:p>
        </w:tc>
      </w:tr>
      <w:tr>
        <w:trPr>
          <w:trHeight w:val="256"/>
        </w:trPr>
        <w:tc>
          <w:tcPr>
            <w:tcW w:w="820" w:type="dxa"/>
            <w:vAlign w:val="bottom"/>
          </w:tcPr>
          <w:p>
            <w:pPr>
              <w:spacing w:after="0"/>
              <w:rPr>
                <w:rFonts w:ascii="Arial" w:cs="Arial" w:eastAsia="Arial" w:hAnsi="Arial"/>
                <w:sz w:val="18"/>
                <w:szCs w:val="18"/>
                <w:color w:val="auto"/>
              </w:rPr>
            </w:pPr>
            <w:hyperlink r:id="rId78">
              <w:r>
                <w:rPr>
                  <w:rFonts w:ascii="Arial" w:cs="Arial" w:eastAsia="Arial" w:hAnsi="Arial"/>
                  <w:sz w:val="18"/>
                  <w:szCs w:val="18"/>
                  <w:color w:val="auto"/>
                </w:rPr>
                <w:t>10.49</w:t>
              </w:r>
            </w:hyperlink>
          </w:p>
        </w:tc>
        <w:tc>
          <w:tcPr>
            <w:tcW w:w="9760" w:type="dxa"/>
            <w:vAlign w:val="bottom"/>
          </w:tcPr>
          <w:p>
            <w:pPr>
              <w:ind w:left="240"/>
              <w:spacing w:after="0"/>
              <w:rPr>
                <w:rFonts w:ascii="Arial" w:cs="Arial" w:eastAsia="Arial" w:hAnsi="Arial"/>
                <w:sz w:val="18"/>
                <w:szCs w:val="18"/>
                <w:color w:val="auto"/>
                <w:w w:val="91"/>
              </w:rPr>
            </w:pPr>
            <w:hyperlink r:id="rId78">
              <w:r>
                <w:rPr>
                  <w:rFonts w:ascii="Arial" w:cs="Arial" w:eastAsia="Arial" w:hAnsi="Arial"/>
                  <w:sz w:val="18"/>
                  <w:szCs w:val="18"/>
                  <w:color w:val="auto"/>
                  <w:w w:val="91"/>
                </w:rPr>
                <w:t>Amendment No. 1, dated October 12, 2017, to Master Agreement dated as of July 23, 2017 by and among Ocwen Loan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8">
              <w:r>
                <w:rPr>
                  <w:rFonts w:ascii="Arial" w:cs="Arial" w:eastAsia="Arial" w:hAnsi="Arial"/>
                  <w:sz w:val="18"/>
                  <w:szCs w:val="18"/>
                  <w:color w:val="auto"/>
                </w:rPr>
                <w:t>LLC, HLSS Holdings, LLC, HLSS MSR - EBO Acquisition LLC, and New Residential Mortgage LLC (24)</w:t>
              </w:r>
            </w:hyperlink>
          </w:p>
        </w:tc>
      </w:tr>
      <w:tr>
        <w:trPr>
          <w:trHeight w:val="256"/>
        </w:trPr>
        <w:tc>
          <w:tcPr>
            <w:tcW w:w="820" w:type="dxa"/>
            <w:vAlign w:val="bottom"/>
          </w:tcPr>
          <w:p>
            <w:pPr>
              <w:spacing w:after="0"/>
              <w:rPr>
                <w:rFonts w:ascii="Arial" w:cs="Arial" w:eastAsia="Arial" w:hAnsi="Arial"/>
                <w:sz w:val="18"/>
                <w:szCs w:val="18"/>
                <w:color w:val="auto"/>
              </w:rPr>
            </w:pPr>
            <w:hyperlink r:id="rId79">
              <w:r>
                <w:rPr>
                  <w:rFonts w:ascii="Arial" w:cs="Arial" w:eastAsia="Arial" w:hAnsi="Arial"/>
                  <w:sz w:val="18"/>
                  <w:szCs w:val="18"/>
                  <w:color w:val="auto"/>
                </w:rPr>
                <w:t>10.50††</w:t>
              </w:r>
            </w:hyperlink>
          </w:p>
        </w:tc>
        <w:tc>
          <w:tcPr>
            <w:tcW w:w="9760" w:type="dxa"/>
            <w:vAlign w:val="bottom"/>
          </w:tcPr>
          <w:p>
            <w:pPr>
              <w:ind w:left="240"/>
              <w:spacing w:after="0"/>
              <w:rPr>
                <w:rFonts w:ascii="Arial" w:cs="Arial" w:eastAsia="Arial" w:hAnsi="Arial"/>
                <w:sz w:val="18"/>
                <w:szCs w:val="18"/>
                <w:color w:val="auto"/>
                <w:w w:val="95"/>
              </w:rPr>
            </w:pPr>
            <w:hyperlink r:id="rId79">
              <w:r>
                <w:rPr>
                  <w:rFonts w:ascii="Arial" w:cs="Arial" w:eastAsia="Arial" w:hAnsi="Arial"/>
                  <w:sz w:val="18"/>
                  <w:szCs w:val="18"/>
                  <w:color w:val="auto"/>
                  <w:w w:val="95"/>
                </w:rPr>
                <w:t>Transfer Agreement dated as of July 23, 2017 by and between Ocwen Loan Servicing, LLC, New Residential Mortgage LLC,</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79">
              <w:r>
                <w:rPr>
                  <w:rFonts w:ascii="Arial" w:cs="Arial" w:eastAsia="Arial" w:hAnsi="Arial"/>
                  <w:sz w:val="18"/>
                  <w:szCs w:val="18"/>
                  <w:color w:val="auto"/>
                </w:rPr>
                <w:t>Ocwen Financial Corporation, and New Residential Investment Corp. (24)</w:t>
              </w:r>
            </w:hyperlink>
          </w:p>
        </w:tc>
      </w:tr>
      <w:tr>
        <w:trPr>
          <w:trHeight w:val="256"/>
        </w:trPr>
        <w:tc>
          <w:tcPr>
            <w:tcW w:w="820" w:type="dxa"/>
            <w:vAlign w:val="bottom"/>
          </w:tcPr>
          <w:p>
            <w:pPr>
              <w:spacing w:after="0"/>
              <w:rPr>
                <w:rFonts w:ascii="Arial" w:cs="Arial" w:eastAsia="Arial" w:hAnsi="Arial"/>
                <w:sz w:val="18"/>
                <w:szCs w:val="18"/>
                <w:color w:val="auto"/>
              </w:rPr>
            </w:pPr>
            <w:hyperlink r:id="rId80">
              <w:r>
                <w:rPr>
                  <w:rFonts w:ascii="Arial" w:cs="Arial" w:eastAsia="Arial" w:hAnsi="Arial"/>
                  <w:sz w:val="18"/>
                  <w:szCs w:val="18"/>
                  <w:color w:val="auto"/>
                </w:rPr>
                <w:t>10.51††</w:t>
              </w:r>
            </w:hyperlink>
          </w:p>
        </w:tc>
        <w:tc>
          <w:tcPr>
            <w:tcW w:w="9760" w:type="dxa"/>
            <w:vAlign w:val="bottom"/>
          </w:tcPr>
          <w:p>
            <w:pPr>
              <w:ind w:left="240"/>
              <w:spacing w:after="0"/>
              <w:rPr>
                <w:rFonts w:ascii="Arial" w:cs="Arial" w:eastAsia="Arial" w:hAnsi="Arial"/>
                <w:sz w:val="18"/>
                <w:szCs w:val="18"/>
                <w:color w:val="auto"/>
                <w:w w:val="93"/>
              </w:rPr>
            </w:pPr>
            <w:hyperlink r:id="rId80">
              <w:r>
                <w:rPr>
                  <w:rFonts w:ascii="Arial" w:cs="Arial" w:eastAsia="Arial" w:hAnsi="Arial"/>
                  <w:sz w:val="18"/>
                  <w:szCs w:val="18"/>
                  <w:color w:val="auto"/>
                  <w:w w:val="93"/>
                </w:rPr>
                <w:t>Subservicing Agreement dated as of July 23, 2017 by and between New Residential Mortgage LLC and Ocwen Loan Servicing,</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80">
              <w:r>
                <w:rPr>
                  <w:rFonts w:ascii="Arial" w:cs="Arial" w:eastAsia="Arial" w:hAnsi="Arial"/>
                  <w:sz w:val="18"/>
                  <w:szCs w:val="18"/>
                  <w:color w:val="auto"/>
                </w:rPr>
                <w:t>LLC (24)</w:t>
              </w:r>
            </w:hyperlink>
          </w:p>
        </w:tc>
      </w:tr>
      <w:tr>
        <w:trPr>
          <w:trHeight w:val="256"/>
        </w:trPr>
        <w:tc>
          <w:tcPr>
            <w:tcW w:w="820" w:type="dxa"/>
            <w:vAlign w:val="bottom"/>
          </w:tcPr>
          <w:p>
            <w:pPr>
              <w:spacing w:after="0"/>
              <w:rPr>
                <w:rFonts w:ascii="Arial" w:cs="Arial" w:eastAsia="Arial" w:hAnsi="Arial"/>
                <w:sz w:val="18"/>
                <w:szCs w:val="18"/>
                <w:color w:val="auto"/>
              </w:rPr>
            </w:pPr>
            <w:hyperlink r:id="rId81">
              <w:r>
                <w:rPr>
                  <w:rFonts w:ascii="Arial" w:cs="Arial" w:eastAsia="Arial" w:hAnsi="Arial"/>
                  <w:sz w:val="18"/>
                  <w:szCs w:val="18"/>
                  <w:color w:val="auto"/>
                </w:rPr>
                <w:t>10.52</w:t>
              </w:r>
            </w:hyperlink>
          </w:p>
        </w:tc>
        <w:tc>
          <w:tcPr>
            <w:tcW w:w="9760" w:type="dxa"/>
            <w:vAlign w:val="bottom"/>
          </w:tcPr>
          <w:p>
            <w:pPr>
              <w:ind w:left="240"/>
              <w:spacing w:after="0"/>
              <w:rPr>
                <w:rFonts w:ascii="Arial" w:cs="Arial" w:eastAsia="Arial" w:hAnsi="Arial"/>
                <w:sz w:val="18"/>
                <w:szCs w:val="18"/>
                <w:color w:val="auto"/>
                <w:w w:val="90"/>
              </w:rPr>
            </w:pPr>
            <w:hyperlink r:id="rId81">
              <w:r>
                <w:rPr>
                  <w:rFonts w:ascii="Arial" w:cs="Arial" w:eastAsia="Arial" w:hAnsi="Arial"/>
                  <w:sz w:val="18"/>
                  <w:szCs w:val="18"/>
                  <w:color w:val="auto"/>
                  <w:w w:val="90"/>
                </w:rPr>
                <w:t>Transaction Agreement for share purchase dated as of July 23, 2017 by and between New Residential Investment Corp. and Ocwen</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81">
              <w:r>
                <w:rPr>
                  <w:rFonts w:ascii="Arial" w:cs="Arial" w:eastAsia="Arial" w:hAnsi="Arial"/>
                  <w:sz w:val="18"/>
                  <w:szCs w:val="18"/>
                  <w:color w:val="auto"/>
                </w:rPr>
                <w:t>Financial Corporation (24)</w:t>
              </w:r>
            </w:hyperlink>
          </w:p>
        </w:tc>
      </w:tr>
      <w:tr>
        <w:trPr>
          <w:trHeight w:val="472"/>
        </w:trPr>
        <w:tc>
          <w:tcPr>
            <w:tcW w:w="820" w:type="dxa"/>
            <w:vAlign w:val="bottom"/>
          </w:tcPr>
          <w:p>
            <w:pPr>
              <w:spacing w:after="0"/>
              <w:rPr>
                <w:rFonts w:ascii="Arial" w:cs="Arial" w:eastAsia="Arial" w:hAnsi="Arial"/>
                <w:sz w:val="18"/>
                <w:szCs w:val="18"/>
                <w:color w:val="auto"/>
              </w:rPr>
            </w:pPr>
            <w:hyperlink r:id="rId82">
              <w:r>
                <w:rPr>
                  <w:rFonts w:ascii="Arial" w:cs="Arial" w:eastAsia="Arial" w:hAnsi="Arial"/>
                  <w:sz w:val="18"/>
                  <w:szCs w:val="18"/>
                  <w:color w:val="auto"/>
                </w:rPr>
                <w:t>10.53††</w:t>
              </w:r>
            </w:hyperlink>
          </w:p>
        </w:tc>
        <w:tc>
          <w:tcPr>
            <w:tcW w:w="9760" w:type="dxa"/>
            <w:vAlign w:val="bottom"/>
          </w:tcPr>
          <w:p>
            <w:pPr>
              <w:ind w:left="240"/>
              <w:spacing w:after="0"/>
              <w:rPr>
                <w:rFonts w:ascii="Arial" w:cs="Arial" w:eastAsia="Arial" w:hAnsi="Arial"/>
                <w:sz w:val="18"/>
                <w:szCs w:val="18"/>
                <w:color w:val="auto"/>
                <w:w w:val="94"/>
              </w:rPr>
            </w:pPr>
            <w:hyperlink r:id="rId82">
              <w:r>
                <w:rPr>
                  <w:rFonts w:ascii="Arial" w:cs="Arial" w:eastAsia="Arial" w:hAnsi="Arial"/>
                  <w:sz w:val="18"/>
                  <w:szCs w:val="18"/>
                  <w:color w:val="auto"/>
                  <w:w w:val="94"/>
                </w:rPr>
                <w:t>New RMSR Agreement, dated as of January 18, 2018 by and among Ocwen Loan Servicing, LLC, HLSS Holdings, LLC, HLSS</w:t>
              </w:r>
            </w:hyperlink>
          </w:p>
        </w:tc>
      </w:tr>
      <w:tr>
        <w:trPr>
          <w:trHeight w:val="230"/>
        </w:trPr>
        <w:tc>
          <w:tcPr>
            <w:tcW w:w="820" w:type="dxa"/>
            <w:vAlign w:val="bottom"/>
          </w:tcPr>
          <w:p>
            <w:pPr>
              <w:spacing w:after="0"/>
              <w:rPr>
                <w:sz w:val="20"/>
                <w:szCs w:val="20"/>
                <w:color w:val="auto"/>
              </w:rPr>
            </w:pPr>
          </w:p>
        </w:tc>
        <w:tc>
          <w:tcPr>
            <w:tcW w:w="9760" w:type="dxa"/>
            <w:vAlign w:val="bottom"/>
          </w:tcPr>
          <w:p>
            <w:pPr>
              <w:ind w:left="240"/>
              <w:spacing w:after="0"/>
              <w:rPr>
                <w:rFonts w:ascii="Arial" w:cs="Arial" w:eastAsia="Arial" w:hAnsi="Arial"/>
                <w:sz w:val="18"/>
                <w:szCs w:val="18"/>
                <w:color w:val="auto"/>
              </w:rPr>
            </w:pPr>
            <w:hyperlink r:id="rId82">
              <w:r>
                <w:rPr>
                  <w:rFonts w:ascii="Arial" w:cs="Arial" w:eastAsia="Arial" w:hAnsi="Arial"/>
                  <w:sz w:val="18"/>
                  <w:szCs w:val="18"/>
                  <w:color w:val="auto"/>
                </w:rPr>
                <w:t>MSR - EBO Acquisition LLC, and New Residential Mortgage LLC (3)</w:t>
              </w:r>
            </w:hyperlink>
          </w:p>
        </w:tc>
      </w:tr>
      <w:tr>
        <w:trPr>
          <w:trHeight w:val="486"/>
        </w:trPr>
        <w:tc>
          <w:tcPr>
            <w:tcW w:w="820" w:type="dxa"/>
            <w:vAlign w:val="bottom"/>
          </w:tcPr>
          <w:p>
            <w:pPr>
              <w:spacing w:after="0"/>
              <w:rPr>
                <w:sz w:val="24"/>
                <w:szCs w:val="24"/>
                <w:color w:val="auto"/>
              </w:rPr>
            </w:pPr>
          </w:p>
        </w:tc>
        <w:tc>
          <w:tcPr>
            <w:tcW w:w="9760" w:type="dxa"/>
            <w:vAlign w:val="bottom"/>
          </w:tcPr>
          <w:p>
            <w:pPr>
              <w:ind w:left="398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0580"/>
          </w:cols>
          <w:pgMar w:left="1060" w:top="746" w:right="259" w:bottom="1440" w:gutter="0" w:footer="0" w:header="0"/>
        </w:sectPr>
      </w:pPr>
    </w:p>
    <w:bookmarkStart w:id="97" w:name="page98"/>
    <w:bookmarkEnd w:id="97"/>
    <w:p>
      <w:pPr>
        <w:spacing w:after="0" w:line="1" w:lineRule="exact"/>
        <w:rPr>
          <w:sz w:val="20"/>
          <w:szCs w:val="20"/>
          <w:color w:val="auto"/>
        </w:rPr>
      </w:pPr>
    </w:p>
    <w:tbl>
      <w:tblPr>
        <w:tblLayout w:type="fixed"/>
        <w:tblInd w:w="732" w:type="dxa"/>
        <w:tblCellMar>
          <w:top w:w="0" w:type="dxa"/>
          <w:left w:w="0" w:type="dxa"/>
          <w:bottom w:w="0" w:type="dxa"/>
          <w:right w:w="0" w:type="dxa"/>
        </w:tblCellMar>
      </w:tblPr>
      <w:tr>
        <w:trPr>
          <w:trHeight w:val="216"/>
        </w:trPr>
        <w:tc>
          <w:tcPr>
            <w:tcW w:w="900" w:type="dxa"/>
            <w:vAlign w:val="bottom"/>
          </w:tcPr>
          <w:p>
            <w:pPr>
              <w:ind w:left="80"/>
              <w:spacing w:after="0"/>
              <w:rPr>
                <w:rFonts w:ascii="Arial" w:cs="Arial" w:eastAsia="Arial" w:hAnsi="Arial"/>
                <w:sz w:val="18"/>
                <w:szCs w:val="18"/>
                <w:color w:val="auto"/>
              </w:rPr>
            </w:pPr>
            <w:hyperlink r:id="rId83">
              <w:r>
                <w:rPr>
                  <w:rFonts w:ascii="Arial" w:cs="Arial" w:eastAsia="Arial" w:hAnsi="Arial"/>
                  <w:sz w:val="18"/>
                  <w:szCs w:val="18"/>
                  <w:color w:val="auto"/>
                </w:rPr>
                <w:t>10.54††</w:t>
              </w:r>
            </w:hyperlink>
          </w:p>
        </w:tc>
        <w:tc>
          <w:tcPr>
            <w:tcW w:w="9720" w:type="dxa"/>
            <w:vAlign w:val="bottom"/>
          </w:tcPr>
          <w:p>
            <w:pPr>
              <w:ind w:left="240"/>
              <w:spacing w:after="0"/>
              <w:rPr>
                <w:rFonts w:ascii="Arial" w:cs="Arial" w:eastAsia="Arial" w:hAnsi="Arial"/>
                <w:sz w:val="18"/>
                <w:szCs w:val="18"/>
                <w:color w:val="auto"/>
                <w:w w:val="97"/>
              </w:rPr>
            </w:pPr>
            <w:hyperlink r:id="rId83">
              <w:r>
                <w:rPr>
                  <w:rFonts w:ascii="Arial" w:cs="Arial" w:eastAsia="Arial" w:hAnsi="Arial"/>
                  <w:sz w:val="18"/>
                  <w:szCs w:val="18"/>
                  <w:color w:val="auto"/>
                  <w:w w:val="97"/>
                </w:rPr>
                <w:t>Amendment No. 1 to Transfer Agreement, dated as of January 18, 2018 by and among Ocwen Loan Servicing, LLC, New</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83">
              <w:r>
                <w:rPr>
                  <w:rFonts w:ascii="Arial" w:cs="Arial" w:eastAsia="Arial" w:hAnsi="Arial"/>
                  <w:sz w:val="18"/>
                  <w:szCs w:val="18"/>
                  <w:color w:val="auto"/>
                </w:rPr>
                <w:t>Residential Mortgage LLC, Ocwen Financial Corporation and New Residential Investment Corp. (3)</w:t>
              </w:r>
            </w:hyperlink>
          </w:p>
        </w:tc>
      </w:tr>
      <w:tr>
        <w:trPr>
          <w:trHeight w:val="270"/>
        </w:trPr>
        <w:tc>
          <w:tcPr>
            <w:tcW w:w="900" w:type="dxa"/>
            <w:vAlign w:val="bottom"/>
          </w:tcPr>
          <w:p>
            <w:pPr>
              <w:ind w:left="80"/>
              <w:spacing w:after="0"/>
              <w:rPr>
                <w:rFonts w:ascii="Arial" w:cs="Arial" w:eastAsia="Arial" w:hAnsi="Arial"/>
                <w:sz w:val="18"/>
                <w:szCs w:val="18"/>
                <w:color w:val="auto"/>
              </w:rPr>
            </w:pPr>
            <w:hyperlink r:id="rId84">
              <w:r>
                <w:rPr>
                  <w:rFonts w:ascii="Arial" w:cs="Arial" w:eastAsia="Arial" w:hAnsi="Arial"/>
                  <w:sz w:val="18"/>
                  <w:szCs w:val="18"/>
                  <w:color w:val="auto"/>
                </w:rPr>
                <w:t>10.55*</w:t>
              </w:r>
            </w:hyperlink>
          </w:p>
        </w:tc>
        <w:tc>
          <w:tcPr>
            <w:tcW w:w="9720" w:type="dxa"/>
            <w:vAlign w:val="bottom"/>
          </w:tcPr>
          <w:p>
            <w:pPr>
              <w:ind w:left="240"/>
              <w:spacing w:after="0"/>
              <w:rPr>
                <w:rFonts w:ascii="Arial" w:cs="Arial" w:eastAsia="Arial" w:hAnsi="Arial"/>
                <w:sz w:val="18"/>
                <w:szCs w:val="18"/>
                <w:color w:val="auto"/>
              </w:rPr>
            </w:pPr>
            <w:hyperlink r:id="rId84">
              <w:r>
                <w:rPr>
                  <w:rFonts w:ascii="Arial" w:cs="Arial" w:eastAsia="Arial" w:hAnsi="Arial"/>
                  <w:sz w:val="18"/>
                  <w:szCs w:val="18"/>
                  <w:color w:val="auto"/>
                </w:rPr>
                <w:t>Separation Agreement, dated as of February 9, 2018, between Otto Kumbar and Ocwen Financial Corporation (27)</w:t>
              </w:r>
            </w:hyperlink>
          </w:p>
        </w:tc>
      </w:tr>
      <w:tr>
        <w:trPr>
          <w:trHeight w:val="270"/>
        </w:trPr>
        <w:tc>
          <w:tcPr>
            <w:tcW w:w="900" w:type="dxa"/>
            <w:vAlign w:val="bottom"/>
          </w:tcPr>
          <w:p>
            <w:pPr>
              <w:ind w:left="80"/>
              <w:spacing w:after="0"/>
              <w:rPr>
                <w:rFonts w:ascii="Arial" w:cs="Arial" w:eastAsia="Arial" w:hAnsi="Arial"/>
                <w:sz w:val="18"/>
                <w:szCs w:val="18"/>
                <w:color w:val="auto"/>
              </w:rPr>
            </w:pPr>
            <w:hyperlink r:id="rId85">
              <w:r>
                <w:rPr>
                  <w:rFonts w:ascii="Arial" w:cs="Arial" w:eastAsia="Arial" w:hAnsi="Arial"/>
                  <w:sz w:val="18"/>
                  <w:szCs w:val="18"/>
                  <w:color w:val="auto"/>
                </w:rPr>
                <w:t>10.56*</w:t>
              </w:r>
            </w:hyperlink>
          </w:p>
        </w:tc>
        <w:tc>
          <w:tcPr>
            <w:tcW w:w="9720" w:type="dxa"/>
            <w:vAlign w:val="bottom"/>
          </w:tcPr>
          <w:p>
            <w:pPr>
              <w:ind w:left="240"/>
              <w:spacing w:after="0"/>
              <w:rPr>
                <w:rFonts w:ascii="Arial" w:cs="Arial" w:eastAsia="Arial" w:hAnsi="Arial"/>
                <w:sz w:val="18"/>
                <w:szCs w:val="18"/>
                <w:color w:val="auto"/>
              </w:rPr>
            </w:pPr>
            <w:hyperlink r:id="rId85">
              <w:r>
                <w:rPr>
                  <w:rFonts w:ascii="Arial" w:cs="Arial" w:eastAsia="Arial" w:hAnsi="Arial"/>
                  <w:sz w:val="18"/>
                  <w:szCs w:val="18"/>
                  <w:color w:val="auto"/>
                </w:rPr>
                <w:t>Offer Letter, dated April 17, 2018, between Ocwen Financial Corporation and Glen Messina (28)</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86">
              <w:r>
                <w:rPr>
                  <w:rFonts w:ascii="Arial" w:cs="Arial" w:eastAsia="Arial" w:hAnsi="Arial"/>
                  <w:sz w:val="18"/>
                  <w:szCs w:val="18"/>
                  <w:color w:val="auto"/>
                </w:rPr>
                <w:t>10.57*</w:t>
              </w:r>
            </w:hyperlink>
          </w:p>
        </w:tc>
        <w:tc>
          <w:tcPr>
            <w:tcW w:w="9720" w:type="dxa"/>
            <w:vAlign w:val="bottom"/>
          </w:tcPr>
          <w:p>
            <w:pPr>
              <w:ind w:left="240"/>
              <w:spacing w:after="0"/>
              <w:rPr>
                <w:rFonts w:ascii="Arial" w:cs="Arial" w:eastAsia="Arial" w:hAnsi="Arial"/>
                <w:sz w:val="18"/>
                <w:szCs w:val="18"/>
                <w:color w:val="auto"/>
                <w:w w:val="92"/>
              </w:rPr>
            </w:pPr>
            <w:hyperlink r:id="rId86">
              <w:r>
                <w:rPr>
                  <w:rFonts w:ascii="Arial" w:cs="Arial" w:eastAsia="Arial" w:hAnsi="Arial"/>
                  <w:sz w:val="18"/>
                  <w:szCs w:val="18"/>
                  <w:color w:val="auto"/>
                  <w:w w:val="92"/>
                </w:rPr>
                <w:t>Release and Restrictive Covenant Agreement, dated April 17, 2018, between Ocwen Financial Corporation and Ronald M. Faris</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86">
              <w:r>
                <w:rPr>
                  <w:rFonts w:ascii="Arial" w:cs="Arial" w:eastAsia="Arial" w:hAnsi="Arial"/>
                  <w:sz w:val="18"/>
                  <w:szCs w:val="18"/>
                  <w:color w:val="auto"/>
                </w:rPr>
                <w:t>(28)</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87">
              <w:r>
                <w:rPr>
                  <w:rFonts w:ascii="Arial" w:cs="Arial" w:eastAsia="Arial" w:hAnsi="Arial"/>
                  <w:sz w:val="18"/>
                  <w:szCs w:val="18"/>
                  <w:color w:val="auto"/>
                </w:rPr>
                <w:t>10.58*</w:t>
              </w:r>
            </w:hyperlink>
          </w:p>
        </w:tc>
        <w:tc>
          <w:tcPr>
            <w:tcW w:w="9720" w:type="dxa"/>
            <w:vAlign w:val="bottom"/>
          </w:tcPr>
          <w:p>
            <w:pPr>
              <w:ind w:left="240"/>
              <w:spacing w:after="0"/>
              <w:rPr>
                <w:rFonts w:ascii="Arial" w:cs="Arial" w:eastAsia="Arial" w:hAnsi="Arial"/>
                <w:sz w:val="18"/>
                <w:szCs w:val="18"/>
                <w:color w:val="auto"/>
                <w:w w:val="91"/>
              </w:rPr>
            </w:pPr>
            <w:hyperlink r:id="rId87">
              <w:r>
                <w:rPr>
                  <w:rFonts w:ascii="Arial" w:cs="Arial" w:eastAsia="Arial" w:hAnsi="Arial"/>
                  <w:sz w:val="18"/>
                  <w:szCs w:val="18"/>
                  <w:color w:val="auto"/>
                  <w:w w:val="91"/>
                </w:rPr>
                <w:t>Separation Agreement and Full Release, dated May 29, 2018, between Ocwen Financial Corporation and Michael R. Bourque, Jr.</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87">
              <w:r>
                <w:rPr>
                  <w:rFonts w:ascii="Arial" w:cs="Arial" w:eastAsia="Arial" w:hAnsi="Arial"/>
                  <w:sz w:val="18"/>
                  <w:szCs w:val="18"/>
                  <w:color w:val="auto"/>
                </w:rPr>
                <w:t>(29)</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88">
              <w:r>
                <w:rPr>
                  <w:rFonts w:ascii="Arial" w:cs="Arial" w:eastAsia="Arial" w:hAnsi="Arial"/>
                  <w:sz w:val="18"/>
                  <w:szCs w:val="18"/>
                  <w:color w:val="auto"/>
                </w:rPr>
                <w:t>10.59</w:t>
              </w:r>
            </w:hyperlink>
          </w:p>
        </w:tc>
        <w:tc>
          <w:tcPr>
            <w:tcW w:w="9720" w:type="dxa"/>
            <w:vAlign w:val="bottom"/>
          </w:tcPr>
          <w:p>
            <w:pPr>
              <w:ind w:left="240"/>
              <w:spacing w:after="0"/>
              <w:rPr>
                <w:rFonts w:ascii="Arial" w:cs="Arial" w:eastAsia="Arial" w:hAnsi="Arial"/>
                <w:sz w:val="18"/>
                <w:szCs w:val="18"/>
                <w:color w:val="auto"/>
                <w:w w:val="98"/>
              </w:rPr>
            </w:pPr>
            <w:hyperlink r:id="rId88">
              <w:r>
                <w:rPr>
                  <w:rFonts w:ascii="Arial" w:cs="Arial" w:eastAsia="Arial" w:hAnsi="Arial"/>
                  <w:sz w:val="18"/>
                  <w:szCs w:val="18"/>
                  <w:color w:val="auto"/>
                  <w:w w:val="98"/>
                </w:rPr>
                <w:t>Counterpart Agreement, dated as of October 4, 2018, executed by PHH Corporation and PHH Mortgage Corporation and</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88">
              <w:r>
                <w:rPr>
                  <w:rFonts w:ascii="Arial" w:cs="Arial" w:eastAsia="Arial" w:hAnsi="Arial"/>
                  <w:sz w:val="18"/>
                  <w:szCs w:val="18"/>
                  <w:color w:val="auto"/>
                </w:rPr>
                <w:t>acknowledged and agreed to by Barclays Bank PLC, as administrative agent and collateral agent (31)</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89">
              <w:r>
                <w:rPr>
                  <w:rFonts w:ascii="Arial" w:cs="Arial" w:eastAsia="Arial" w:hAnsi="Arial"/>
                  <w:sz w:val="18"/>
                  <w:szCs w:val="18"/>
                  <w:color w:val="auto"/>
                </w:rPr>
                <w:t>10.60††</w:t>
              </w:r>
            </w:hyperlink>
          </w:p>
        </w:tc>
        <w:tc>
          <w:tcPr>
            <w:tcW w:w="9720" w:type="dxa"/>
            <w:vAlign w:val="bottom"/>
          </w:tcPr>
          <w:p>
            <w:pPr>
              <w:ind w:left="240"/>
              <w:spacing w:after="0"/>
              <w:rPr>
                <w:rFonts w:ascii="Arial" w:cs="Arial" w:eastAsia="Arial" w:hAnsi="Arial"/>
                <w:sz w:val="18"/>
                <w:szCs w:val="18"/>
                <w:color w:val="auto"/>
                <w:w w:val="92"/>
              </w:rPr>
            </w:pPr>
            <w:hyperlink r:id="rId89">
              <w:r>
                <w:rPr>
                  <w:rFonts w:ascii="Arial" w:cs="Arial" w:eastAsia="Arial" w:hAnsi="Arial"/>
                  <w:sz w:val="18"/>
                  <w:szCs w:val="18"/>
                  <w:color w:val="auto"/>
                  <w:w w:val="92"/>
                </w:rPr>
                <w:t>Amendment No. 1 to Subservicing Agreement dated as of August 17, 2018 between New Residential Mortgage LLC and Ocwen</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89">
              <w:r>
                <w:rPr>
                  <w:rFonts w:ascii="Arial" w:cs="Arial" w:eastAsia="Arial" w:hAnsi="Arial"/>
                  <w:sz w:val="18"/>
                  <w:szCs w:val="18"/>
                  <w:color w:val="auto"/>
                </w:rPr>
                <w:t>Loan Servicing, LLC (35)</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90">
              <w:r>
                <w:rPr>
                  <w:rFonts w:ascii="Arial" w:cs="Arial" w:eastAsia="Arial" w:hAnsi="Arial"/>
                  <w:sz w:val="18"/>
                  <w:szCs w:val="18"/>
                  <w:color w:val="auto"/>
                </w:rPr>
                <w:t>10.61††</w:t>
              </w:r>
            </w:hyperlink>
          </w:p>
        </w:tc>
        <w:tc>
          <w:tcPr>
            <w:tcW w:w="9720" w:type="dxa"/>
            <w:vAlign w:val="bottom"/>
          </w:tcPr>
          <w:p>
            <w:pPr>
              <w:ind w:left="240"/>
              <w:spacing w:after="0"/>
              <w:rPr>
                <w:rFonts w:ascii="Arial" w:cs="Arial" w:eastAsia="Arial" w:hAnsi="Arial"/>
                <w:sz w:val="18"/>
                <w:szCs w:val="18"/>
                <w:color w:val="auto"/>
                <w:w w:val="93"/>
              </w:rPr>
            </w:pPr>
            <w:hyperlink r:id="rId90">
              <w:r>
                <w:rPr>
                  <w:rFonts w:ascii="Arial" w:cs="Arial" w:eastAsia="Arial" w:hAnsi="Arial"/>
                  <w:sz w:val="18"/>
                  <w:szCs w:val="18"/>
                  <w:color w:val="auto"/>
                  <w:w w:val="93"/>
                </w:rPr>
                <w:t>Amendment No. 1 to New RMSR Agreement dated as of August 17, 2018 among New Residential Mortgage LLC, Ocwen Loan</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90">
              <w:r>
                <w:rPr>
                  <w:rFonts w:ascii="Arial" w:cs="Arial" w:eastAsia="Arial" w:hAnsi="Arial"/>
                  <w:sz w:val="18"/>
                  <w:szCs w:val="18"/>
                  <w:color w:val="auto"/>
                </w:rPr>
                <w:t>Servicing, LLC and the other parties thereto (35)</w:t>
              </w:r>
            </w:hyperlink>
          </w:p>
        </w:tc>
      </w:tr>
      <w:tr>
        <w:trPr>
          <w:trHeight w:val="270"/>
        </w:trPr>
        <w:tc>
          <w:tcPr>
            <w:tcW w:w="900" w:type="dxa"/>
            <w:vAlign w:val="bottom"/>
          </w:tcPr>
          <w:p>
            <w:pPr>
              <w:ind w:left="80"/>
              <w:spacing w:after="0"/>
              <w:rPr>
                <w:rFonts w:ascii="Arial" w:cs="Arial" w:eastAsia="Arial" w:hAnsi="Arial"/>
                <w:sz w:val="18"/>
                <w:szCs w:val="18"/>
                <w:color w:val="auto"/>
              </w:rPr>
            </w:pPr>
            <w:hyperlink r:id="rId91">
              <w:r>
                <w:rPr>
                  <w:rFonts w:ascii="Arial" w:cs="Arial" w:eastAsia="Arial" w:hAnsi="Arial"/>
                  <w:sz w:val="18"/>
                  <w:szCs w:val="18"/>
                  <w:color w:val="auto"/>
                </w:rPr>
                <w:t>10.62††</w:t>
              </w:r>
            </w:hyperlink>
          </w:p>
        </w:tc>
        <w:tc>
          <w:tcPr>
            <w:tcW w:w="9720" w:type="dxa"/>
            <w:vAlign w:val="bottom"/>
          </w:tcPr>
          <w:p>
            <w:pPr>
              <w:ind w:left="240"/>
              <w:spacing w:after="0"/>
              <w:rPr>
                <w:rFonts w:ascii="Arial" w:cs="Arial" w:eastAsia="Arial" w:hAnsi="Arial"/>
                <w:sz w:val="18"/>
                <w:szCs w:val="18"/>
                <w:color w:val="auto"/>
                <w:w w:val="93"/>
              </w:rPr>
            </w:pPr>
            <w:hyperlink r:id="rId91">
              <w:r>
                <w:rPr>
                  <w:rFonts w:ascii="Arial" w:cs="Arial" w:eastAsia="Arial" w:hAnsi="Arial"/>
                  <w:sz w:val="18"/>
                  <w:szCs w:val="18"/>
                  <w:color w:val="auto"/>
                  <w:w w:val="93"/>
                </w:rPr>
                <w:t>Subservicing Agreement dated as of August 17, 2018 between New Penn Financial, LLC and Ocwen Loan Servicing, LLC (35)</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92">
              <w:r>
                <w:rPr>
                  <w:rFonts w:ascii="Arial" w:cs="Arial" w:eastAsia="Arial" w:hAnsi="Arial"/>
                  <w:sz w:val="18"/>
                  <w:szCs w:val="18"/>
                  <w:color w:val="auto"/>
                </w:rPr>
                <w:t>10.63††</w:t>
              </w:r>
            </w:hyperlink>
          </w:p>
        </w:tc>
        <w:tc>
          <w:tcPr>
            <w:tcW w:w="9720" w:type="dxa"/>
            <w:vAlign w:val="bottom"/>
          </w:tcPr>
          <w:p>
            <w:pPr>
              <w:ind w:left="240"/>
              <w:spacing w:after="0"/>
              <w:rPr>
                <w:rFonts w:ascii="Arial" w:cs="Arial" w:eastAsia="Arial" w:hAnsi="Arial"/>
                <w:sz w:val="18"/>
                <w:szCs w:val="18"/>
                <w:color w:val="auto"/>
                <w:w w:val="95"/>
              </w:rPr>
            </w:pPr>
            <w:hyperlink r:id="rId92">
              <w:r>
                <w:rPr>
                  <w:rFonts w:ascii="Arial" w:cs="Arial" w:eastAsia="Arial" w:hAnsi="Arial"/>
                  <w:sz w:val="18"/>
                  <w:szCs w:val="18"/>
                  <w:color w:val="auto"/>
                  <w:w w:val="95"/>
                </w:rPr>
                <w:t>Flow Mortgage Loan Subservicing Agreement, dated as of December 28, 2016, between New Residential Mortgage LLC, as</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92">
              <w:r>
                <w:rPr>
                  <w:rFonts w:ascii="Arial" w:cs="Arial" w:eastAsia="Arial" w:hAnsi="Arial"/>
                  <w:sz w:val="18"/>
                  <w:szCs w:val="18"/>
                  <w:color w:val="auto"/>
                </w:rPr>
                <w:t>Servicing Rights Owner, and PHH Mortgage Corporation, as Servicer (36)</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93">
              <w:r>
                <w:rPr>
                  <w:rFonts w:ascii="Arial" w:cs="Arial" w:eastAsia="Arial" w:hAnsi="Arial"/>
                  <w:sz w:val="18"/>
                  <w:szCs w:val="18"/>
                  <w:color w:val="auto"/>
                </w:rPr>
                <w:t>10.64</w:t>
              </w:r>
            </w:hyperlink>
          </w:p>
        </w:tc>
        <w:tc>
          <w:tcPr>
            <w:tcW w:w="9720" w:type="dxa"/>
            <w:vAlign w:val="bottom"/>
          </w:tcPr>
          <w:p>
            <w:pPr>
              <w:ind w:left="240"/>
              <w:spacing w:after="0"/>
              <w:rPr>
                <w:rFonts w:ascii="Arial" w:cs="Arial" w:eastAsia="Arial" w:hAnsi="Arial"/>
                <w:sz w:val="18"/>
                <w:szCs w:val="18"/>
                <w:color w:val="auto"/>
                <w:w w:val="90"/>
              </w:rPr>
            </w:pPr>
            <w:hyperlink r:id="rId93">
              <w:r>
                <w:rPr>
                  <w:rFonts w:ascii="Arial" w:cs="Arial" w:eastAsia="Arial" w:hAnsi="Arial"/>
                  <w:sz w:val="18"/>
                  <w:szCs w:val="18"/>
                  <w:color w:val="auto"/>
                  <w:w w:val="90"/>
                </w:rPr>
                <w:t>Amendment Number One dated as of June 16, 2017 to the Flow Mortgage Loan Subservicing Agreement between New Residential</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93">
              <w:r>
                <w:rPr>
                  <w:rFonts w:ascii="Arial" w:cs="Arial" w:eastAsia="Arial" w:hAnsi="Arial"/>
                  <w:sz w:val="18"/>
                  <w:szCs w:val="18"/>
                  <w:color w:val="auto"/>
                </w:rPr>
                <w:t>Mortgage LLC, as Servicing Rights Owner, and PHH Mortgage Corporation, as Servicer (37)</w:t>
              </w:r>
            </w:hyperlink>
          </w:p>
        </w:tc>
      </w:tr>
      <w:tr>
        <w:trPr>
          <w:trHeight w:val="256"/>
        </w:trPr>
        <w:tc>
          <w:tcPr>
            <w:tcW w:w="900" w:type="dxa"/>
            <w:vAlign w:val="bottom"/>
          </w:tcPr>
          <w:p>
            <w:pPr>
              <w:ind w:left="80"/>
              <w:spacing w:after="0"/>
              <w:rPr>
                <w:rFonts w:ascii="Arial" w:cs="Arial" w:eastAsia="Arial" w:hAnsi="Arial"/>
                <w:sz w:val="18"/>
                <w:szCs w:val="18"/>
                <w:color w:val="auto"/>
              </w:rPr>
            </w:pPr>
            <w:hyperlink r:id="rId94">
              <w:r>
                <w:rPr>
                  <w:rFonts w:ascii="Arial" w:cs="Arial" w:eastAsia="Arial" w:hAnsi="Arial"/>
                  <w:sz w:val="18"/>
                  <w:szCs w:val="18"/>
                  <w:color w:val="auto"/>
                </w:rPr>
                <w:t>10.65††</w:t>
              </w:r>
            </w:hyperlink>
          </w:p>
        </w:tc>
        <w:tc>
          <w:tcPr>
            <w:tcW w:w="9720" w:type="dxa"/>
            <w:vAlign w:val="bottom"/>
          </w:tcPr>
          <w:p>
            <w:pPr>
              <w:ind w:left="240"/>
              <w:spacing w:after="0"/>
              <w:rPr>
                <w:rFonts w:ascii="Arial" w:cs="Arial" w:eastAsia="Arial" w:hAnsi="Arial"/>
                <w:sz w:val="18"/>
                <w:szCs w:val="18"/>
                <w:color w:val="auto"/>
                <w:w w:val="92"/>
              </w:rPr>
            </w:pPr>
            <w:hyperlink r:id="rId94">
              <w:r>
                <w:rPr>
                  <w:rFonts w:ascii="Arial" w:cs="Arial" w:eastAsia="Arial" w:hAnsi="Arial"/>
                  <w:sz w:val="18"/>
                  <w:szCs w:val="18"/>
                  <w:color w:val="auto"/>
                  <w:w w:val="92"/>
                </w:rPr>
                <w:t>MSR Portfolio Defense Agreement, dated as of June 16, 2017, by and between PHH Mortgage Corporation, as subservicer, and</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r:id="rId94">
              <w:r>
                <w:rPr>
                  <w:rFonts w:ascii="Arial" w:cs="Arial" w:eastAsia="Arial" w:hAnsi="Arial"/>
                  <w:sz w:val="18"/>
                  <w:szCs w:val="18"/>
                  <w:color w:val="auto"/>
                </w:rPr>
                <w:t>New Residential Mortgage LLC, as the MSR owner (37)</w:t>
              </w:r>
            </w:hyperlink>
          </w:p>
        </w:tc>
      </w:tr>
      <w:tr>
        <w:trPr>
          <w:trHeight w:val="270"/>
        </w:trPr>
        <w:tc>
          <w:tcPr>
            <w:tcW w:w="900" w:type="dxa"/>
            <w:vAlign w:val="bottom"/>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10.66*</w:t>
              </w:r>
            </w:hyperlink>
          </w:p>
        </w:tc>
        <w:tc>
          <w:tcPr>
            <w:tcW w:w="9720" w:type="dxa"/>
            <w:vAlign w:val="bottom"/>
          </w:tcPr>
          <w:p>
            <w:pPr>
              <w:ind w:left="240"/>
              <w:spacing w:after="0"/>
              <w:rPr>
                <w:rFonts w:ascii="Arial" w:cs="Arial" w:eastAsia="Arial" w:hAnsi="Arial"/>
                <w:sz w:val="18"/>
                <w:szCs w:val="18"/>
                <w:color w:val="auto"/>
              </w:rPr>
            </w:pPr>
            <w:hyperlink r:id="rId95">
              <w:r>
                <w:rPr>
                  <w:rFonts w:ascii="Arial" w:cs="Arial" w:eastAsia="Arial" w:hAnsi="Arial"/>
                  <w:sz w:val="18"/>
                  <w:szCs w:val="18"/>
                  <w:color w:val="auto"/>
                </w:rPr>
                <w:t>Amended and Restated PHH Corporation Tier I Severance Pay Plan (38)</w:t>
              </w:r>
            </w:hyperlink>
          </w:p>
        </w:tc>
      </w:tr>
      <w:tr>
        <w:trPr>
          <w:trHeight w:val="270"/>
        </w:trPr>
        <w:tc>
          <w:tcPr>
            <w:tcW w:w="900" w:type="dxa"/>
            <w:vAlign w:val="bottom"/>
          </w:tcPr>
          <w:p>
            <w:pPr>
              <w:ind w:left="80"/>
              <w:spacing w:after="0"/>
              <w:rPr>
                <w:rFonts w:ascii="Arial" w:cs="Arial" w:eastAsia="Arial" w:hAnsi="Arial"/>
                <w:sz w:val="18"/>
                <w:szCs w:val="18"/>
                <w:color w:val="auto"/>
              </w:rPr>
            </w:pPr>
            <w:hyperlink r:id="rId96">
              <w:r>
                <w:rPr>
                  <w:rFonts w:ascii="Arial" w:cs="Arial" w:eastAsia="Arial" w:hAnsi="Arial"/>
                  <w:sz w:val="18"/>
                  <w:szCs w:val="18"/>
                  <w:color w:val="auto"/>
                </w:rPr>
                <w:t>10.67*</w:t>
              </w:r>
            </w:hyperlink>
          </w:p>
        </w:tc>
        <w:tc>
          <w:tcPr>
            <w:tcW w:w="9720" w:type="dxa"/>
            <w:vAlign w:val="bottom"/>
          </w:tcPr>
          <w:p>
            <w:pPr>
              <w:ind w:left="240"/>
              <w:spacing w:after="0"/>
              <w:rPr>
                <w:rFonts w:ascii="Arial" w:cs="Arial" w:eastAsia="Arial" w:hAnsi="Arial"/>
                <w:sz w:val="18"/>
                <w:szCs w:val="18"/>
                <w:color w:val="auto"/>
              </w:rPr>
            </w:pPr>
            <w:hyperlink r:id="rId96">
              <w:r>
                <w:rPr>
                  <w:rFonts w:ascii="Arial" w:cs="Arial" w:eastAsia="Arial" w:hAnsi="Arial"/>
                  <w:sz w:val="18"/>
                  <w:szCs w:val="18"/>
                  <w:color w:val="auto"/>
                </w:rPr>
                <w:t>PHH Corporation Tier II Severance Pay Plan (39)</w:t>
              </w:r>
            </w:hyperlink>
          </w:p>
        </w:tc>
      </w:tr>
      <w:tr>
        <w:trPr>
          <w:trHeight w:val="270"/>
        </w:trPr>
        <w:tc>
          <w:tcPr>
            <w:tcW w:w="900" w:type="dxa"/>
            <w:vAlign w:val="bottom"/>
          </w:tcPr>
          <w:p>
            <w:pPr>
              <w:ind w:left="80"/>
              <w:spacing w:after="0"/>
              <w:rPr>
                <w:rFonts w:ascii="Arial" w:cs="Arial" w:eastAsia="Arial" w:hAnsi="Arial"/>
                <w:sz w:val="18"/>
                <w:szCs w:val="18"/>
                <w:color w:val="auto"/>
              </w:rPr>
            </w:pPr>
            <w:hyperlink r:id="rId97">
              <w:r>
                <w:rPr>
                  <w:rFonts w:ascii="Arial" w:cs="Arial" w:eastAsia="Arial" w:hAnsi="Arial"/>
                  <w:sz w:val="18"/>
                  <w:szCs w:val="18"/>
                  <w:color w:val="auto"/>
                </w:rPr>
                <w:t>10.68*</w:t>
              </w:r>
            </w:hyperlink>
          </w:p>
        </w:tc>
        <w:tc>
          <w:tcPr>
            <w:tcW w:w="9720" w:type="dxa"/>
            <w:vAlign w:val="bottom"/>
          </w:tcPr>
          <w:p>
            <w:pPr>
              <w:ind w:left="240"/>
              <w:spacing w:after="0"/>
              <w:rPr>
                <w:rFonts w:ascii="Arial" w:cs="Arial" w:eastAsia="Arial" w:hAnsi="Arial"/>
                <w:sz w:val="18"/>
                <w:szCs w:val="18"/>
                <w:color w:val="auto"/>
              </w:rPr>
            </w:pPr>
            <w:hyperlink r:id="rId97">
              <w:r>
                <w:rPr>
                  <w:rFonts w:ascii="Arial" w:cs="Arial" w:eastAsia="Arial" w:hAnsi="Arial"/>
                  <w:sz w:val="18"/>
                  <w:szCs w:val="18"/>
                  <w:color w:val="auto"/>
                </w:rPr>
                <w:t>Amendment No. 3 to PHH Corporation Tier II Severance Pay Plan (26)</w:t>
              </w:r>
            </w:hyperlink>
          </w:p>
        </w:tc>
      </w:tr>
      <w:tr>
        <w:trPr>
          <w:trHeight w:val="270"/>
        </w:trPr>
        <w:tc>
          <w:tcPr>
            <w:tcW w:w="900" w:type="dxa"/>
            <w:vAlign w:val="bottom"/>
          </w:tcPr>
          <w:p>
            <w:pPr>
              <w:ind w:left="80"/>
              <w:spacing w:after="0"/>
              <w:rPr>
                <w:rFonts w:ascii="Arial" w:cs="Arial" w:eastAsia="Arial" w:hAnsi="Arial"/>
                <w:sz w:val="18"/>
                <w:szCs w:val="18"/>
                <w:color w:val="auto"/>
              </w:rPr>
            </w:pPr>
            <w:hyperlink r:id="rId98">
              <w:r>
                <w:rPr>
                  <w:rFonts w:ascii="Arial" w:cs="Arial" w:eastAsia="Arial" w:hAnsi="Arial"/>
                  <w:sz w:val="18"/>
                  <w:szCs w:val="18"/>
                  <w:color w:val="auto"/>
                </w:rPr>
                <w:t>10.69*</w:t>
              </w:r>
            </w:hyperlink>
          </w:p>
        </w:tc>
        <w:tc>
          <w:tcPr>
            <w:tcW w:w="9720" w:type="dxa"/>
            <w:vAlign w:val="bottom"/>
          </w:tcPr>
          <w:p>
            <w:pPr>
              <w:ind w:left="240"/>
              <w:spacing w:after="0"/>
              <w:rPr>
                <w:rFonts w:ascii="Arial" w:cs="Arial" w:eastAsia="Arial" w:hAnsi="Arial"/>
                <w:sz w:val="18"/>
                <w:szCs w:val="18"/>
                <w:color w:val="auto"/>
                <w:w w:val="93"/>
              </w:rPr>
            </w:pPr>
            <w:hyperlink r:id="rId98">
              <w:r>
                <w:rPr>
                  <w:rFonts w:ascii="Arial" w:cs="Arial" w:eastAsia="Arial" w:hAnsi="Arial"/>
                  <w:sz w:val="18"/>
                  <w:szCs w:val="18"/>
                  <w:color w:val="auto"/>
                  <w:w w:val="93"/>
                </w:rPr>
                <w:t>Separation and General Release Agreement dated June 28, 2017 by and between Glen A. Messina and PHH Corporation (25)</w:t>
              </w:r>
            </w:hyperlink>
          </w:p>
        </w:tc>
      </w:tr>
      <w:tr>
        <w:trPr>
          <w:trHeight w:val="270"/>
        </w:trPr>
        <w:tc>
          <w:tcPr>
            <w:tcW w:w="900" w:type="dxa"/>
            <w:vAlign w:val="bottom"/>
          </w:tcPr>
          <w:p>
            <w:pPr>
              <w:ind w:left="80"/>
              <w:spacing w:after="0"/>
              <w:rPr>
                <w:rFonts w:ascii="Arial" w:cs="Arial" w:eastAsia="Arial" w:hAnsi="Arial"/>
                <w:sz w:val="18"/>
                <w:szCs w:val="18"/>
                <w:color w:val="auto"/>
              </w:rPr>
            </w:pPr>
            <w:hyperlink w:anchor="page194">
              <w:r>
                <w:rPr>
                  <w:rFonts w:ascii="Arial" w:cs="Arial" w:eastAsia="Arial" w:hAnsi="Arial"/>
                  <w:sz w:val="18"/>
                  <w:szCs w:val="18"/>
                  <w:color w:val="auto"/>
                </w:rPr>
                <w:t>10.70*</w:t>
              </w:r>
            </w:hyperlink>
          </w:p>
        </w:tc>
        <w:tc>
          <w:tcPr>
            <w:tcW w:w="9720" w:type="dxa"/>
            <w:vAlign w:val="bottom"/>
          </w:tcPr>
          <w:p>
            <w:pPr>
              <w:ind w:left="240"/>
              <w:spacing w:after="0"/>
              <w:rPr>
                <w:rFonts w:ascii="Arial" w:cs="Arial" w:eastAsia="Arial" w:hAnsi="Arial"/>
                <w:sz w:val="18"/>
                <w:szCs w:val="18"/>
                <w:color w:val="auto"/>
              </w:rPr>
            </w:pPr>
            <w:hyperlink w:anchor="page194">
              <w:r>
                <w:rPr>
                  <w:rFonts w:ascii="Arial" w:cs="Arial" w:eastAsia="Arial" w:hAnsi="Arial"/>
                  <w:sz w:val="18"/>
                  <w:szCs w:val="18"/>
                  <w:color w:val="auto"/>
                </w:rPr>
                <w:t>Form of Director Restricted Stock Unit Agreement (filed herewith)</w:t>
              </w:r>
            </w:hyperlink>
          </w:p>
        </w:tc>
      </w:tr>
      <w:tr>
        <w:trPr>
          <w:trHeight w:val="270"/>
        </w:trPr>
        <w:tc>
          <w:tcPr>
            <w:tcW w:w="900" w:type="dxa"/>
            <w:vAlign w:val="bottom"/>
          </w:tcPr>
          <w:p>
            <w:pPr>
              <w:ind w:left="80"/>
              <w:spacing w:after="0"/>
              <w:rPr>
                <w:rFonts w:ascii="Arial" w:cs="Arial" w:eastAsia="Arial" w:hAnsi="Arial"/>
                <w:sz w:val="18"/>
                <w:szCs w:val="18"/>
                <w:color w:val="auto"/>
              </w:rPr>
            </w:pPr>
            <w:hyperlink w:anchor="page197">
              <w:r>
                <w:rPr>
                  <w:rFonts w:ascii="Arial" w:cs="Arial" w:eastAsia="Arial" w:hAnsi="Arial"/>
                  <w:sz w:val="18"/>
                  <w:szCs w:val="18"/>
                  <w:color w:val="auto"/>
                </w:rPr>
                <w:t>10.71*</w:t>
              </w:r>
            </w:hyperlink>
          </w:p>
        </w:tc>
        <w:tc>
          <w:tcPr>
            <w:tcW w:w="9720" w:type="dxa"/>
            <w:vAlign w:val="bottom"/>
          </w:tcPr>
          <w:p>
            <w:pPr>
              <w:ind w:left="240"/>
              <w:spacing w:after="0"/>
              <w:rPr>
                <w:rFonts w:ascii="Arial" w:cs="Arial" w:eastAsia="Arial" w:hAnsi="Arial"/>
                <w:sz w:val="18"/>
                <w:szCs w:val="18"/>
                <w:color w:val="auto"/>
              </w:rPr>
            </w:pPr>
            <w:hyperlink w:anchor="page197">
              <w:r>
                <w:rPr>
                  <w:rFonts w:ascii="Arial" w:cs="Arial" w:eastAsia="Arial" w:hAnsi="Arial"/>
                  <w:sz w:val="18"/>
                  <w:szCs w:val="18"/>
                  <w:color w:val="auto"/>
                </w:rPr>
                <w:t>Amended and Restated Ocwen Financial Corporation United States Basic Severance Plan (filed herewith)</w:t>
              </w:r>
            </w:hyperlink>
          </w:p>
        </w:tc>
      </w:tr>
      <w:tr>
        <w:trPr>
          <w:trHeight w:val="270"/>
        </w:trPr>
        <w:tc>
          <w:tcPr>
            <w:tcW w:w="900" w:type="dxa"/>
            <w:vAlign w:val="bottom"/>
          </w:tcPr>
          <w:p>
            <w:pPr>
              <w:ind w:left="80"/>
              <w:spacing w:after="0"/>
              <w:rPr>
                <w:rFonts w:ascii="Arial" w:cs="Arial" w:eastAsia="Arial" w:hAnsi="Arial"/>
                <w:sz w:val="18"/>
                <w:szCs w:val="18"/>
                <w:color w:val="auto"/>
              </w:rPr>
            </w:pPr>
            <w:hyperlink w:anchor="page205">
              <w:r>
                <w:rPr>
                  <w:rFonts w:ascii="Arial" w:cs="Arial" w:eastAsia="Arial" w:hAnsi="Arial"/>
                  <w:sz w:val="18"/>
                  <w:szCs w:val="18"/>
                  <w:color w:val="auto"/>
                </w:rPr>
                <w:t>10.72*</w:t>
              </w:r>
            </w:hyperlink>
          </w:p>
        </w:tc>
        <w:tc>
          <w:tcPr>
            <w:tcW w:w="9720" w:type="dxa"/>
            <w:vAlign w:val="bottom"/>
          </w:tcPr>
          <w:p>
            <w:pPr>
              <w:ind w:left="240"/>
              <w:spacing w:after="0"/>
              <w:rPr>
                <w:rFonts w:ascii="Arial" w:cs="Arial" w:eastAsia="Arial" w:hAnsi="Arial"/>
                <w:sz w:val="18"/>
                <w:szCs w:val="18"/>
                <w:color w:val="auto"/>
              </w:rPr>
            </w:pPr>
            <w:hyperlink w:anchor="page205">
              <w:r>
                <w:rPr>
                  <w:rFonts w:ascii="Arial" w:cs="Arial" w:eastAsia="Arial" w:hAnsi="Arial"/>
                  <w:sz w:val="18"/>
                  <w:szCs w:val="18"/>
                  <w:color w:val="auto"/>
                </w:rPr>
                <w:t>Amended and Restated Ocwen Financial Corporation United States Change in Control Severance Plan (filed herewith)</w:t>
              </w:r>
            </w:hyperlink>
          </w:p>
        </w:tc>
      </w:tr>
      <w:tr>
        <w:trPr>
          <w:trHeight w:val="270"/>
        </w:trPr>
        <w:tc>
          <w:tcPr>
            <w:tcW w:w="900" w:type="dxa"/>
            <w:vAlign w:val="bottom"/>
          </w:tcPr>
          <w:p>
            <w:pPr>
              <w:ind w:left="80"/>
              <w:spacing w:after="0"/>
              <w:rPr>
                <w:rFonts w:ascii="Arial" w:cs="Arial" w:eastAsia="Arial" w:hAnsi="Arial"/>
                <w:sz w:val="18"/>
                <w:szCs w:val="18"/>
                <w:color w:val="auto"/>
              </w:rPr>
            </w:pPr>
            <w:hyperlink w:anchor="page218">
              <w:r>
                <w:rPr>
                  <w:rFonts w:ascii="Arial" w:cs="Arial" w:eastAsia="Arial" w:hAnsi="Arial"/>
                  <w:sz w:val="18"/>
                  <w:szCs w:val="18"/>
                  <w:color w:val="auto"/>
                </w:rPr>
                <w:t>21.1</w:t>
              </w:r>
            </w:hyperlink>
          </w:p>
        </w:tc>
        <w:tc>
          <w:tcPr>
            <w:tcW w:w="9720" w:type="dxa"/>
            <w:vAlign w:val="bottom"/>
          </w:tcPr>
          <w:p>
            <w:pPr>
              <w:ind w:left="240"/>
              <w:spacing w:after="0"/>
              <w:rPr>
                <w:rFonts w:ascii="Arial" w:cs="Arial" w:eastAsia="Arial" w:hAnsi="Arial"/>
                <w:sz w:val="18"/>
                <w:szCs w:val="18"/>
                <w:color w:val="auto"/>
              </w:rPr>
            </w:pPr>
            <w:hyperlink w:anchor="page218">
              <w:r>
                <w:rPr>
                  <w:rFonts w:ascii="Arial" w:cs="Arial" w:eastAsia="Arial" w:hAnsi="Arial"/>
                  <w:sz w:val="18"/>
                  <w:szCs w:val="18"/>
                  <w:color w:val="auto"/>
                </w:rPr>
                <w:t>Subsidiaries (filed herewith)</w:t>
              </w:r>
            </w:hyperlink>
          </w:p>
        </w:tc>
      </w:tr>
      <w:tr>
        <w:trPr>
          <w:trHeight w:val="270"/>
        </w:trPr>
        <w:tc>
          <w:tcPr>
            <w:tcW w:w="900" w:type="dxa"/>
            <w:vAlign w:val="bottom"/>
          </w:tcPr>
          <w:p>
            <w:pPr>
              <w:ind w:left="80"/>
              <w:spacing w:after="0"/>
              <w:rPr>
                <w:rFonts w:ascii="Arial" w:cs="Arial" w:eastAsia="Arial" w:hAnsi="Arial"/>
                <w:sz w:val="18"/>
                <w:szCs w:val="18"/>
                <w:color w:val="auto"/>
              </w:rPr>
            </w:pPr>
            <w:hyperlink w:anchor="page219">
              <w:r>
                <w:rPr>
                  <w:rFonts w:ascii="Arial" w:cs="Arial" w:eastAsia="Arial" w:hAnsi="Arial"/>
                  <w:sz w:val="18"/>
                  <w:szCs w:val="18"/>
                  <w:color w:val="auto"/>
                </w:rPr>
                <w:t>23.1</w:t>
              </w:r>
            </w:hyperlink>
          </w:p>
        </w:tc>
        <w:tc>
          <w:tcPr>
            <w:tcW w:w="9720" w:type="dxa"/>
            <w:vAlign w:val="bottom"/>
          </w:tcPr>
          <w:p>
            <w:pPr>
              <w:ind w:left="240"/>
              <w:spacing w:after="0"/>
              <w:rPr>
                <w:rFonts w:ascii="Arial" w:cs="Arial" w:eastAsia="Arial" w:hAnsi="Arial"/>
                <w:sz w:val="18"/>
                <w:szCs w:val="18"/>
                <w:color w:val="auto"/>
              </w:rPr>
            </w:pPr>
            <w:hyperlink w:anchor="page219">
              <w:r>
                <w:rPr>
                  <w:rFonts w:ascii="Arial" w:cs="Arial" w:eastAsia="Arial" w:hAnsi="Arial"/>
                  <w:sz w:val="18"/>
                  <w:szCs w:val="18"/>
                  <w:color w:val="auto"/>
                </w:rPr>
                <w:t>Consent of Independent Registered Public Accounting Firm (filed herewith)</w:t>
              </w:r>
            </w:hyperlink>
          </w:p>
        </w:tc>
      </w:tr>
      <w:tr>
        <w:trPr>
          <w:trHeight w:val="270"/>
        </w:trPr>
        <w:tc>
          <w:tcPr>
            <w:tcW w:w="900" w:type="dxa"/>
            <w:vAlign w:val="bottom"/>
          </w:tcPr>
          <w:p>
            <w:pPr>
              <w:ind w:left="80"/>
              <w:spacing w:after="0"/>
              <w:rPr>
                <w:rFonts w:ascii="Arial" w:cs="Arial" w:eastAsia="Arial" w:hAnsi="Arial"/>
                <w:sz w:val="18"/>
                <w:szCs w:val="18"/>
                <w:color w:val="auto"/>
              </w:rPr>
            </w:pPr>
            <w:hyperlink w:anchor="page220">
              <w:r>
                <w:rPr>
                  <w:rFonts w:ascii="Arial" w:cs="Arial" w:eastAsia="Arial" w:hAnsi="Arial"/>
                  <w:sz w:val="18"/>
                  <w:szCs w:val="18"/>
                  <w:color w:val="auto"/>
                </w:rPr>
                <w:t>31.1</w:t>
              </w:r>
            </w:hyperlink>
          </w:p>
        </w:tc>
        <w:tc>
          <w:tcPr>
            <w:tcW w:w="9720" w:type="dxa"/>
            <w:vAlign w:val="bottom"/>
          </w:tcPr>
          <w:p>
            <w:pPr>
              <w:ind w:left="240"/>
              <w:spacing w:after="0"/>
              <w:rPr>
                <w:rFonts w:ascii="Arial" w:cs="Arial" w:eastAsia="Arial" w:hAnsi="Arial"/>
                <w:sz w:val="18"/>
                <w:szCs w:val="18"/>
                <w:color w:val="auto"/>
                <w:w w:val="99"/>
              </w:rPr>
            </w:pPr>
            <w:hyperlink w:anchor="page220">
              <w:r>
                <w:rPr>
                  <w:rFonts w:ascii="Arial" w:cs="Arial" w:eastAsia="Arial" w:hAnsi="Arial"/>
                  <w:sz w:val="18"/>
                  <w:szCs w:val="18"/>
                  <w:color w:val="auto"/>
                  <w:w w:val="99"/>
                </w:rPr>
                <w:t>Certification of the principal executive officer pursuant to Section 302 of the Sarbanes-Oxley Act of 2002 (filed herewith)</w:t>
              </w:r>
            </w:hyperlink>
          </w:p>
        </w:tc>
      </w:tr>
      <w:tr>
        <w:trPr>
          <w:trHeight w:val="270"/>
        </w:trPr>
        <w:tc>
          <w:tcPr>
            <w:tcW w:w="900" w:type="dxa"/>
            <w:vAlign w:val="bottom"/>
          </w:tcPr>
          <w:p>
            <w:pPr>
              <w:ind w:left="80"/>
              <w:spacing w:after="0"/>
              <w:rPr>
                <w:rFonts w:ascii="Arial" w:cs="Arial" w:eastAsia="Arial" w:hAnsi="Arial"/>
                <w:sz w:val="18"/>
                <w:szCs w:val="18"/>
                <w:color w:val="auto"/>
              </w:rPr>
            </w:pPr>
            <w:hyperlink w:anchor="page221">
              <w:r>
                <w:rPr>
                  <w:rFonts w:ascii="Arial" w:cs="Arial" w:eastAsia="Arial" w:hAnsi="Arial"/>
                  <w:sz w:val="18"/>
                  <w:szCs w:val="18"/>
                  <w:color w:val="auto"/>
                </w:rPr>
                <w:t>31.2</w:t>
              </w:r>
            </w:hyperlink>
          </w:p>
        </w:tc>
        <w:tc>
          <w:tcPr>
            <w:tcW w:w="9720" w:type="dxa"/>
            <w:vAlign w:val="bottom"/>
          </w:tcPr>
          <w:p>
            <w:pPr>
              <w:ind w:left="240"/>
              <w:spacing w:after="0"/>
              <w:rPr>
                <w:rFonts w:ascii="Arial" w:cs="Arial" w:eastAsia="Arial" w:hAnsi="Arial"/>
                <w:sz w:val="18"/>
                <w:szCs w:val="18"/>
                <w:color w:val="auto"/>
              </w:rPr>
            </w:pPr>
            <w:hyperlink w:anchor="page221">
              <w:r>
                <w:rPr>
                  <w:rFonts w:ascii="Arial" w:cs="Arial" w:eastAsia="Arial" w:hAnsi="Arial"/>
                  <w:sz w:val="18"/>
                  <w:szCs w:val="18"/>
                  <w:color w:val="auto"/>
                </w:rPr>
                <w:t>Certification of the principal financial officer pursuant to Section 302 of the Sarbanes-Oxley Act of 2002 (filed herewith)</w:t>
              </w:r>
            </w:hyperlink>
          </w:p>
        </w:tc>
      </w:tr>
      <w:tr>
        <w:trPr>
          <w:trHeight w:val="256"/>
        </w:trPr>
        <w:tc>
          <w:tcPr>
            <w:tcW w:w="900" w:type="dxa"/>
            <w:vAlign w:val="bottom"/>
          </w:tcPr>
          <w:p>
            <w:pPr>
              <w:ind w:left="80"/>
              <w:spacing w:after="0"/>
              <w:rPr>
                <w:rFonts w:ascii="Arial" w:cs="Arial" w:eastAsia="Arial" w:hAnsi="Arial"/>
                <w:sz w:val="18"/>
                <w:szCs w:val="18"/>
                <w:color w:val="auto"/>
              </w:rPr>
            </w:pPr>
            <w:hyperlink w:anchor="page222">
              <w:r>
                <w:rPr>
                  <w:rFonts w:ascii="Arial" w:cs="Arial" w:eastAsia="Arial" w:hAnsi="Arial"/>
                  <w:sz w:val="18"/>
                  <w:szCs w:val="18"/>
                  <w:color w:val="auto"/>
                </w:rPr>
                <w:t>32.1</w:t>
              </w:r>
            </w:hyperlink>
          </w:p>
        </w:tc>
        <w:tc>
          <w:tcPr>
            <w:tcW w:w="9720" w:type="dxa"/>
            <w:vAlign w:val="bottom"/>
          </w:tcPr>
          <w:p>
            <w:pPr>
              <w:ind w:left="240"/>
              <w:spacing w:after="0"/>
              <w:rPr>
                <w:rFonts w:ascii="Arial" w:cs="Arial" w:eastAsia="Arial" w:hAnsi="Arial"/>
                <w:sz w:val="18"/>
                <w:szCs w:val="18"/>
                <w:color w:val="auto"/>
                <w:w w:val="96"/>
              </w:rPr>
            </w:pPr>
            <w:hyperlink w:anchor="page222">
              <w:r>
                <w:rPr>
                  <w:rFonts w:ascii="Arial" w:cs="Arial" w:eastAsia="Arial" w:hAnsi="Arial"/>
                  <w:sz w:val="18"/>
                  <w:szCs w:val="18"/>
                  <w:color w:val="auto"/>
                  <w:w w:val="96"/>
                </w:rPr>
                <w:t>Certification of the principal executive officer pursuant to 18 U.S.C. Section 1350, as adopted pursuant to Section 906 of the</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w:anchor="page222">
              <w:r>
                <w:rPr>
                  <w:rFonts w:ascii="Arial" w:cs="Arial" w:eastAsia="Arial" w:hAnsi="Arial"/>
                  <w:sz w:val="18"/>
                  <w:szCs w:val="18"/>
                  <w:color w:val="auto"/>
                </w:rPr>
                <w:t>Sarbanes-Oxley Act of 2002 (furnished herewith)</w:t>
              </w:r>
            </w:hyperlink>
          </w:p>
        </w:tc>
      </w:tr>
      <w:tr>
        <w:trPr>
          <w:trHeight w:val="256"/>
        </w:trPr>
        <w:tc>
          <w:tcPr>
            <w:tcW w:w="900" w:type="dxa"/>
            <w:vAlign w:val="bottom"/>
          </w:tcPr>
          <w:p>
            <w:pPr>
              <w:ind w:left="80"/>
              <w:spacing w:after="0"/>
              <w:rPr>
                <w:rFonts w:ascii="Arial" w:cs="Arial" w:eastAsia="Arial" w:hAnsi="Arial"/>
                <w:sz w:val="18"/>
                <w:szCs w:val="18"/>
                <w:color w:val="auto"/>
              </w:rPr>
            </w:pPr>
            <w:hyperlink w:anchor="page223">
              <w:r>
                <w:rPr>
                  <w:rFonts w:ascii="Arial" w:cs="Arial" w:eastAsia="Arial" w:hAnsi="Arial"/>
                  <w:sz w:val="18"/>
                  <w:szCs w:val="18"/>
                  <w:color w:val="auto"/>
                </w:rPr>
                <w:t>32.2</w:t>
              </w:r>
            </w:hyperlink>
          </w:p>
        </w:tc>
        <w:tc>
          <w:tcPr>
            <w:tcW w:w="9720" w:type="dxa"/>
            <w:vAlign w:val="bottom"/>
          </w:tcPr>
          <w:p>
            <w:pPr>
              <w:ind w:left="240"/>
              <w:spacing w:after="0"/>
              <w:rPr>
                <w:rFonts w:ascii="Arial" w:cs="Arial" w:eastAsia="Arial" w:hAnsi="Arial"/>
                <w:sz w:val="18"/>
                <w:szCs w:val="18"/>
                <w:color w:val="auto"/>
                <w:w w:val="97"/>
              </w:rPr>
            </w:pPr>
            <w:hyperlink w:anchor="page223">
              <w:r>
                <w:rPr>
                  <w:rFonts w:ascii="Arial" w:cs="Arial" w:eastAsia="Arial" w:hAnsi="Arial"/>
                  <w:sz w:val="18"/>
                  <w:szCs w:val="18"/>
                  <w:color w:val="auto"/>
                  <w:w w:val="97"/>
                </w:rPr>
                <w:t>Certification of the principal financial officer pursuant to 18 U.S.C. Section 1350, as adopted pursuant to Section 906 of the</w:t>
              </w:r>
            </w:hyperlink>
          </w:p>
        </w:tc>
      </w:tr>
      <w:tr>
        <w:trPr>
          <w:trHeight w:val="230"/>
        </w:trPr>
        <w:tc>
          <w:tcPr>
            <w:tcW w:w="900" w:type="dxa"/>
            <w:vAlign w:val="bottom"/>
          </w:tcPr>
          <w:p>
            <w:pPr>
              <w:spacing w:after="0"/>
              <w:rPr>
                <w:sz w:val="20"/>
                <w:szCs w:val="20"/>
                <w:color w:val="auto"/>
              </w:rPr>
            </w:pPr>
          </w:p>
        </w:tc>
        <w:tc>
          <w:tcPr>
            <w:tcW w:w="9720" w:type="dxa"/>
            <w:vAlign w:val="bottom"/>
          </w:tcPr>
          <w:p>
            <w:pPr>
              <w:ind w:left="240"/>
              <w:spacing w:after="0"/>
              <w:rPr>
                <w:rFonts w:ascii="Arial" w:cs="Arial" w:eastAsia="Arial" w:hAnsi="Arial"/>
                <w:sz w:val="18"/>
                <w:szCs w:val="18"/>
                <w:color w:val="auto"/>
              </w:rPr>
            </w:pPr>
            <w:hyperlink w:anchor="page223">
              <w:r>
                <w:rPr>
                  <w:rFonts w:ascii="Arial" w:cs="Arial" w:eastAsia="Arial" w:hAnsi="Arial"/>
                  <w:sz w:val="18"/>
                  <w:szCs w:val="18"/>
                  <w:color w:val="auto"/>
                </w:rPr>
                <w:t>Sarbanes-Oxley Act of 2002 (furnished herewith)</w:t>
              </w:r>
            </w:hyperlink>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tcPr>
          <w:p>
            <w:pPr>
              <w:ind w:left="24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 (filed herewith)</w:t>
            </w:r>
          </w:p>
        </w:tc>
      </w:tr>
    </w:tbl>
    <w:p>
      <w:pPr>
        <w:spacing w:after="0" w:line="121" w:lineRule="exact"/>
        <w:rPr>
          <w:sz w:val="20"/>
          <w:szCs w:val="20"/>
          <w:color w:val="auto"/>
        </w:rPr>
      </w:pPr>
    </w:p>
    <w:p>
      <w:pPr>
        <w:ind w:left="492" w:hanging="492"/>
        <w:spacing w:after="0"/>
        <w:tabs>
          <w:tab w:leader="none" w:pos="4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25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52"/>
          </w:cols>
          <w:pgMar w:left="248" w:top="746" w:right="299" w:bottom="1440" w:gutter="0" w:footer="0" w:header="0"/>
        </w:sectPr>
      </w:pPr>
    </w:p>
    <w:bookmarkStart w:id="98" w:name="page99"/>
    <w:bookmarkEnd w:id="98"/>
    <w:p>
      <w:pPr>
        <w:ind w:left="492" w:hanging="492"/>
        <w:spacing w:after="0"/>
        <w:tabs>
          <w:tab w:leader="none" w:pos="4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schedules and exhibits referenced in the Agreement and Plan of have been omitted in accordance with Item 601(b)(2) of Regulation S-K. A copy</w:t>
      </w:r>
    </w:p>
    <w:p>
      <w:pPr>
        <w:spacing w:after="0" w:line="46" w:lineRule="exact"/>
        <w:rPr>
          <w:sz w:val="20"/>
          <w:szCs w:val="20"/>
          <w:color w:val="auto"/>
        </w:rPr>
      </w:pPr>
    </w:p>
    <w:p>
      <w:pPr>
        <w:ind w:left="492"/>
        <w:spacing w:after="0"/>
        <w:rPr>
          <w:sz w:val="20"/>
          <w:szCs w:val="20"/>
          <w:color w:val="auto"/>
        </w:rPr>
      </w:pPr>
      <w:r>
        <w:rPr>
          <w:rFonts w:ascii="Arial" w:cs="Arial" w:eastAsia="Arial" w:hAnsi="Arial"/>
          <w:sz w:val="18"/>
          <w:szCs w:val="18"/>
          <w:color w:val="auto"/>
        </w:rPr>
        <w:t>of any referenced schedules will be furnished supplementally to the SEC upon request.</w:t>
      </w:r>
    </w:p>
    <w:p>
      <w:pPr>
        <w:spacing w:after="0" w:line="9" w:lineRule="exact"/>
        <w:rPr>
          <w:sz w:val="20"/>
          <w:szCs w:val="20"/>
          <w:color w:val="auto"/>
        </w:rPr>
      </w:pPr>
    </w:p>
    <w:p>
      <w:pPr>
        <w:ind w:left="492" w:hanging="492"/>
        <w:spacing w:after="0"/>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w:t>
      </w:r>
    </w:p>
    <w:p>
      <w:pPr>
        <w:spacing w:after="0" w:line="49" w:lineRule="exact"/>
        <w:rPr>
          <w:sz w:val="20"/>
          <w:szCs w:val="20"/>
          <w:color w:val="auto"/>
        </w:rPr>
      </w:pP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October 5, 2012.</w:t>
      </w:r>
    </w:p>
    <w:p>
      <w:pPr>
        <w:spacing w:after="0" w:line="23" w:lineRule="exact"/>
        <w:rPr>
          <w:rFonts w:ascii="Arial" w:cs="Arial" w:eastAsia="Arial" w:hAnsi="Arial"/>
          <w:sz w:val="18"/>
          <w:szCs w:val="18"/>
          <w:color w:val="auto"/>
        </w:rPr>
      </w:pP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November 8, 2012.</w:t>
      </w:r>
    </w:p>
    <w:p>
      <w:pPr>
        <w:spacing w:after="0" w:line="9" w:lineRule="exact"/>
        <w:rPr>
          <w:rFonts w:ascii="Arial" w:cs="Arial" w:eastAsia="Arial" w:hAnsi="Arial"/>
          <w:sz w:val="18"/>
          <w:szCs w:val="18"/>
          <w:color w:val="auto"/>
        </w:rPr>
      </w:pPr>
    </w:p>
    <w:p>
      <w:pPr>
        <w:ind w:left="492" w:right="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2018 filed on May 2, 2018.</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June 30, 2017 filed on August 3, 2017.</w:t>
      </w:r>
    </w:p>
    <w:p>
      <w:pPr>
        <w:ind w:left="492" w:right="6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 filed on March 3, 2014.</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February 19, 2016.</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May 13, 2014.</w:t>
      </w:r>
    </w:p>
    <w:p>
      <w:pPr>
        <w:spacing w:after="0" w:line="9" w:lineRule="exact"/>
        <w:rPr>
          <w:rFonts w:ascii="Arial" w:cs="Arial" w:eastAsia="Arial" w:hAnsi="Arial"/>
          <w:sz w:val="18"/>
          <w:szCs w:val="18"/>
          <w:color w:val="auto"/>
        </w:rPr>
      </w:pPr>
    </w:p>
    <w:p>
      <w:pPr>
        <w:ind w:left="492" w:right="3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2016 filed on April 28, 2016.</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August 12, 2009.</w:t>
      </w:r>
    </w:p>
    <w:p>
      <w:pPr>
        <w:spacing w:after="0" w:line="9" w:lineRule="exact"/>
        <w:rPr>
          <w:rFonts w:ascii="Arial" w:cs="Arial" w:eastAsia="Arial" w:hAnsi="Arial"/>
          <w:sz w:val="18"/>
          <w:szCs w:val="18"/>
          <w:color w:val="auto"/>
        </w:rPr>
      </w:pPr>
    </w:p>
    <w:p>
      <w:pPr>
        <w:ind w:left="492" w:right="6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 filed on March 16, 2005.</w:t>
      </w:r>
    </w:p>
    <w:p>
      <w:pPr>
        <w:ind w:left="492" w:right="76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on March 30, 2007.</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18, 2013.</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July 8, 2013.</w:t>
      </w:r>
    </w:p>
    <w:p>
      <w:pPr>
        <w:spacing w:after="0" w:line="9" w:lineRule="exact"/>
        <w:rPr>
          <w:rFonts w:ascii="Arial" w:cs="Arial" w:eastAsia="Arial" w:hAnsi="Arial"/>
          <w:sz w:val="18"/>
          <w:szCs w:val="18"/>
          <w:color w:val="auto"/>
        </w:rPr>
      </w:pPr>
    </w:p>
    <w:p>
      <w:pPr>
        <w:ind w:left="492" w:right="3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 filed on November 5, 2013.</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6, 2015.</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February 19, 2013.</w:t>
      </w:r>
    </w:p>
    <w:p>
      <w:pPr>
        <w:spacing w:after="0" w:line="9" w:lineRule="exact"/>
        <w:rPr>
          <w:rFonts w:ascii="Arial" w:cs="Arial" w:eastAsia="Arial" w:hAnsi="Arial"/>
          <w:sz w:val="18"/>
          <w:szCs w:val="18"/>
          <w:color w:val="auto"/>
        </w:rPr>
      </w:pPr>
    </w:p>
    <w:p>
      <w:pPr>
        <w:ind w:left="492" w:right="3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 filed on May 2, 2014.</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January 20, 2015.</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March 26, 2015.</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December 6, 2016.</w:t>
      </w:r>
    </w:p>
    <w:p>
      <w:pPr>
        <w:spacing w:after="0" w:line="9" w:lineRule="exact"/>
        <w:rPr>
          <w:rFonts w:ascii="Arial" w:cs="Arial" w:eastAsia="Arial" w:hAnsi="Arial"/>
          <w:sz w:val="18"/>
          <w:szCs w:val="18"/>
          <w:color w:val="auto"/>
        </w:rPr>
      </w:pPr>
    </w:p>
    <w:p>
      <w:pPr>
        <w:ind w:left="492" w:right="6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2016 filed February 23, 2017.</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May 24, 2017.</w:t>
      </w:r>
    </w:p>
    <w:p>
      <w:pPr>
        <w:spacing w:after="0" w:line="9" w:lineRule="exact"/>
        <w:rPr>
          <w:rFonts w:ascii="Arial" w:cs="Arial" w:eastAsia="Arial" w:hAnsi="Arial"/>
          <w:sz w:val="18"/>
          <w:szCs w:val="18"/>
          <w:color w:val="auto"/>
        </w:rPr>
      </w:pPr>
    </w:p>
    <w:p>
      <w:pPr>
        <w:ind w:left="492" w:right="38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2017 filed on November 2, 2017.</w:t>
      </w:r>
    </w:p>
    <w:p>
      <w:pPr>
        <w:ind w:left="492" w:right="34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PHH Corporation's Quarterly Report on Form 10-Q for the period ended June 30, 2017 filed on August 9, 2017.</w:t>
      </w:r>
    </w:p>
    <w:p>
      <w:pPr>
        <w:ind w:left="492" w:right="40" w:hanging="492"/>
        <w:spacing w:after="0" w:line="250" w:lineRule="auto"/>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Annual Report on Form 10-K for the year ended December 31, 2017 filed on March 1, 2018.</w:t>
      </w:r>
    </w:p>
    <w:p>
      <w:pPr>
        <w:ind w:left="492" w:hanging="492"/>
        <w:spacing w:after="0"/>
        <w:tabs>
          <w:tab w:leader="none" w:pos="4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on February 12, 2018.</w:t>
      </w:r>
    </w:p>
    <w:p>
      <w:pPr>
        <w:spacing w:after="0" w:line="23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92"/>
          </w:cols>
          <w:pgMar w:left="248" w:top="584" w:right="259" w:bottom="1440" w:gutter="0" w:footer="0" w:header="0"/>
        </w:sectPr>
      </w:pPr>
    </w:p>
    <w:bookmarkStart w:id="99" w:name="page100"/>
    <w:bookmarkEnd w:id="99"/>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on April 19, 2018.</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on May 29,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January 17,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October 4,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August 23,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August 20,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July 5, 2017.</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September 30, 2018 filed on November 6, 2018.</w:t>
      </w: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December 28,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June 19,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May 25,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to PHH Corporation’s Annual Report on Form 10-K filed on 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820"/>
          </w:cols>
          <w:pgMar w:left="240" w:top="584" w:right="8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 A. Messina</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27, 2019</w:t>
      </w:r>
    </w:p>
    <w:p>
      <w:pPr>
        <w:spacing w:after="0" w:line="36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/s/ Phyllis R. Caldwell</w:t>
            </w:r>
          </w:p>
        </w:tc>
        <w:tc>
          <w:tcPr>
            <w:tcW w:w="1740" w:type="dxa"/>
            <w:vAlign w:val="bottom"/>
          </w:tcPr>
          <w:p>
            <w:pPr>
              <w:spacing w:after="0"/>
              <w:rPr>
                <w:sz w:val="20"/>
                <w:szCs w:val="20"/>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Phyllis R. Caldwell, Chair of the Board of Directors</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Glen A. Messina</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5580" w:type="dxa"/>
            <w:vAlign w:val="bottom"/>
          </w:tcPr>
          <w:p>
            <w:pPr>
              <w:ind w:left="40"/>
              <w:spacing w:after="0"/>
              <w:rPr>
                <w:sz w:val="20"/>
                <w:szCs w:val="20"/>
                <w:color w:val="auto"/>
              </w:rPr>
            </w:pPr>
            <w:r>
              <w:rPr>
                <w:rFonts w:ascii="Arial" w:cs="Arial" w:eastAsia="Arial" w:hAnsi="Arial"/>
                <w:sz w:val="18"/>
                <w:szCs w:val="18"/>
                <w:color w:val="auto"/>
              </w:rPr>
              <w:t>Glen A. Messina, President, Chief Executive Officer and Director</w:t>
            </w:r>
          </w:p>
        </w:tc>
        <w:tc>
          <w:tcPr>
            <w:tcW w:w="174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Alan J. Bowers</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Alan J. Bowers, Director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Jacques J. Busquet</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Jacques J. Busquet, Director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Carol J. Galante</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Carol J. Galante, Director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Robert J. Lipstein</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Robert J. Lipstein, Director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Robert A. Salcetti</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Robert A. Salcetti, Director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DeForest B. Soaries, Jr.</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DeForest B. Soaries, Jr., Director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567"/>
        </w:trPr>
        <w:tc>
          <w:tcPr>
            <w:tcW w:w="5580" w:type="dxa"/>
            <w:vAlign w:val="bottom"/>
          </w:tcPr>
          <w:p>
            <w:pPr>
              <w:ind w:left="40"/>
              <w:spacing w:after="0"/>
              <w:rPr>
                <w:sz w:val="20"/>
                <w:szCs w:val="20"/>
                <w:color w:val="auto"/>
              </w:rPr>
            </w:pPr>
            <w:r>
              <w:rPr>
                <w:rFonts w:ascii="Arial" w:cs="Arial" w:eastAsia="Arial" w:hAnsi="Arial"/>
                <w:sz w:val="18"/>
                <w:szCs w:val="18"/>
                <w:color w:val="auto"/>
              </w:rPr>
              <w:t>/s/ Catherine M. Dondzila</w:t>
            </w:r>
          </w:p>
        </w:tc>
        <w:tc>
          <w:tcPr>
            <w:tcW w:w="1740" w:type="dxa"/>
            <w:vAlign w:val="bottom"/>
          </w:tcPr>
          <w:p>
            <w:pPr>
              <w:spacing w:after="0"/>
              <w:rPr>
                <w:sz w:val="24"/>
                <w:szCs w:val="24"/>
                <w:color w:val="auto"/>
              </w:rPr>
            </w:pP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27, 2019</w:t>
            </w:r>
          </w:p>
        </w:tc>
      </w:tr>
      <w:tr>
        <w:trPr>
          <w:trHeight w:val="27"/>
        </w:trPr>
        <w:tc>
          <w:tcPr>
            <w:tcW w:w="5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5580" w:type="dxa"/>
            <w:vAlign w:val="bottom"/>
          </w:tcPr>
          <w:p>
            <w:pPr>
              <w:ind w:left="40"/>
              <w:spacing w:after="0"/>
              <w:rPr>
                <w:sz w:val="20"/>
                <w:szCs w:val="20"/>
                <w:color w:val="auto"/>
              </w:rPr>
            </w:pPr>
            <w:r>
              <w:rPr>
                <w:rFonts w:ascii="Arial" w:cs="Arial" w:eastAsia="Arial" w:hAnsi="Arial"/>
                <w:sz w:val="18"/>
                <w:szCs w:val="18"/>
                <w:color w:val="auto"/>
                <w:w w:val="92"/>
              </w:rPr>
              <w:t>Catherine M. Dondzila, Senior Vice President and Chief Accounting Officer</w:t>
            </w:r>
          </w:p>
        </w:tc>
        <w:tc>
          <w:tcPr>
            <w:tcW w:w="174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230"/>
        </w:trPr>
        <w:tc>
          <w:tcPr>
            <w:tcW w:w="558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 officer)</w:t>
            </w:r>
          </w:p>
        </w:tc>
        <w:tc>
          <w:tcPr>
            <w:tcW w:w="17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702"/>
        </w:trPr>
        <w:tc>
          <w:tcPr>
            <w:tcW w:w="5580" w:type="dxa"/>
            <w:vAlign w:val="bottom"/>
          </w:tcPr>
          <w:p>
            <w:pPr>
              <w:spacing w:after="0"/>
              <w:rPr>
                <w:sz w:val="24"/>
                <w:szCs w:val="24"/>
                <w:color w:val="auto"/>
              </w:rPr>
            </w:pPr>
          </w:p>
        </w:tc>
        <w:tc>
          <w:tcPr>
            <w:tcW w:w="1740" w:type="dxa"/>
            <w:vAlign w:val="bottom"/>
          </w:tcPr>
          <w:p>
            <w:pPr>
              <w:jc w:val="right"/>
              <w:ind w:right="1430"/>
              <w:spacing w:after="0"/>
              <w:rPr>
                <w:sz w:val="20"/>
                <w:szCs w:val="20"/>
                <w:color w:val="auto"/>
              </w:rPr>
            </w:pPr>
            <w:r>
              <w:rPr>
                <w:rFonts w:ascii="Arial" w:cs="Arial" w:eastAsia="Arial" w:hAnsi="Arial"/>
                <w:sz w:val="18"/>
                <w:szCs w:val="18"/>
                <w:color w:val="auto"/>
                <w:w w:val="99"/>
              </w:rPr>
              <w:t>99</w:t>
            </w:r>
          </w:p>
        </w:tc>
        <w:tc>
          <w:tcPr>
            <w:tcW w:w="4080" w:type="dxa"/>
            <w:vAlign w:val="bottom"/>
          </w:tcPr>
          <w:p>
            <w:pPr>
              <w:spacing w:after="0"/>
              <w:rPr>
                <w:sz w:val="24"/>
                <w:szCs w:val="24"/>
                <w:color w:val="auto"/>
              </w:rPr>
            </w:pPr>
          </w:p>
        </w:tc>
      </w:tr>
    </w:tbl>
    <w:p>
      <w:pPr>
        <w:sectPr>
          <w:pgSz w:w="11900" w:h="16838" w:orient="portrait"/>
          <w:cols w:equalWidth="0" w:num="1">
            <w:col w:w="11400"/>
          </w:cols>
          <w:pgMar w:left="240" w:top="688" w:right="25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2018</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9019"/>
          </w:cols>
          <w:pgMar w:left="1440" w:top="1440" w:right="1440" w:bottom="1440" w:gutter="0" w:footer="0" w:header="0"/>
        </w:sectPr>
      </w:pPr>
    </w:p>
    <w:bookmarkStart w:id="102" w:name="page103"/>
    <w:bookmarkEnd w:id="102"/>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0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7"/>
        </w:trPr>
        <w:tc>
          <w:tcPr>
            <w:tcW w:w="10700" w:type="dxa"/>
            <w:vAlign w:val="bottom"/>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Report of Independent Registered Public Accounting Firm</w:t>
              </w:r>
            </w:hyperlink>
          </w:p>
        </w:tc>
        <w:tc>
          <w:tcPr>
            <w:tcW w:w="680" w:type="dxa"/>
            <w:vAlign w:val="bottom"/>
          </w:tcPr>
          <w:p>
            <w:pPr>
              <w:jc w:val="center"/>
              <w:spacing w:after="0"/>
              <w:rPr>
                <w:rFonts w:ascii="Arial" w:cs="Arial" w:eastAsia="Arial" w:hAnsi="Arial"/>
                <w:sz w:val="18"/>
                <w:szCs w:val="18"/>
                <w:color w:val="auto"/>
                <w:w w:val="88"/>
              </w:rPr>
            </w:pPr>
            <w:hyperlink w:anchor="page104">
              <w:r>
                <w:rPr>
                  <w:rFonts w:ascii="Arial" w:cs="Arial" w:eastAsia="Arial" w:hAnsi="Arial"/>
                  <w:sz w:val="18"/>
                  <w:szCs w:val="18"/>
                  <w:color w:val="auto"/>
                  <w:w w:val="88"/>
                </w:rPr>
                <w:t>F-2</w:t>
              </w:r>
            </w:hyperlink>
          </w:p>
        </w:tc>
      </w:tr>
      <w:tr>
        <w:trPr>
          <w:trHeight w:val="540"/>
        </w:trPr>
        <w:tc>
          <w:tcPr>
            <w:tcW w:w="10700" w:type="dxa"/>
            <w:vAlign w:val="bottom"/>
          </w:tcPr>
          <w:p>
            <w:pPr>
              <w:spacing w:after="0"/>
              <w:rPr>
                <w:rFonts w:ascii="Arial" w:cs="Arial" w:eastAsia="Arial" w:hAnsi="Arial"/>
                <w:sz w:val="18"/>
                <w:szCs w:val="18"/>
                <w:color w:val="auto"/>
              </w:rPr>
            </w:pPr>
            <w:hyperlink w:anchor="page105">
              <w:r>
                <w:rPr>
                  <w:rFonts w:ascii="Arial" w:cs="Arial" w:eastAsia="Arial" w:hAnsi="Arial"/>
                  <w:sz w:val="18"/>
                  <w:szCs w:val="18"/>
                  <w:color w:val="auto"/>
                </w:rPr>
                <w:t>Report of Independent Registered Public Accounting Firm on Internal Control over Financial Reporting</w:t>
              </w:r>
            </w:hyperlink>
          </w:p>
        </w:tc>
        <w:tc>
          <w:tcPr>
            <w:tcW w:w="680" w:type="dxa"/>
            <w:vAlign w:val="bottom"/>
          </w:tcPr>
          <w:p>
            <w:pPr>
              <w:jc w:val="center"/>
              <w:spacing w:after="0"/>
              <w:rPr>
                <w:rFonts w:ascii="Arial" w:cs="Arial" w:eastAsia="Arial" w:hAnsi="Arial"/>
                <w:sz w:val="18"/>
                <w:szCs w:val="18"/>
                <w:color w:val="auto"/>
                <w:w w:val="88"/>
              </w:rPr>
            </w:pPr>
            <w:hyperlink w:anchor="page105">
              <w:r>
                <w:rPr>
                  <w:rFonts w:ascii="Arial" w:cs="Arial" w:eastAsia="Arial" w:hAnsi="Arial"/>
                  <w:sz w:val="18"/>
                  <w:szCs w:val="18"/>
                  <w:color w:val="auto"/>
                  <w:w w:val="88"/>
                </w:rPr>
                <w:t>F-3</w:t>
              </w:r>
            </w:hyperlink>
          </w:p>
        </w:tc>
      </w:tr>
      <w:tr>
        <w:trPr>
          <w:trHeight w:val="540"/>
        </w:trPr>
        <w:tc>
          <w:tcPr>
            <w:tcW w:w="10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4"/>
                <w:szCs w:val="24"/>
                <w:color w:val="auto"/>
              </w:rPr>
            </w:pPr>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Balance Sheets at December 31, 2018 and 2017</w:t>
            </w:r>
          </w:p>
        </w:tc>
        <w:tc>
          <w:tcPr>
            <w:tcW w:w="680" w:type="dxa"/>
            <w:vAlign w:val="bottom"/>
          </w:tcPr>
          <w:p>
            <w:pPr>
              <w:jc w:val="center"/>
              <w:spacing w:after="0"/>
              <w:rPr>
                <w:rFonts w:ascii="Arial" w:cs="Arial" w:eastAsia="Arial" w:hAnsi="Arial"/>
                <w:sz w:val="18"/>
                <w:szCs w:val="18"/>
                <w:color w:val="auto"/>
                <w:w w:val="88"/>
              </w:rPr>
            </w:pPr>
            <w:hyperlink w:anchor="page107">
              <w:r>
                <w:rPr>
                  <w:rFonts w:ascii="Arial" w:cs="Arial" w:eastAsia="Arial" w:hAnsi="Arial"/>
                  <w:sz w:val="18"/>
                  <w:szCs w:val="18"/>
                  <w:color w:val="auto"/>
                  <w:w w:val="88"/>
                </w:rPr>
                <w:t>F-5</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Operations for the years ended December 31, 2018, 2017 and 2016</w:t>
            </w:r>
          </w:p>
        </w:tc>
        <w:tc>
          <w:tcPr>
            <w:tcW w:w="680" w:type="dxa"/>
            <w:vAlign w:val="bottom"/>
          </w:tcPr>
          <w:p>
            <w:pPr>
              <w:jc w:val="center"/>
              <w:spacing w:after="0"/>
              <w:rPr>
                <w:rFonts w:ascii="Arial" w:cs="Arial" w:eastAsia="Arial" w:hAnsi="Arial"/>
                <w:sz w:val="18"/>
                <w:szCs w:val="18"/>
                <w:color w:val="auto"/>
                <w:w w:val="88"/>
              </w:rPr>
            </w:pPr>
            <w:hyperlink w:anchor="page108">
              <w:r>
                <w:rPr>
                  <w:rFonts w:ascii="Arial" w:cs="Arial" w:eastAsia="Arial" w:hAnsi="Arial"/>
                  <w:sz w:val="18"/>
                  <w:szCs w:val="18"/>
                  <w:color w:val="auto"/>
                  <w:w w:val="88"/>
                </w:rPr>
                <w:t>F-6</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Comprehensive Loss for the years ended December 31, 2018, 2017 and 2016</w:t>
            </w:r>
          </w:p>
        </w:tc>
        <w:tc>
          <w:tcPr>
            <w:tcW w:w="680" w:type="dxa"/>
            <w:vAlign w:val="bottom"/>
          </w:tcPr>
          <w:p>
            <w:pPr>
              <w:jc w:val="center"/>
              <w:spacing w:after="0"/>
              <w:rPr>
                <w:rFonts w:ascii="Arial" w:cs="Arial" w:eastAsia="Arial" w:hAnsi="Arial"/>
                <w:sz w:val="18"/>
                <w:szCs w:val="18"/>
                <w:color w:val="auto"/>
                <w:w w:val="88"/>
              </w:rPr>
            </w:pPr>
            <w:hyperlink w:anchor="page109">
              <w:r>
                <w:rPr>
                  <w:rFonts w:ascii="Arial" w:cs="Arial" w:eastAsia="Arial" w:hAnsi="Arial"/>
                  <w:sz w:val="18"/>
                  <w:szCs w:val="18"/>
                  <w:color w:val="auto"/>
                  <w:w w:val="88"/>
                </w:rPr>
                <w:t>F-7</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Changes in Equity for the years ended December 31, 2018, 2017 and 2016</w:t>
            </w:r>
          </w:p>
        </w:tc>
        <w:tc>
          <w:tcPr>
            <w:tcW w:w="680" w:type="dxa"/>
            <w:vAlign w:val="bottom"/>
          </w:tcPr>
          <w:p>
            <w:pPr>
              <w:jc w:val="center"/>
              <w:spacing w:after="0"/>
              <w:rPr>
                <w:rFonts w:ascii="Arial" w:cs="Arial" w:eastAsia="Arial" w:hAnsi="Arial"/>
                <w:sz w:val="18"/>
                <w:szCs w:val="18"/>
                <w:color w:val="auto"/>
                <w:w w:val="88"/>
              </w:rPr>
            </w:pPr>
            <w:hyperlink w:anchor="page110">
              <w:r>
                <w:rPr>
                  <w:rFonts w:ascii="Arial" w:cs="Arial" w:eastAsia="Arial" w:hAnsi="Arial"/>
                  <w:sz w:val="18"/>
                  <w:szCs w:val="18"/>
                  <w:color w:val="auto"/>
                  <w:w w:val="88"/>
                </w:rPr>
                <w:t>F-8</w:t>
              </w:r>
            </w:hyperlink>
          </w:p>
        </w:tc>
      </w:tr>
      <w:tr>
        <w:trPr>
          <w:trHeight w:val="540"/>
        </w:trPr>
        <w:tc>
          <w:tcPr>
            <w:tcW w:w="10700" w:type="dxa"/>
            <w:vAlign w:val="bottom"/>
          </w:tcPr>
          <w:p>
            <w:pPr>
              <w:ind w:left="24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680" w:type="dxa"/>
            <w:vAlign w:val="bottom"/>
          </w:tcPr>
          <w:p>
            <w:pPr>
              <w:jc w:val="center"/>
              <w:spacing w:after="0"/>
              <w:rPr>
                <w:rFonts w:ascii="Arial" w:cs="Arial" w:eastAsia="Arial" w:hAnsi="Arial"/>
                <w:sz w:val="18"/>
                <w:szCs w:val="18"/>
                <w:color w:val="auto"/>
                <w:w w:val="88"/>
              </w:rPr>
            </w:pPr>
            <w:hyperlink w:anchor="page111">
              <w:r>
                <w:rPr>
                  <w:rFonts w:ascii="Arial" w:cs="Arial" w:eastAsia="Arial" w:hAnsi="Arial"/>
                  <w:sz w:val="18"/>
                  <w:szCs w:val="18"/>
                  <w:color w:val="auto"/>
                  <w:w w:val="88"/>
                </w:rPr>
                <w:t>F-9</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113">
              <w:r>
                <w:rPr>
                  <w:rFonts w:ascii="Arial" w:cs="Arial" w:eastAsia="Arial" w:hAnsi="Arial"/>
                  <w:sz w:val="18"/>
                  <w:szCs w:val="18"/>
                  <w:color w:val="auto"/>
                </w:rPr>
                <w:t>Notes to Consolidated Financial Statements</w:t>
              </w:r>
            </w:hyperlink>
          </w:p>
        </w:tc>
        <w:tc>
          <w:tcPr>
            <w:tcW w:w="680" w:type="dxa"/>
            <w:vAlign w:val="bottom"/>
          </w:tcPr>
          <w:p>
            <w:pPr>
              <w:jc w:val="center"/>
              <w:spacing w:after="0"/>
              <w:rPr>
                <w:rFonts w:ascii="Arial" w:cs="Arial" w:eastAsia="Arial" w:hAnsi="Arial"/>
                <w:sz w:val="18"/>
                <w:szCs w:val="18"/>
                <w:color w:val="auto"/>
                <w:w w:val="91"/>
              </w:rPr>
            </w:pPr>
            <w:hyperlink w:anchor="page113">
              <w:r>
                <w:rPr>
                  <w:rFonts w:ascii="Arial" w:cs="Arial" w:eastAsia="Arial" w:hAnsi="Arial"/>
                  <w:sz w:val="18"/>
                  <w:szCs w:val="18"/>
                  <w:color w:val="auto"/>
                  <w:w w:val="91"/>
                </w:rPr>
                <w:t>F-10</w:t>
              </w:r>
            </w:hyperlink>
          </w:p>
        </w:tc>
      </w:tr>
      <w:tr>
        <w:trPr>
          <w:trHeight w:val="702"/>
        </w:trPr>
        <w:tc>
          <w:tcPr>
            <w:tcW w:w="10700" w:type="dxa"/>
            <w:vAlign w:val="bottom"/>
          </w:tcPr>
          <w:p>
            <w:pPr>
              <w:ind w:left="554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103" w:name="page104"/>
    <w:bookmarkEnd w:id="103"/>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Ocwen Financial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Ocwen Financial Corporation and subsidiaries (the “Company”) as of December 31, 2018 and 2017, the related consolidated statements of operations, comprehensive loss, changes in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8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796" w:right="3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Ocwen Financial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27, 2019, expressed an unqualified opinion on those financial statements.</w:t>
      </w: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PHH Corporation, which was acquired on October 4, 2018 and whose financial statements constitute 9% of consolidated total assets and 7% of consolidated revenues as of and for the year ended December 31, 2018. Accordingly, our audit did not include the internal control over financial reporting at PHH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400"/>
          </w:cols>
          <w:pgMar w:left="240" w:top="79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00"/>
          </w:cols>
          <w:pgMar w:left="240" w:top="796" w:right="25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4288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ectPr>
          <w:pgSz w:w="11900" w:h="16838" w:orient="portrait"/>
          <w:cols w:equalWidth="0" w:num="1">
            <w:col w:w="10179"/>
          </w:cols>
          <w:pgMar w:left="280" w:top="746" w:right="1440"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9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179"/>
          </w:cols>
          <w:pgMar w:left="280" w:top="746" w:right="1440" w:bottom="1440" w:gutter="0" w:footer="0" w:header="0"/>
          <w:type w:val="continuous"/>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329,132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259,655</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Restricted cash (amounts related to VIEs of $20,968 and $21,922)</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67,878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42,905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Mortgage servicing rights ($1,457,149 and $671,962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1,457,149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1,008,844</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249,382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211,793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Match funded assets (related to variable interest entities (VIEs))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937,294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1,177,357</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($176,525 and $214,262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242,622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238,358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investment, at fair value (amounts related to VIEs of $26,520 and $0)</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5,498,719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4,715,831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198,262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199,529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37,006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9"/>
              </w:rPr>
              <w:t>Other assets ($7,568 and $8,900 carried at fair value)(amounts related to VIEs of $2,874 and $5,437)</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379,567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511,886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Assets related to discontinued operations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9,394,216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8,403,164</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HMBS-related borrowings, at fair value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5,380,448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4,601,556</w:t>
            </w:r>
          </w:p>
        </w:tc>
      </w:tr>
      <w:tr>
        <w:trPr>
          <w:trHeight w:val="229"/>
        </w:trPr>
        <w:tc>
          <w:tcPr>
            <w:tcW w:w="8320" w:type="dxa"/>
            <w:vAlign w:val="bottom"/>
          </w:tcPr>
          <w:p>
            <w:pPr>
              <w:ind w:left="500"/>
              <w:spacing w:after="0"/>
              <w:rPr>
                <w:sz w:val="20"/>
                <w:szCs w:val="20"/>
                <w:color w:val="auto"/>
              </w:rPr>
            </w:pPr>
            <w:r>
              <w:rPr>
                <w:rFonts w:ascii="Arial" w:cs="Arial" w:eastAsia="Arial" w:hAnsi="Arial"/>
                <w:sz w:val="18"/>
                <w:szCs w:val="18"/>
                <w:color w:val="auto"/>
                <w:w w:val="97"/>
              </w:rPr>
              <w:t>Other financing liabilities ($1,057,671 and $508,291 carried at fair value) (amounts related to VIEs of</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$24,815 and $0)</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1,127,613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593,518</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Match funded liabilities (related to VIEs)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778,284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998,618</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382,538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545,850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notes,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448,727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347,338</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 ($4,986 and $635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703,636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769,410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Liabilities related to discontinued operations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18,265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8,839,511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7,856,290</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Commitments and Contingencies (Notes 24 and 25)</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29"/>
        </w:trPr>
        <w:tc>
          <w:tcPr>
            <w:tcW w:w="8320" w:type="dxa"/>
            <w:vAlign w:val="bottom"/>
          </w:tcPr>
          <w:p>
            <w:pPr>
              <w:ind w:left="600"/>
              <w:spacing w:after="0"/>
              <w:rPr>
                <w:sz w:val="20"/>
                <w:szCs w:val="20"/>
                <w:color w:val="auto"/>
              </w:rPr>
            </w:pPr>
            <w:r>
              <w:rPr>
                <w:rFonts w:ascii="Arial" w:cs="Arial" w:eastAsia="Arial" w:hAnsi="Arial"/>
                <w:sz w:val="18"/>
                <w:szCs w:val="18"/>
                <w:color w:val="auto"/>
                <w:w w:val="94"/>
              </w:rPr>
              <w:t>Common stock, $.01 par value; 200,000,000 shares authorized; 133,912,425 and 131,484,058 shares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20" w:type="dxa"/>
            <w:vAlign w:val="bottom"/>
          </w:tcPr>
          <w:p>
            <w:pPr>
              <w:ind w:left="760"/>
              <w:spacing w:after="0"/>
              <w:rPr>
                <w:sz w:val="20"/>
                <w:szCs w:val="20"/>
                <w:color w:val="auto"/>
              </w:rPr>
            </w:pPr>
            <w:r>
              <w:rPr>
                <w:rFonts w:ascii="Arial" w:cs="Arial" w:eastAsia="Arial" w:hAnsi="Arial"/>
                <w:sz w:val="18"/>
                <w:szCs w:val="18"/>
                <w:color w:val="auto"/>
              </w:rPr>
              <w:t>issued and outstanding at December 31, 2018 and December 31, 2017, respectively</w:t>
            </w: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1,315</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554,056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547,057</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(1,249)</w:t>
            </w:r>
          </w:p>
        </w:tc>
      </w:tr>
      <w:tr>
        <w:trPr>
          <w:trHeight w:val="237"/>
        </w:trPr>
        <w:tc>
          <w:tcPr>
            <w:tcW w:w="8320" w:type="dxa"/>
            <w:vAlign w:val="bottom"/>
          </w:tcPr>
          <w:p>
            <w:pPr>
              <w:ind w:left="82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554,705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545,040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1,834</w:t>
            </w:r>
          </w:p>
        </w:tc>
      </w:tr>
      <w:tr>
        <w:trPr>
          <w:trHeight w:val="237"/>
        </w:trPr>
        <w:tc>
          <w:tcPr>
            <w:tcW w:w="8320" w:type="dxa"/>
            <w:vAlign w:val="bottom"/>
          </w:tcPr>
          <w:p>
            <w:pPr>
              <w:ind w:left="60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554,705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546,874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EAF9E8"/>
            </w:tcBorders>
            <w:shd w:val="clear" w:color="auto" w:fill="EAF9E8"/>
          </w:tcPr>
          <w:p>
            <w:pPr>
              <w:ind w:left="9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9,394,216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8,403,164</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337" w:right="2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934,336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989,376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1,186,620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77,743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103,402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90,391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 net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50,966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101,798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110,152</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1,063,045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1,194,576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1,387,163</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298,036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358,994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381,340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165,554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229,451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305,586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MSR valuation adjustments, net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153,457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52,962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124,029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131,297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141,496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188,750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110,333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59,631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66,019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80,191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26,280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33,025</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932,496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998,645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1,223,254</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19,083</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(275,041)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(363,238)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Bargain purchase gain</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8,492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14,738</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(202,025)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(339,904)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(370,270)</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(71,476)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(6,986)</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(72,005)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(70,596)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(70,772)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96"/>
              </w:rPr>
              <w:t>Earnings (loss) per share attributable to Ocwen stockholders - Basic and Diluted</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67"/>
        </w:trPr>
        <w:tc>
          <w:tcPr>
            <w:tcW w:w="6740" w:type="dxa"/>
            <w:vAlign w:val="bottom"/>
            <w:tcBorders>
              <w:bottom w:val="single" w:sz="8" w:color="EAF9E8"/>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51"/>
        </w:trPr>
        <w:tc>
          <w:tcPr>
            <w:tcW w:w="6740" w:type="dxa"/>
            <w:vAlign w:val="bottom"/>
            <w:shd w:val="clear" w:color="auto" w:fill="EAF9E8"/>
          </w:tcPr>
          <w:p>
            <w:pPr>
              <w:spacing w:after="0"/>
              <w:rPr>
                <w:sz w:val="21"/>
                <w:szCs w:val="21"/>
                <w:color w:val="auto"/>
              </w:rPr>
            </w:pPr>
          </w:p>
        </w:tc>
        <w:tc>
          <w:tcPr>
            <w:tcW w:w="320" w:type="dxa"/>
            <w:vAlign w:val="bottom"/>
            <w:shd w:val="clear" w:color="auto" w:fill="EAF9E8"/>
          </w:tcPr>
          <w:p>
            <w:pPr>
              <w:spacing w:after="0"/>
              <w:rPr>
                <w:sz w:val="21"/>
                <w:szCs w:val="21"/>
                <w:color w:val="auto"/>
              </w:rPr>
            </w:pPr>
          </w:p>
        </w:tc>
        <w:tc>
          <w:tcPr>
            <w:tcW w:w="12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133,703,359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127,082,058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123,990,700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133,703,359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127,082,058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123,990,700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37"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(70,596)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(199,375)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6"/>
              </w:rPr>
              <w:t>Reclassification adjustment for losses on cash flow hedges included in net income (1)</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 in unfunded pension plan obligation liability</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(73,605)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(128,256)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(199,062)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(73,781)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(127,765)</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(199,449)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These losses are reclassified to Other,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337"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jc w:val="center"/>
              <w:ind w:right="340"/>
              <w:spacing w:after="0" w:line="113" w:lineRule="exact"/>
              <w:rPr>
                <w:sz w:val="20"/>
                <w:szCs w:val="20"/>
                <w:color w:val="auto"/>
              </w:rPr>
            </w:pPr>
            <w:r>
              <w:rPr>
                <w:rFonts w:ascii="Arial" w:cs="Arial" w:eastAsia="Arial" w:hAnsi="Arial"/>
                <w:sz w:val="13"/>
                <w:szCs w:val="13"/>
                <w:b w:val="1"/>
                <w:bCs w:val="1"/>
                <w:color w:val="auto"/>
              </w:rPr>
              <w:t>Earnings</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of Taxes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900" w:type="dxa"/>
            <w:vAlign w:val="bottom"/>
            <w:tcBorders>
              <w:top w:val="single" w:sz="8" w:color="auto"/>
            </w:tcBorders>
            <w:shd w:val="clear" w:color="auto" w:fill="EAF9E8"/>
          </w:tcPr>
          <w:p>
            <w:pPr>
              <w:jc w:val="right"/>
              <w:ind w:right="47"/>
              <w:spacing w:after="0"/>
              <w:rPr>
                <w:sz w:val="20"/>
                <w:szCs w:val="20"/>
                <w:color w:val="auto"/>
              </w:rPr>
            </w:pPr>
            <w:r>
              <w:rPr>
                <w:rFonts w:ascii="Arial" w:cs="Arial" w:eastAsia="Arial" w:hAnsi="Arial"/>
                <w:sz w:val="14"/>
                <w:szCs w:val="14"/>
                <w:color w:val="auto"/>
                <w:w w:val="97"/>
              </w:rPr>
              <w:t>124,774,516</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EAF9E8"/>
          </w:tcPr>
          <w:p>
            <w:pPr>
              <w:jc w:val="right"/>
              <w:ind w:right="27"/>
              <w:spacing w:after="0"/>
              <w:rPr>
                <w:sz w:val="20"/>
                <w:szCs w:val="20"/>
                <w:color w:val="auto"/>
              </w:rPr>
            </w:pPr>
            <w:r>
              <w:rPr>
                <w:rFonts w:ascii="Arial" w:cs="Arial" w:eastAsia="Arial" w:hAnsi="Arial"/>
                <w:sz w:val="14"/>
                <w:szCs w:val="14"/>
                <w:color w:val="auto"/>
              </w:rPr>
              <w:t>1,248</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526,148</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325,929</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854,638</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(199,762)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(199,375)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EAF9E8"/>
          </w:tcPr>
          <w:p>
            <w:pPr>
              <w:jc w:val="right"/>
              <w:ind w:right="7"/>
              <w:spacing w:after="0"/>
              <w:rPr>
                <w:sz w:val="20"/>
                <w:szCs w:val="20"/>
                <w:color w:val="auto"/>
              </w:rPr>
            </w:pPr>
            <w:r>
              <w:rPr>
                <w:rFonts w:ascii="Arial" w:cs="Arial" w:eastAsia="Arial" w:hAnsi="Arial"/>
                <w:sz w:val="14"/>
                <w:szCs w:val="14"/>
                <w:color w:val="auto"/>
              </w:rPr>
              <w:t>(991,985)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(5,880)</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(5,890)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69,805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135,824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6,292</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Capital distribution to non-controlling interest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9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w w:val="97"/>
              </w:rPr>
              <w:t>123,988,160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1,240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527,001</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126,167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655,283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(127,966)</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(128,457)</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Cumulative effect of adoption of FASB Accounting Standards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Arial" w:cs="Arial" w:eastAsia="Arial" w:hAnsi="Arial"/>
                <w:sz w:val="14"/>
                <w:szCs w:val="14"/>
                <w:color w:val="auto"/>
              </w:rPr>
              <w:t>Update No. 2016-09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Issuance of common stock</w:t>
            </w:r>
          </w:p>
        </w:tc>
        <w:tc>
          <w:tcPr>
            <w:tcW w:w="90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6,700,510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67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15,258</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15,325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795,388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4,522</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9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w w:val="97"/>
              </w:rPr>
              <w:t>131,484,058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547,057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546,874</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(70,772)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(70,596)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Issuance of common stock</w:t>
            </w: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1,875,000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Cumulative effect of fair value election - Mortgage servicing</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rights, net of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82,043</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82,043</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Cumulative effect of adoption of FASB Accounting Standards</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Arial" w:cs="Arial" w:eastAsia="Arial" w:hAnsi="Arial"/>
                <w:sz w:val="14"/>
                <w:szCs w:val="14"/>
                <w:color w:val="auto"/>
              </w:rPr>
              <w:t>Update No. 2016-16</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(5,621)</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553,367</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1,299</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Capital distribution to non-controlling interest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Purchase of non-controlling interest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EAF9E8"/>
            </w:tcBorders>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243"/>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90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w w:val="97"/>
              </w:rPr>
              <w:t>133,912,425</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1,339</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554,056</w:t>
            </w: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3,567</w:t>
            </w: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(4,257)</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554,705</w:t>
            </w:r>
          </w:p>
        </w:tc>
        <w:tc>
          <w:tcPr>
            <w:tcW w:w="0" w:type="dxa"/>
            <w:vAlign w:val="bottom"/>
          </w:tcPr>
          <w:p>
            <w:pPr>
              <w:spacing w:after="0"/>
              <w:rPr>
                <w:sz w:val="1"/>
                <w:szCs w:val="1"/>
                <w:color w:val="auto"/>
              </w:rPr>
            </w:pPr>
          </w:p>
        </w:tc>
      </w:tr>
      <w:tr>
        <w:trPr>
          <w:trHeight w:val="20"/>
        </w:trPr>
        <w:tc>
          <w:tcPr>
            <w:tcW w:w="4000" w:type="dxa"/>
            <w:vAlign w:val="bottom"/>
            <w:tcBorders>
              <w:top w:val="single" w:sz="8" w:color="EAF9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580" w:right="259" w:bottom="1440" w:gutter="0" w:footer="0" w:header="0"/>
        </w:sectPr>
      </w:pPr>
    </w:p>
    <w:bookmarkStart w:id="110" w:name="page111"/>
    <w:bookmarkEnd w:id="110"/>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(70,596)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(128,457)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(199,375)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MSR valuation adjustments,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52,962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124,029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(8,492)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76,828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81,079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27,202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26,886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25,338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write-off of fixed assets, net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25,662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15,639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3"/>
              </w:rPr>
              <w:t>Decrease (increase) in deferred tax assets other than provision for valuation allowance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30,710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(11,119)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valuation of financing liability</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(19,269)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41,282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trading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Net gain on valuation of mortgage loans held for investment and HMBS-related</w:t>
            </w: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r>
      <w:tr>
        <w:trPr>
          <w:trHeight w:val="237"/>
        </w:trPr>
        <w:tc>
          <w:tcPr>
            <w:tcW w:w="67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borrowings</w:t>
            </w: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(18,698)</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(23,733)</w:t>
            </w: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(26,016)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Bargain purchase gain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(32,722)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(53,209)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(65,649)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(1,715,190)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(3,695,163)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(6,090,432)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1,625,116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3,662,065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5,969,812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258,899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330,052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452,435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199,209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128,398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(69,207)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(100,650)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2,216</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272,578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409,021</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421,228</w:t>
            </w:r>
          </w:p>
        </w:tc>
      </w:tr>
      <w:tr>
        <w:trPr>
          <w:trHeight w:val="466"/>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of loans held for investment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(920,476)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(1,277,615)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5"/>
              </w:rPr>
              <w:t>(1,098,758)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payments received on loans held for investment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400,521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444,388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243,596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cash acquired in the acquisition of PHH</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64,692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Restricted cash acquired in the acquisition of PHH</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Purchase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(17,356)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47,044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33,792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9,446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103,017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automotive dealer financing notes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(174,363)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(100,722)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automotive dealer financing notes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52,598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162,965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65,688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real estate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11,069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(11,679)</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(344,865)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(839,216)</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(791,619)</w:t>
            </w:r>
          </w:p>
        </w:tc>
      </w:tr>
      <w:tr>
        <w:trPr>
          <w:trHeight w:val="223"/>
        </w:trPr>
        <w:tc>
          <w:tcPr>
            <w:tcW w:w="6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Repayment of match funded liabilities,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(282,379)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(303,052)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2,991,261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7,215,264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9,242,671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Repayments of mortgage loan warehouse facilities and other secured borrowings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(3,417,398)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(7,431,763)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(9,463,063)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Repurchase of senior notes,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(11,136)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279,586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54,601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6"/>
              </w:rPr>
              <w:t>Proceeds from sale of reverse mortgages (HECM loans) accounted for as a financing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(HMBS-related borrowings)</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948,917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1,281,543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1,086,795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Repayment of HMBS-related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(391,985)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(418,503)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(230,045)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Capital distribution to non-controlling interest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7"/>
        </w:trPr>
        <w:tc>
          <w:tcPr>
            <w:tcW w:w="6740" w:type="dxa"/>
            <w:vAlign w:val="bottom"/>
            <w:tcBorders>
              <w:bottom w:val="single" w:sz="8" w:color="EAF9E8"/>
            </w:tcBorders>
          </w:tcPr>
          <w:p>
            <w:pPr>
              <w:spacing w:after="0"/>
              <w:rPr>
                <w:sz w:val="3"/>
                <w:szCs w:val="3"/>
                <w:color w:val="auto"/>
              </w:rPr>
            </w:pPr>
          </w:p>
        </w:tc>
        <w:tc>
          <w:tcPr>
            <w:tcW w:w="340" w:type="dxa"/>
            <w:vAlign w:val="bottom"/>
            <w:tcBorders>
              <w:bottom w:val="single" w:sz="8" w:color="EAF9E8"/>
            </w:tcBorders>
          </w:tcPr>
          <w:p>
            <w:pPr>
              <w:spacing w:after="0"/>
              <w:rPr>
                <w:sz w:val="3"/>
                <w:szCs w:val="3"/>
                <w:color w:val="auto"/>
              </w:rPr>
            </w:pPr>
          </w:p>
        </w:tc>
        <w:tc>
          <w:tcPr>
            <w:tcW w:w="1160" w:type="dxa"/>
            <w:vAlign w:val="bottom"/>
            <w:tcBorders>
              <w:bottom w:val="single" w:sz="8" w:color="EAF9E8"/>
            </w:tcBorders>
          </w:tcPr>
          <w:p>
            <w:pPr>
              <w:spacing w:after="0"/>
              <w:rPr>
                <w:sz w:val="3"/>
                <w:szCs w:val="3"/>
                <w:color w:val="auto"/>
              </w:rPr>
            </w:pPr>
          </w:p>
        </w:tc>
        <w:tc>
          <w:tcPr>
            <w:tcW w:w="100" w:type="dxa"/>
            <w:vAlign w:val="bottom"/>
            <w:tcBorders>
              <w:bottom w:val="single" w:sz="8" w:color="EAF9E8"/>
            </w:tcBorders>
          </w:tcPr>
          <w:p>
            <w:pPr>
              <w:spacing w:after="0"/>
              <w:rPr>
                <w:sz w:val="3"/>
                <w:szCs w:val="3"/>
                <w:color w:val="auto"/>
              </w:rPr>
            </w:pPr>
          </w:p>
        </w:tc>
        <w:tc>
          <w:tcPr>
            <w:tcW w:w="340" w:type="dxa"/>
            <w:vAlign w:val="bottom"/>
            <w:tcBorders>
              <w:bottom w:val="single" w:sz="8" w:color="EAF9E8"/>
            </w:tcBorders>
          </w:tcPr>
          <w:p>
            <w:pPr>
              <w:spacing w:after="0"/>
              <w:rPr>
                <w:sz w:val="3"/>
                <w:szCs w:val="3"/>
                <w:color w:val="auto"/>
              </w:rPr>
            </w:pPr>
          </w:p>
        </w:tc>
        <w:tc>
          <w:tcPr>
            <w:tcW w:w="1140" w:type="dxa"/>
            <w:vAlign w:val="bottom"/>
            <w:tcBorders>
              <w:bottom w:val="single" w:sz="8" w:color="EAF9E8"/>
            </w:tcBorders>
          </w:tcPr>
          <w:p>
            <w:pPr>
              <w:spacing w:after="0"/>
              <w:rPr>
                <w:sz w:val="3"/>
                <w:szCs w:val="3"/>
                <w:color w:val="auto"/>
              </w:rPr>
            </w:pPr>
          </w:p>
        </w:tc>
        <w:tc>
          <w:tcPr>
            <w:tcW w:w="100" w:type="dxa"/>
            <w:vAlign w:val="bottom"/>
            <w:tcBorders>
              <w:bottom w:val="single" w:sz="8" w:color="EAF9E8"/>
            </w:tcBorders>
          </w:tcPr>
          <w:p>
            <w:pPr>
              <w:spacing w:after="0"/>
              <w:rPr>
                <w:sz w:val="3"/>
                <w:szCs w:val="3"/>
                <w:color w:val="auto"/>
              </w:rPr>
            </w:pPr>
          </w:p>
        </w:tc>
        <w:tc>
          <w:tcPr>
            <w:tcW w:w="520" w:type="dxa"/>
            <w:vAlign w:val="bottom"/>
            <w:tcBorders>
              <w:bottom w:val="single" w:sz="8" w:color="EAF9E8"/>
            </w:tcBorders>
          </w:tcPr>
          <w:p>
            <w:pPr>
              <w:spacing w:after="0"/>
              <w:rPr>
                <w:sz w:val="3"/>
                <w:szCs w:val="3"/>
                <w:color w:val="auto"/>
              </w:rPr>
            </w:pPr>
          </w:p>
        </w:tc>
        <w:tc>
          <w:tcPr>
            <w:tcW w:w="960" w:type="dxa"/>
            <w:vAlign w:val="bottom"/>
            <w:tcBorders>
              <w:bottom w:val="single" w:sz="8" w:color="EAF9E8"/>
            </w:tcBorders>
          </w:tcPr>
          <w:p>
            <w:pPr>
              <w:spacing w:after="0"/>
              <w:rPr>
                <w:sz w:val="3"/>
                <w:szCs w:val="3"/>
                <w:color w:val="auto"/>
              </w:rPr>
            </w:pPr>
          </w:p>
        </w:tc>
      </w:tr>
    </w:tbl>
    <w:p>
      <w:pPr>
        <w:sectPr>
          <w:pgSz w:w="11900" w:h="16900" w:orient="portrait"/>
          <w:cols w:equalWidth="0" w:num="1">
            <w:col w:w="11400"/>
          </w:cols>
          <w:pgMar w:left="240" w:top="337" w:right="259" w:bottom="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Purchase of non-controlling interest</w:t>
            </w:r>
          </w:p>
        </w:tc>
        <w:tc>
          <w:tcPr>
            <w:tcW w:w="380" w:type="dxa"/>
            <w:vAlign w:val="bottom"/>
            <w:shd w:val="clear" w:color="auto" w:fill="EAF9E8"/>
          </w:tcPr>
          <w:p>
            <w:pPr>
              <w:spacing w:after="0"/>
              <w:rPr>
                <w:sz w:val="21"/>
                <w:szCs w:val="21"/>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1"/>
                <w:szCs w:val="21"/>
                <w:color w:val="auto"/>
              </w:rPr>
            </w:pP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166,737</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430,357</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316,231</w:t>
            </w:r>
          </w:p>
        </w:tc>
      </w:tr>
      <w:tr>
        <w:trPr>
          <w:trHeight w:val="223"/>
        </w:trPr>
        <w:tc>
          <w:tcPr>
            <w:tcW w:w="67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94,450</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restricted cash at beginning of year</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302,560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302,398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356,558</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and restricted cash at end of year</w:t>
            </w: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397,010</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302,560</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302,398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271,835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364,702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389,638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tax payments (refunds), net</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10,957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(23,501)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19,715</w:t>
            </w:r>
          </w:p>
        </w:tc>
      </w:tr>
      <w:tr>
        <w:trPr>
          <w:trHeight w:val="230"/>
        </w:trPr>
        <w:tc>
          <w:tcPr>
            <w:tcW w:w="6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Initial consolidation of mortgage-backed securitization trusts (VIEs):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28,373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financing liabilities</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26,643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loans held for investment to loans held for sale</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of loans held for sale to real estate owned</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Issuance of common stock in connection with litigation settlement</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5,719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Exchange of senior unsecured notes for senior secured notes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346,878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business acquisition information</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Fair value of assets acquired</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1,192,155</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liabilities assumed</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769,723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identifiable net assets acquired</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422,432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Bargain purchase gain related to acquisition of PHH</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consideration</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358,396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Less: Cash consideration paid by PHH</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consideration paid by Ocwen</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33,396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Cash acquired from PHH</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98,088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Net cash acquired by Ocwen</w:t>
            </w: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64,692</w:t>
            </w:r>
          </w:p>
        </w:tc>
        <w:tc>
          <w:tcPr>
            <w:tcW w:w="100" w:type="dxa"/>
            <w:vAlign w:val="bottom"/>
            <w:shd w:val="clear" w:color="auto" w:fill="EAF9E8"/>
          </w:tcPr>
          <w:p>
            <w:pPr>
              <w:spacing w:after="0"/>
              <w:rPr>
                <w:sz w:val="22"/>
                <w:szCs w:val="22"/>
                <w:color w:val="auto"/>
              </w:rPr>
            </w:pPr>
          </w:p>
        </w:tc>
        <w:tc>
          <w:tcPr>
            <w:tcW w:w="44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following table provides a reconciliation of cash and restricted cash reported within the consolidated balance sheets that sums to the total of the same such amounts reported in the consolidated statements of cash flows: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 2018</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December 31, 2017</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628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Cash</w:t>
            </w:r>
          </w:p>
        </w:tc>
        <w:tc>
          <w:tcPr>
            <w:tcW w:w="48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329,132</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259,655</w:t>
            </w:r>
          </w:p>
        </w:tc>
        <w:tc>
          <w:tcPr>
            <w:tcW w:w="56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256,549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Restricted cash and equivalents:</w:t>
            </w: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Debt service accounts</w:t>
            </w:r>
          </w:p>
        </w:tc>
        <w:tc>
          <w:tcPr>
            <w:tcW w:w="4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26,626</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33,726</w:t>
            </w:r>
          </w:p>
        </w:tc>
        <w:tc>
          <w:tcPr>
            <w:tcW w:w="5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42,822</w:t>
            </w:r>
          </w:p>
        </w:tc>
      </w:tr>
      <w:tr>
        <w:trPr>
          <w:trHeight w:val="243"/>
        </w:trPr>
        <w:tc>
          <w:tcPr>
            <w:tcW w:w="6280" w:type="dxa"/>
            <w:vAlign w:val="bottom"/>
          </w:tcPr>
          <w:p>
            <w:pPr>
              <w:ind w:left="160"/>
              <w:spacing w:after="0"/>
              <w:rPr>
                <w:sz w:val="20"/>
                <w:szCs w:val="20"/>
                <w:color w:val="auto"/>
              </w:rPr>
            </w:pPr>
            <w:r>
              <w:rPr>
                <w:rFonts w:ascii="Arial" w:cs="Arial" w:eastAsia="Arial" w:hAnsi="Arial"/>
                <w:sz w:val="18"/>
                <w:szCs w:val="18"/>
                <w:color w:val="auto"/>
              </w:rPr>
              <w:t>Other restricted cash</w:t>
            </w:r>
          </w:p>
        </w:tc>
        <w:tc>
          <w:tcPr>
            <w:tcW w:w="4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41,252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9,179</w:t>
            </w:r>
          </w:p>
        </w:tc>
        <w:tc>
          <w:tcPr>
            <w:tcW w:w="5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3,027</w:t>
            </w:r>
          </w:p>
        </w:tc>
      </w:tr>
      <w:tr>
        <w:trPr>
          <w:trHeight w:val="27"/>
        </w:trPr>
        <w:tc>
          <w:tcPr>
            <w:tcW w:w="628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Total cash and restricted cash reported in the statements of cash flows</w:t>
            </w:r>
          </w:p>
        </w:tc>
        <w:tc>
          <w:tcPr>
            <w:tcW w:w="48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397,010</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rPr>
              <w:t>302,560</w:t>
            </w:r>
          </w:p>
        </w:tc>
        <w:tc>
          <w:tcPr>
            <w:tcW w:w="56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302,398</w:t>
            </w:r>
          </w:p>
        </w:tc>
      </w:tr>
      <w:tr>
        <w:trPr>
          <w:trHeight w:val="20"/>
        </w:trPr>
        <w:tc>
          <w:tcPr>
            <w:tcW w:w="6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40" w:right="2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3360"/>
        <w:spacing w:after="0" w:line="378" w:lineRule="auto"/>
        <w:rPr>
          <w:sz w:val="20"/>
          <w:szCs w:val="20"/>
          <w:color w:val="auto"/>
        </w:rPr>
      </w:pPr>
      <w:r>
        <w:rPr>
          <w:rFonts w:ascii="Arial" w:cs="Arial" w:eastAsia="Arial" w:hAnsi="Arial"/>
          <w:sz w:val="18"/>
          <w:szCs w:val="18"/>
          <w:b w:val="1"/>
          <w:bCs w:val="1"/>
          <w:color w:val="auto"/>
        </w:rPr>
        <w:t>Note 1 — Organization, Business Environment, Basis of Presentation and Significant Accounting Policies Organization</w:t>
      </w:r>
    </w:p>
    <w:p>
      <w:pPr>
        <w:jc w:val="both"/>
        <w:ind w:right="2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3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Ocwen owns all of the common stock of its primary operating subsidiaries, Ocwen Mortgage Servicing, Inc. (OMS) and PHH Corporation (PHH), and directly or indirectly owns all of the outstanding stock of its other primary operating subsidiaries: Ocwen Loan Servicing, LLC (OLS), PHH Mortgage Corporation (PMC), Ocwen Financial Solutions Private Limited (OFSPL), Homeward Residential, Inc. (Homeward) and Liberty Home Equity Solutions, Inc. (Liberty).</w:t>
      </w:r>
    </w:p>
    <w:p>
      <w:pPr>
        <w:spacing w:after="0" w:line="7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perform servicing activities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5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mortgages. The GSEs or Ginnie Mae guarantee these mortgage securitizations. We originate Home Equity Conversion Mortgages (HECM, or reverse mortgages) that are insured by the FHA and are an approved issuer of Home Equity Conversion Mortgage-Backed Securities (HMBS) that are guaranteed by Ginnie Mae.</w:t>
      </w:r>
    </w:p>
    <w:p>
      <w:pPr>
        <w:spacing w:after="0" w:line="4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had a total of approximately 7,200 employees at December 31, 2018 of which approximately 4,100 were located in India and approximately 500 were based in the Philippines. Our operations in India and the Philippines primarily provide internal support services to our loan servicing business and our corporate functions. Of our foreign-based employees, more than 80% were engaged in supporting our loan servicing operations as of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7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Losses have significantly eroded stockholders’ equity and weakened our financial condition. Our near-term priority is to return to profitability in the shortest timeframe possible within an appropriate risk and compliance environment. We believe our acquisition of PHH provides us with the opportunity to transform into a stronger, more efficient company better able to serve our customers and clients, and positions us for a return to growth and profitability. See Note 2 — Business Acquisition and Note 23 — Regulatory Requirements for additional information regarding the acquisition of PHH.</w:t>
      </w:r>
    </w:p>
    <w:p>
      <w:pPr>
        <w:spacing w:after="0" w:line="46" w:lineRule="exact"/>
        <w:rPr>
          <w:sz w:val="20"/>
          <w:szCs w:val="20"/>
          <w:color w:val="auto"/>
        </w:rPr>
      </w:pPr>
    </w:p>
    <w:p>
      <w:pPr>
        <w:ind w:right="200" w:firstLine="324"/>
        <w:spacing w:after="0" w:line="253" w:lineRule="auto"/>
        <w:rPr>
          <w:sz w:val="20"/>
          <w:szCs w:val="20"/>
          <w:color w:val="auto"/>
        </w:rPr>
      </w:pPr>
      <w:r>
        <w:rPr>
          <w:rFonts w:ascii="Arial" w:cs="Arial" w:eastAsia="Arial" w:hAnsi="Arial"/>
          <w:sz w:val="17"/>
          <w:szCs w:val="17"/>
          <w:color w:val="auto"/>
        </w:rPr>
        <w:t>Now that we have consummated our acquisition of PHH, if we can execute on five key initiatives, we believe we will drive stronger financial performance. First, we must successfully execute on the integration of PHH’s business with ours, including a smooth transition onto the Black Knight Financial Services, Inc. (Black Knight)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(Black Knight MSP). Second, we must re-engineer our cost structure to go beyond eliminating redundant costs through the integration process. Third, we must fulfill our regulatory commitments and resolve our remaining legal and regulatory matters on satisfactory terms. Fourth, we must replenish our servicing portfolio through expanding our lending business and permissible MSR acquisitions that are prudent and well-executed with appropriate financial return targets.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688"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Finally, we must ensure that we continue to manage our balance sheet to provide a solid platform for executing on our growth and other initiatives.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PHH acquisition will provide the following benefits to enable the execution of the phase one initiatives:</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Accelerate our transition to Black Knight MSP versus a de novo implementation;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fixed costs, on a combined basis, through reductions in duplicative corporate overhead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Improve economies of scale through growth in our servicing portfolio;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Provide a foundation to enable the combined business to resume new business and growth activities that will, at a minimum, offset portfolio runoff.</w:t>
      </w:r>
    </w:p>
    <w:p>
      <w:pPr>
        <w:spacing w:after="0" w:line="12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New York Department of Financial Services (NY DFS) has eased its restriction on Ocwen’s ability to acquire MSRs to allow certain acquisitions of MSRs that are boarded onto Black Knight MSP subject to annual portfolio growth limitations until such time as the NY DFS determines that all loans have been successfully migrated to Black Knight MSP and that Ocwen has developed a satisfactory infrastructure to board sizeable portfolios of MSRs.</w:t>
      </w:r>
    </w:p>
    <w:p>
      <w:pPr>
        <w:spacing w:after="0" w:line="39"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See Note 23 — Regulatory Requirements and Note 25 — Contingencies for further information.</w:t>
      </w:r>
    </w:p>
    <w:p>
      <w:pPr>
        <w:spacing w:after="0" w:line="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Regarding the current maturities of our borrowings, as of December 31, 2018, we have approximately $0.9 billion of debt outstanding under facilities coming due in the next 12 months. Portions of our match funded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8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of such alleged default, we could be subject to adverse actions by our lenders that could have a material adverse impact on us. In addition, OLS, Homeward, PMC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13 — Borrowings, Note 23 — Regulatory Requirements and Note 25 — Contingencies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U.S. (GAAP).</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consolidated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 Our statements of operations and consolidated balance sheets include the accounts and results of PHH Corporation and its subsidiaries from the acquisition date of October 4, 2018 through December 31, 2018. See Note 2 — Business Acquisition for additional information.</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functional currency of each of our foreign subsidiaries is the U.S. dollar. Re-measurement adjustments of foreign-denominated amounts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are included in Other, net in our consolidated statements of operations.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692"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Certain amounts in the consolidated balance sheet at December 31, 2017, consolidated statements of operations for 2017 and 2016, and consolidated statements of cash flows for 2017 and 2016 have been reclassified to conform to the current year presentation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From</w:t>
            </w:r>
          </w:p>
        </w:tc>
        <w:tc>
          <w:tcPr>
            <w:tcW w:w="75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Debt service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33,726</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bottom w:val="single" w:sz="8" w:color="EAF9E8"/>
            </w:tcBorders>
            <w:shd w:val="clear" w:color="auto" w:fill="EAF9E8"/>
          </w:tcPr>
          <w:p>
            <w:pPr>
              <w:spacing w:after="0"/>
              <w:rPr>
                <w:sz w:val="21"/>
                <w:szCs w:val="21"/>
                <w:color w:val="auto"/>
              </w:rPr>
            </w:pPr>
          </w:p>
        </w:tc>
        <w:tc>
          <w:tcPr>
            <w:tcW w:w="75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Other restricted cash</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9,179</w:t>
            </w:r>
          </w:p>
        </w:tc>
        <w:tc>
          <w:tcPr>
            <w:tcW w:w="15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 w:type="dxa"/>
            <w:vAlign w:val="bottom"/>
          </w:tcPr>
          <w:p>
            <w:pPr>
              <w:ind w:left="160"/>
              <w:spacing w:after="0"/>
              <w:rPr>
                <w:sz w:val="20"/>
                <w:szCs w:val="20"/>
                <w:color w:val="auto"/>
              </w:rPr>
            </w:pPr>
            <w:r>
              <w:rPr>
                <w:rFonts w:ascii="Arial" w:cs="Arial" w:eastAsia="Arial" w:hAnsi="Arial"/>
                <w:sz w:val="18"/>
                <w:szCs w:val="18"/>
                <w:color w:val="auto"/>
              </w:rPr>
              <w:t>To</w:t>
            </w:r>
          </w:p>
        </w:tc>
        <w:tc>
          <w:tcPr>
            <w:tcW w:w="75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42,905</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0" w:type="dxa"/>
            <w:vAlign w:val="bottom"/>
            <w:shd w:val="clear" w:color="auto" w:fill="EAF9E8"/>
          </w:tcPr>
          <w:p>
            <w:pPr>
              <w:spacing w:after="0"/>
              <w:rPr>
                <w:sz w:val="19"/>
                <w:szCs w:val="19"/>
                <w:color w:val="auto"/>
              </w:rPr>
            </w:pPr>
          </w:p>
        </w:tc>
        <w:tc>
          <w:tcPr>
            <w:tcW w:w="75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Years ended December 31,</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4"/>
        </w:trPr>
        <w:tc>
          <w:tcPr>
            <w:tcW w:w="820" w:type="dxa"/>
            <w:vAlign w:val="bottom"/>
            <w:tcBorders>
              <w:top w:val="single" w:sz="8" w:color="EAF9E8"/>
              <w:bottom w:val="single" w:sz="8" w:color="EAF9E8"/>
            </w:tcBorders>
            <w:shd w:val="clear" w:color="auto" w:fill="EAF9E8"/>
          </w:tcPr>
          <w:p>
            <w:pPr>
              <w:spacing w:after="0"/>
              <w:rPr>
                <w:sz w:val="24"/>
                <w:szCs w:val="24"/>
                <w:color w:val="auto"/>
              </w:rPr>
            </w:pPr>
          </w:p>
        </w:tc>
        <w:tc>
          <w:tcPr>
            <w:tcW w:w="7480" w:type="dxa"/>
            <w:vAlign w:val="bottom"/>
            <w:tcBorders>
              <w:top w:val="single" w:sz="8" w:color="EAF9E8"/>
              <w:bottom w:val="single" w:sz="8" w:color="EAF9E8"/>
            </w:tcBorders>
            <w:shd w:val="clear" w:color="auto" w:fill="EAF9E8"/>
          </w:tcPr>
          <w:p>
            <w:pPr>
              <w:spacing w:after="0"/>
              <w:rPr>
                <w:sz w:val="24"/>
                <w:szCs w:val="24"/>
                <w:color w:val="auto"/>
              </w:rPr>
            </w:pPr>
          </w:p>
        </w:tc>
        <w:tc>
          <w:tcPr>
            <w:tcW w:w="340" w:type="dxa"/>
            <w:vAlign w:val="bottom"/>
            <w:tcBorders>
              <w:top w:val="single" w:sz="8" w:color="auto"/>
              <w:bottom w:val="single" w:sz="8" w:color="EAF9E8"/>
            </w:tcBorders>
            <w:shd w:val="clear" w:color="auto" w:fill="EAF9E8"/>
          </w:tcPr>
          <w:p>
            <w:pPr>
              <w:spacing w:after="0"/>
              <w:rPr>
                <w:sz w:val="24"/>
                <w:szCs w:val="24"/>
                <w:color w:val="auto"/>
              </w:rPr>
            </w:pPr>
          </w:p>
        </w:tc>
        <w:tc>
          <w:tcPr>
            <w:tcW w:w="1140" w:type="dxa"/>
            <w:vAlign w:val="bottom"/>
            <w:tcBorders>
              <w:top w:val="single" w:sz="8" w:color="auto"/>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EAF9E8"/>
            </w:tcBorders>
            <w:shd w:val="clear" w:color="auto" w:fill="EAF9E8"/>
          </w:tcPr>
          <w:p>
            <w:pPr>
              <w:spacing w:after="0"/>
              <w:rPr>
                <w:sz w:val="24"/>
                <w:szCs w:val="24"/>
                <w:color w:val="auto"/>
              </w:rPr>
            </w:pPr>
          </w:p>
        </w:tc>
        <w:tc>
          <w:tcPr>
            <w:tcW w:w="340" w:type="dxa"/>
            <w:vAlign w:val="bottom"/>
            <w:tcBorders>
              <w:top w:val="single" w:sz="8" w:color="auto"/>
              <w:bottom w:val="single" w:sz="8" w:color="EAF9E8"/>
            </w:tcBorders>
            <w:shd w:val="clear" w:color="auto" w:fill="EAF9E8"/>
          </w:tcPr>
          <w:p>
            <w:pPr>
              <w:spacing w:after="0"/>
              <w:rPr>
                <w:sz w:val="24"/>
                <w:szCs w:val="24"/>
                <w:color w:val="auto"/>
              </w:rPr>
            </w:pPr>
          </w:p>
        </w:tc>
        <w:tc>
          <w:tcPr>
            <w:tcW w:w="1140" w:type="dxa"/>
            <w:vAlign w:val="bottom"/>
            <w:tcBorders>
              <w:top w:val="single" w:sz="8" w:color="auto"/>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37"/>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From</w:t>
            </w:r>
          </w:p>
        </w:tc>
        <w:tc>
          <w:tcPr>
            <w:tcW w:w="748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Servicing and origination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2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Arial" w:cs="Arial" w:eastAsia="Arial" w:hAnsi="Arial"/>
                <w:sz w:val="18"/>
                <w:szCs w:val="18"/>
                <w:color w:val="auto"/>
              </w:rPr>
              <w:t>Impairment charge (reversal) on MSRs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10,813</w:t>
            </w: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 w:type="dxa"/>
            <w:vAlign w:val="bottom"/>
            <w:tcBorders>
              <w:bottom w:val="single" w:sz="8" w:color="EAF9E8"/>
            </w:tcBorders>
            <w:shd w:val="clear" w:color="auto" w:fill="EAF9E8"/>
          </w:tcPr>
          <w:p>
            <w:pPr>
              <w:spacing w:after="0"/>
              <w:rPr>
                <w:sz w:val="21"/>
                <w:szCs w:val="21"/>
                <w:color w:val="auto"/>
              </w:rPr>
            </w:pPr>
          </w:p>
        </w:tc>
        <w:tc>
          <w:tcPr>
            <w:tcW w:w="74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Loss on valuation of MSRs,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80,238</w:t>
            </w:r>
          </w:p>
        </w:tc>
      </w:tr>
      <w:tr>
        <w:trPr>
          <w:trHeight w:val="243"/>
        </w:trPr>
        <w:tc>
          <w:tcPr>
            <w:tcW w:w="820" w:type="dxa"/>
            <w:vAlign w:val="bottom"/>
          </w:tcPr>
          <w:p>
            <w:pPr>
              <w:ind w:left="160"/>
              <w:spacing w:after="0"/>
              <w:rPr>
                <w:sz w:val="20"/>
                <w:szCs w:val="20"/>
                <w:color w:val="auto"/>
              </w:rPr>
            </w:pPr>
            <w:r>
              <w:rPr>
                <w:rFonts w:ascii="Arial" w:cs="Arial" w:eastAsia="Arial" w:hAnsi="Arial"/>
                <w:sz w:val="18"/>
                <w:szCs w:val="18"/>
                <w:color w:val="auto"/>
              </w:rPr>
              <w:t>From</w:t>
            </w:r>
          </w:p>
        </w:tc>
        <w:tc>
          <w:tcPr>
            <w:tcW w:w="7480" w:type="dxa"/>
            <w:vAlign w:val="bottom"/>
          </w:tcPr>
          <w:p>
            <w:pPr>
              <w:ind w:left="120"/>
              <w:spacing w:after="0"/>
              <w:rPr>
                <w:sz w:val="20"/>
                <w:szCs w:val="20"/>
                <w:color w:val="auto"/>
              </w:rPr>
            </w:pPr>
            <w:r>
              <w:rPr>
                <w:rFonts w:ascii="Arial" w:cs="Arial" w:eastAsia="Arial" w:hAnsi="Arial"/>
                <w:sz w:val="18"/>
                <w:szCs w:val="18"/>
                <w:color w:val="auto"/>
              </w:rPr>
              <w:t>Amortization of MSRs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32,978</w:t>
            </w: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w:t>
            </w:r>
          </w:p>
        </w:tc>
        <w:tc>
          <w:tcPr>
            <w:tcW w:w="748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MSR valuation adjustments,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52,962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124,029</w:t>
            </w:r>
          </w:p>
        </w:tc>
      </w:tr>
      <w:tr>
        <w:trPr>
          <w:trHeight w:val="230"/>
        </w:trPr>
        <w:tc>
          <w:tcPr>
            <w:tcW w:w="83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83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Statements of Cash Flows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0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From</w:t>
            </w:r>
          </w:p>
        </w:tc>
        <w:tc>
          <w:tcPr>
            <w:tcW w:w="748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Amortization of MSRs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51,788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32,978</w:t>
            </w:r>
          </w:p>
        </w:tc>
      </w:tr>
      <w:tr>
        <w:trPr>
          <w:trHeight w:val="243"/>
        </w:trPr>
        <w:tc>
          <w:tcPr>
            <w:tcW w:w="820" w:type="dxa"/>
            <w:vAlign w:val="bottom"/>
          </w:tcPr>
          <w:p>
            <w:pPr>
              <w:ind w:left="280"/>
              <w:spacing w:after="0"/>
              <w:rPr>
                <w:sz w:val="20"/>
                <w:szCs w:val="20"/>
                <w:color w:val="auto"/>
              </w:rPr>
            </w:pPr>
            <w:r>
              <w:rPr>
                <w:rFonts w:ascii="Arial" w:cs="Arial" w:eastAsia="Arial" w:hAnsi="Arial"/>
                <w:sz w:val="18"/>
                <w:szCs w:val="18"/>
                <w:color w:val="auto"/>
              </w:rPr>
              <w:t>From</w:t>
            </w:r>
          </w:p>
        </w:tc>
        <w:tc>
          <w:tcPr>
            <w:tcW w:w="7480" w:type="dxa"/>
            <w:vAlign w:val="bottom"/>
          </w:tcPr>
          <w:p>
            <w:pPr>
              <w:ind w:left="120"/>
              <w:spacing w:after="0"/>
              <w:rPr>
                <w:sz w:val="20"/>
                <w:szCs w:val="20"/>
                <w:color w:val="auto"/>
              </w:rPr>
            </w:pPr>
            <w:r>
              <w:rPr>
                <w:rFonts w:ascii="Arial" w:cs="Arial" w:eastAsia="Arial" w:hAnsi="Arial"/>
                <w:sz w:val="18"/>
                <w:szCs w:val="18"/>
                <w:color w:val="auto"/>
              </w:rPr>
              <w:t>Loss on valuation of MSRs, at fair value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80,238</w:t>
            </w: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From</w:t>
            </w:r>
          </w:p>
        </w:tc>
        <w:tc>
          <w:tcPr>
            <w:tcW w:w="748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Impairment charge (reversal) on MSRs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10,813</w:t>
            </w:r>
          </w:p>
        </w:tc>
      </w:tr>
      <w:tr>
        <w:trPr>
          <w:trHeight w:val="243"/>
        </w:trPr>
        <w:tc>
          <w:tcPr>
            <w:tcW w:w="820" w:type="dxa"/>
            <w:vAlign w:val="bottom"/>
          </w:tcPr>
          <w:p>
            <w:pPr>
              <w:ind w:left="280"/>
              <w:spacing w:after="0"/>
              <w:rPr>
                <w:sz w:val="20"/>
                <w:szCs w:val="20"/>
                <w:color w:val="auto"/>
              </w:rPr>
            </w:pPr>
            <w:r>
              <w:rPr>
                <w:rFonts w:ascii="Arial" w:cs="Arial" w:eastAsia="Arial" w:hAnsi="Arial"/>
                <w:sz w:val="18"/>
                <w:szCs w:val="18"/>
                <w:color w:val="auto"/>
              </w:rPr>
              <w:t>To</w:t>
            </w:r>
          </w:p>
        </w:tc>
        <w:tc>
          <w:tcPr>
            <w:tcW w:w="7480" w:type="dxa"/>
            <w:vAlign w:val="bottom"/>
          </w:tcPr>
          <w:p>
            <w:pPr>
              <w:ind w:left="120"/>
              <w:spacing w:after="0"/>
              <w:rPr>
                <w:sz w:val="20"/>
                <w:szCs w:val="20"/>
                <w:color w:val="auto"/>
              </w:rPr>
            </w:pPr>
            <w:r>
              <w:rPr>
                <w:rFonts w:ascii="Arial" w:cs="Arial" w:eastAsia="Arial" w:hAnsi="Arial"/>
                <w:sz w:val="18"/>
                <w:szCs w:val="18"/>
                <w:color w:val="auto"/>
              </w:rPr>
              <w:t>MSR valuation adjustments, net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52,962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124,029</w:t>
            </w: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20" w:type="dxa"/>
            <w:vAlign w:val="bottom"/>
            <w:shd w:val="clear" w:color="auto" w:fill="EAF9E8"/>
          </w:tcPr>
          <w:p>
            <w:pPr>
              <w:spacing w:after="0"/>
              <w:rPr>
                <w:sz w:val="19"/>
                <w:szCs w:val="19"/>
                <w:color w:val="auto"/>
              </w:rPr>
            </w:pPr>
          </w:p>
        </w:tc>
        <w:tc>
          <w:tcPr>
            <w:tcW w:w="74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43"/>
        </w:trPr>
        <w:tc>
          <w:tcPr>
            <w:tcW w:w="820" w:type="dxa"/>
            <w:vAlign w:val="bottom"/>
          </w:tcPr>
          <w:p>
            <w:pPr>
              <w:ind w:left="280"/>
              <w:spacing w:after="0"/>
              <w:rPr>
                <w:sz w:val="20"/>
                <w:szCs w:val="20"/>
                <w:color w:val="auto"/>
              </w:rPr>
            </w:pPr>
            <w:r>
              <w:rPr>
                <w:rFonts w:ascii="Arial" w:cs="Arial" w:eastAsia="Arial" w:hAnsi="Arial"/>
                <w:sz w:val="18"/>
                <w:szCs w:val="18"/>
                <w:color w:val="auto"/>
              </w:rPr>
              <w:t>From</w:t>
            </w:r>
          </w:p>
        </w:tc>
        <w:tc>
          <w:tcPr>
            <w:tcW w:w="7480" w:type="dxa"/>
            <w:vAlign w:val="bottom"/>
          </w:tcPr>
          <w:p>
            <w:pPr>
              <w:ind w:left="120"/>
              <w:spacing w:after="0"/>
              <w:rPr>
                <w:sz w:val="20"/>
                <w:szCs w:val="20"/>
                <w:color w:val="auto"/>
              </w:rPr>
            </w:pPr>
            <w:r>
              <w:rPr>
                <w:rFonts w:ascii="Arial" w:cs="Arial" w:eastAsia="Arial" w:hAnsi="Arial"/>
                <w:sz w:val="18"/>
                <w:szCs w:val="18"/>
                <w:color w:val="auto"/>
              </w:rPr>
              <w:t>Realized and unrealized gains on derivative financial instruments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1,724</w:t>
            </w: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w:t>
            </w:r>
          </w:p>
        </w:tc>
        <w:tc>
          <w:tcPr>
            <w:tcW w:w="748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1,724</w:t>
            </w:r>
          </w:p>
        </w:tc>
      </w:tr>
      <w:tr>
        <w:trPr>
          <w:trHeight w:val="230"/>
        </w:trPr>
        <w:tc>
          <w:tcPr>
            <w:tcW w:w="83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83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20" w:type="dxa"/>
            <w:vAlign w:val="bottom"/>
          </w:tcPr>
          <w:p>
            <w:pPr>
              <w:ind w:left="280"/>
              <w:spacing w:after="0"/>
              <w:rPr>
                <w:sz w:val="20"/>
                <w:szCs w:val="20"/>
                <w:color w:val="auto"/>
              </w:rPr>
            </w:pPr>
            <w:r>
              <w:rPr>
                <w:rFonts w:ascii="Arial" w:cs="Arial" w:eastAsia="Arial" w:hAnsi="Arial"/>
                <w:sz w:val="18"/>
                <w:szCs w:val="18"/>
                <w:color w:val="auto"/>
              </w:rPr>
              <w:t>From</w:t>
            </w:r>
          </w:p>
        </w:tc>
        <w:tc>
          <w:tcPr>
            <w:tcW w:w="74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11,069</w:t>
            </w:r>
          </w:p>
        </w:tc>
      </w:tr>
      <w:tr>
        <w:trPr>
          <w:trHeight w:val="27"/>
        </w:trPr>
        <w:tc>
          <w:tcPr>
            <w:tcW w:w="8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w:t>
            </w:r>
          </w:p>
        </w:tc>
        <w:tc>
          <w:tcPr>
            <w:tcW w:w="7480" w:type="dxa"/>
            <w:vAlign w:val="bottom"/>
            <w:shd w:val="clear" w:color="auto" w:fill="EAF9E8"/>
          </w:tcPr>
          <w:p>
            <w:pPr>
              <w:ind w:left="120"/>
              <w:spacing w:after="0"/>
              <w:rPr>
                <w:sz w:val="20"/>
                <w:szCs w:val="20"/>
                <w:color w:val="auto"/>
              </w:rPr>
            </w:pPr>
            <w:r>
              <w:rPr>
                <w:rFonts w:ascii="Arial" w:cs="Arial" w:eastAsia="Arial" w:hAnsi="Arial"/>
                <w:sz w:val="18"/>
                <w:szCs w:val="18"/>
                <w:color w:val="auto"/>
              </w:rPr>
              <w:t>Proceeds from sale of real estate</w:t>
            </w:r>
          </w:p>
        </w:tc>
        <w:tc>
          <w:tcPr>
            <w:tcW w:w="34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11,069</w:t>
            </w:r>
          </w:p>
        </w:tc>
      </w:tr>
      <w:tr>
        <w:trPr>
          <w:trHeight w:val="27"/>
        </w:trPr>
        <w:tc>
          <w:tcPr>
            <w:tcW w:w="820" w:type="dxa"/>
            <w:vAlign w:val="bottom"/>
            <w:shd w:val="clear" w:color="auto" w:fill="EAF9E8"/>
          </w:tcPr>
          <w:p>
            <w:pPr>
              <w:spacing w:after="0"/>
              <w:rPr>
                <w:sz w:val="2"/>
                <w:szCs w:val="2"/>
                <w:color w:val="auto"/>
              </w:rPr>
            </w:pPr>
          </w:p>
        </w:tc>
        <w:tc>
          <w:tcPr>
            <w:tcW w:w="748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reclassifications had no impact on total assets in our consolidated balance sheet, total expenses in our consolidated statements of operations or cash flows from operating, investing or financing activities in our consolidated statements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the assets acquired and liabilities assumed in connection with the PHH acquisition, fair value measurements, income taxes, the provision for potential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688"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Restricted cash includes amounts specifically designated to repay debt, to provide over-collateralization for secured borrowings and match funded debt facilities, and to provide additional collateral to support certain obligations, including letters of credit.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MSRs are assets representing our right to service portfolios of mortgage loans. We retain MSRs on originated loans when they are sold in the secondary market. The unpaid principal balance (UPB) of the loans underlying the MSRs is not included on our balance sheet. For servicing retained in connection with the securitization of reverse mortgage loans accounted for as secured financings, we do not recognize an MSR.</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newly acquired or retained MSRs are initially measured at fair value. To the extent any portfolio contract is not expected to compensate us adequately for performing the servicing, we would recognize a servicing liability. We define contracts as Agency, government-insured or non-Agency (commonly referred to as non-prime, subprime or private-label loans) based on their general comparability with regard to servicing guidelines, underwriting standards and borrower risk characteristics. We identify classes of servicing assets and servicing liabilities based on the availability of market inputs used in determining their fair value and our methods for managing their risks. Servicing assets are not recognized for subservicing arrangements entered into with the entity that owns the MSRs.</w:t>
      </w:r>
    </w:p>
    <w:p>
      <w:pPr>
        <w:spacing w:after="0" w:line="8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Subsequent to acquisition, we account for servicing assets and servicing liabilities using the amortization method or the fair value measurement method. Any fair value election is irrevocable. Once a fair value election is made for a particular class of MSRs, that election applies to all subsequently acquired or originated servicing assets and liabilities with characteristics consistent with the class. At the start of any fiscal year, a company may elect to transfer servicing assets and servicing liabilities from a class measured using the amortization method to a class measured at fair value. Furthermore, if a new class is created, and no servicing assets or servicing liabilities that would belong to that class have previously been recognized, electing to subsequently measure that new class at fair value is permitted at the date those servicing assets or servicing liabilities are initially recognized.</w:t>
      </w:r>
    </w:p>
    <w:p>
      <w:pPr>
        <w:spacing w:after="0" w:line="5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Estimated net servicing income is primarily driven by the estimated future cash flows of the underlying mortgage loan portfolio, which, absent new purchases, declines over time from prepayments and scheduled loan amortization. We adjust MSR amortization prospectively in response to changes in estimated projections of future cash flows. We stratify servicing assets or liabilities based upon one or more of the predominant risk characteristics of the underlying portfolios and assess servicing assets or liabilities for impairment or increased obligation by determining the difference, if any, between the carrying amount and estimated fair value at each reporting date. We recognize any impairment, or increased obligation, through a valuation allowance which is adjusted to reflect subsequent changes in the measurement of impairment and reported in earnings (MSR valuation adjustments, net) in the period in which the changes occur. We do not recognize fair value in excess of the carrying amount of servicing assets for any stratum.</w:t>
      </w:r>
    </w:p>
    <w:p>
      <w:pPr>
        <w:spacing w:after="0" w:line="7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For servicing assets or liabilities that we account for using the fair value measurement method (fair value election), we measure the balances at fair value at each reporting date and report changes in fair value in earnings (MSR valuation adjustments, net) in the period in which the changes occur. Effective January 1, 2018, we elected fair value accounting for our MSRs previously accounted for using the amortization method, which included Agency MSRs and government-insured MSRs. Effective with this election, our entire portfolio of MSRs is accounted for using the fair value measurement method. We recorded a cumulative-effect adjustment of $82.0 million to retained earnings as of January 1, 2018 to reflect the excess of the fair value over the carrying amount. See Note 8 — Mortgage Servicing for additional information.</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earn fees for servicing and subservicing mortgage loans. We collect servicing and subservicing fees, generally expressed as a percent of UPB, from the borrowers’ payments. In addition to servicing and subservicing fees, we also report late fees, prepayment penalties, float earnings and other ancillary fees as revenue in Servicing and subservicing fees in our consolidated statements of operations. We recognize servicing and subservicing fees as revenue when the fees are earned, which is generally when the borrowers’ payments are collected or when loans are modified or liquidated through the sale of the underlying real estate collateral or otherwise.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688" w:right="239" w:bottom="1440" w:gutter="0" w:footer="0" w:header="0"/>
        </w:sectPr>
      </w:pPr>
    </w:p>
    <w:bookmarkStart w:id="116" w:name="page117"/>
    <w:bookmarkEnd w:id="116"/>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During any period in which a borrower does not make payments, servicing and subservicing agreements may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and subservicing contract. Each servicing and subservicing contract is associated with specific loans, identified as a pool.</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When we make an advance on a loan under each servicing or subservicing contract, we are entitled to recover that advance either from the borrower, for reinstated and performing loans, or from guarantors (GSEs), insurers (FHA/VA) and investors, for modified and liquidated loans. Most of our servicing and subservicing contracts provide that the advances made under the respective agreement have priority over all other cash payments from the proceeds of the loan, and in the majority of cases, the proceeds of the pool of loans that are the subject of that servicing or subservicing contract. As a result, we are entitled to repayment from loan proceeds before any interest or principal is paid on the bonds, and in the majority of cases, advances in excess of loan proceeds may be recovered from pool level proceeds.</w:t>
      </w:r>
    </w:p>
    <w:p>
      <w:pPr>
        <w:spacing w:after="0" w:line="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establish an allowance for losses through a charge to earnings (Servicing and origination expense) to the extent we believe that a portion of advances are uncollectible under the provisions of each servicing contract taking into consideration, among other factors, probability of cure or modification, length of delinquency and the amount of the advance. We are generally only obligated to advance funds to the extent that we believe the advances are recoverable from expected proceeds from the loan. We continually assess collectibility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Loans held for sale include forward and reverse mortgage loans that we do not intend to hold until maturity. We report loans held for sale at either fair value or the lower of cost or fair value computed on an aggregate basis. For loans we measure at the lower of cost or fair value, we account for any excess of cost over fair value as a valuation allowance and include changes in the valuation allowance in Other, net, in the consolidated statements of operations in the period in which the change occurs.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report any gain or loss on the transfer of loans held for sale in Gain on loans held for sale, net in the consolidated statements of operations along with the changes in fair value of the loans and the gain or loss on any related derivatives. We include all changes in loans held for sale and related derivative balances in operating activities in the consolidated statements of cash flows.</w:t>
      </w:r>
    </w:p>
    <w:p>
      <w:pPr>
        <w:spacing w:after="0" w:line="7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Newly originated reverse residential mortgage loans that are insured by the FHA and pooled into Ginnie Mae guaranteed securities that we sell into the secondary market with servicing rights retained are classified as loans held for investment. We have elected to measure these loans at fair value.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 Loans held for investment, at fair value, on our consolidated balance sheets, with no gain or loss recognized on the transfer.</w:t>
      </w:r>
    </w:p>
    <w:p>
      <w:pPr>
        <w:spacing w:after="0" w:line="64"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Upfront costs and fees related to loans held for investment, including broker fees, are recognized in Gain on loans held for sale, net in the statement of operations as incurred and are not capitalized. Premiums on loans purchased via the correspondent channel are capitalized upon origination because they represent part of the purchase price. However, the loans are subsequently measured at fair value on a recurring basis.</w:t>
      </w:r>
    </w:p>
    <w:p>
      <w:pPr>
        <w:spacing w:after="0" w:line="57" w:lineRule="exact"/>
        <w:rPr>
          <w:sz w:val="20"/>
          <w:szCs w:val="20"/>
          <w:color w:val="auto"/>
        </w:rPr>
      </w:pPr>
    </w:p>
    <w:p>
      <w:pPr>
        <w:jc w:val="both"/>
        <w:ind w:right="240" w:firstLine="324"/>
        <w:spacing w:after="0" w:line="302" w:lineRule="auto"/>
        <w:rPr>
          <w:sz w:val="20"/>
          <w:szCs w:val="20"/>
          <w:color w:val="auto"/>
        </w:rPr>
      </w:pPr>
      <w:r>
        <w:rPr>
          <w:rFonts w:ascii="Arial" w:cs="Arial" w:eastAsia="Arial" w:hAnsi="Arial"/>
          <w:sz w:val="16"/>
          <w:szCs w:val="16"/>
          <w:color w:val="auto"/>
        </w:rPr>
        <w:t>We record the proceeds from the transfer of assets as secured borrowings (HMBS-related borrowings) in Financing liabilities and recognize no gain or loss on the transfer. We measure the HECM loans and HMBS-related borrowings at fair value on a recurring basis. The changes in fair value of the HECM loans and HMBS-related borrowings are included in Other revenue, net in our consolidated statements of operations. Included in net fair value gains on the HECM loans and related HMBS borrowings are the interest income that we expect to be collected on the HECM loans and the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88" w:right="239" w:bottom="1440" w:gutter="0" w:footer="0" w:header="0"/>
        </w:sectPr>
      </w:pPr>
    </w:p>
    <w:bookmarkStart w:id="117" w:name="page118"/>
    <w:bookmarkEnd w:id="117"/>
    <w:p>
      <w:pPr>
        <w:jc w:val="both"/>
        <w:ind w:right="380"/>
        <w:spacing w:after="0" w:line="279" w:lineRule="auto"/>
        <w:rPr>
          <w:sz w:val="20"/>
          <w:szCs w:val="20"/>
          <w:color w:val="auto"/>
        </w:rPr>
      </w:pPr>
      <w:r>
        <w:rPr>
          <w:rFonts w:ascii="Arial" w:cs="Arial" w:eastAsia="Arial" w:hAnsi="Arial"/>
          <w:sz w:val="17"/>
          <w:szCs w:val="17"/>
          <w:color w:val="auto"/>
        </w:rPr>
        <w:t>expense that we expect to be paid on the HMBS-related borrowings. We report originations and collections of HECM loans in investing activities in the consolidated statements of cash flows. We report net fair value gains on HECM loans and the related HMBS borrowings as an adjustment to the net cash provided by or used in operating activities in the consolidated statements of cash flows. Proceeds from securitizations of HECM loans and payments on HMBS-related borrowings are included in financing activities in the consolidated statements of cash flows.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certain servicing fees relating to MSRs (Rights to MSRs).</w:t>
      </w:r>
    </w:p>
    <w:p>
      <w:pPr>
        <w:spacing w:after="0" w:line="79"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case of transfers where either one or both of the power or economic criteria above are not met, we evaluate whether a sale has occurred for accounting purposes. In order to recognize a sale, the transferred assets must be legally isolated, not be constrained by restrictions from further transfer and be deemed to be beyond our control. If the transfer does not meet any of these three criteria, the transaction is accounted for consistent with a secured financing. In certain situations, we may have continuing involvement in transferred loans through our retained servicing. Transactions involving retained servicing would still be eligible for sale accounting, as we have ceded effective control of these loans to the purchaser. Subsequent to the determination that a transaction does not meet the accounting sale criteria, we may determine that we meet the criteria. In the event we subsequently meet the accounting sale criteria, we derecognize the transferred assets and related liabilities.</w:t>
      </w:r>
    </w:p>
    <w:p>
      <w:pPr>
        <w:spacing w:after="0" w:line="70" w:lineRule="exact"/>
        <w:rPr>
          <w:sz w:val="20"/>
          <w:szCs w:val="20"/>
          <w:color w:val="auto"/>
        </w:rPr>
      </w:pPr>
    </w:p>
    <w:p>
      <w:pPr>
        <w:ind w:left="60" w:right="60" w:firstLine="324"/>
        <w:spacing w:after="0" w:line="291" w:lineRule="auto"/>
        <w:rPr>
          <w:sz w:val="20"/>
          <w:szCs w:val="20"/>
          <w:color w:val="auto"/>
        </w:rPr>
      </w:pPr>
      <w:r>
        <w:rPr>
          <w:rFonts w:ascii="Arial" w:cs="Arial" w:eastAsia="Arial" w:hAnsi="Arial"/>
          <w:sz w:val="16"/>
          <w:szCs w:val="16"/>
          <w:color w:val="auto"/>
        </w:rPr>
        <w:t>In connection with the Ginnie Mae early buyout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 the loans in Other assets and a corresponding liability in Other liabilities.</w:t>
      </w:r>
    </w:p>
    <w:p>
      <w:pPr>
        <w:spacing w:after="0" w:line="5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any related gain or loss and amortize the balance over the life of the subservicing agreement.</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400"/>
          </w:cols>
          <w:pgMar w:left="240" w:top="692" w:right="25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software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2 – 3 years</w:t>
      </w:r>
    </w:p>
    <w:p>
      <w:pPr>
        <w:spacing w:after="0" w:line="86" w:lineRule="exact"/>
        <w:rPr>
          <w:sz w:val="20"/>
          <w:szCs w:val="20"/>
          <w:color w:val="auto"/>
        </w:rPr>
      </w:pPr>
    </w:p>
    <w:p>
      <w:pPr>
        <w:sectPr>
          <w:pgSz w:w="11900" w:h="16838" w:orient="portrait"/>
          <w:cols w:equalWidth="0" w:num="2">
            <w:col w:w="4900" w:space="720"/>
            <w:col w:w="578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Computer hardware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years</w:t>
      </w:r>
    </w:p>
    <w:p>
      <w:pPr>
        <w:spacing w:after="0" w:line="97" w:lineRule="exact"/>
        <w:rPr>
          <w:sz w:val="20"/>
          <w:szCs w:val="20"/>
          <w:color w:val="auto"/>
        </w:rPr>
      </w:pPr>
    </w:p>
    <w:p>
      <w:pPr>
        <w:sectPr>
          <w:pgSz w:w="11900" w:h="16838" w:orient="portrait"/>
          <w:cols w:equalWidth="0" w:num="2">
            <w:col w:w="4900" w:space="720"/>
            <w:col w:w="578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40 years</w:t>
      </w:r>
    </w:p>
    <w:p>
      <w:pPr>
        <w:spacing w:after="0" w:line="86" w:lineRule="exact"/>
        <w:rPr>
          <w:sz w:val="20"/>
          <w:szCs w:val="20"/>
          <w:color w:val="auto"/>
        </w:rPr>
      </w:pPr>
    </w:p>
    <w:p>
      <w:pPr>
        <w:sectPr>
          <w:pgSz w:w="11900" w:h="16838" w:orient="portrait"/>
          <w:cols w:equalWidth="0" w:num="2">
            <w:col w:w="4900" w:space="720"/>
            <w:col w:w="578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900" w:space="720"/>
            <w:col w:w="578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900" w:space="720"/>
            <w:col w:w="5780"/>
          </w:cols>
          <w:pgMar w:left="240" w:top="692"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900" w:space="720"/>
            <w:col w:w="5780"/>
          </w:cols>
          <w:pgMar w:left="240" w:top="692" w:right="259" w:bottom="1440" w:gutter="0" w:footer="0" w:header="0"/>
          <w:type w:val="continuous"/>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00"/>
          </w:cols>
          <w:pgMar w:left="240" w:top="692" w:right="259" w:bottom="1440" w:gutter="0" w:footer="0" w:header="0"/>
          <w:type w:val="continuous"/>
        </w:sectPr>
      </w:pPr>
    </w:p>
    <w:bookmarkStart w:id="118" w:name="page119"/>
    <w:bookmarkEnd w:id="118"/>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in Professional services expense in the consolidated statement of operations as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For equity awards with a service condition, we recognize the cost as compensation expense ratably over the vesting period. For equity awards with a market condition, we recognize the cost as compensation expense ratably over the expected life of the option that is derived from an options pricing model. When equity awards with a market condition meet their vesting requirements, any unrecognized compensation at the vesting date is recognized ratably over the vesting period. For equity awards with both a market condition and a service condition for vesting, we recognize cost as compensation expense over the requisite service period for each tranche of the award using the graded-vesting method.</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file consolidated U.S.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In December 2017, the Securities and Exchange Commission Staff issued Staff Accounting Bulletin (SAB) 118 (as further clarified by FASB ASU 2018-05, Income Taxes (Topic 740): Amendments to SEC Paragraphs Pursuant to SEC Staff Accounting Bulletin No. 118), which provides guidance on accounting for the income tax effects of the Tax Cuts and Jobs Act (Tax Act) signed into law by the President of the United States on December 22, 2017. SAB 118 provides a measurement period that should not extend beyond one year from the Tax Act enactment date for companies to complete the accounting under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We finalized our provisional amounts recognized under SAB 118 in the fourth quarter of 2018. See Note 19 — Income Taxes for additional information.</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 xml:space="preserve">In accordance with FASB ASC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we evaluate whether there are conditions that are known or reasonably knowable, such as those discussed in the “Business Environment” section, that raise substantial doubt about our ability to continue as a going concern within one year after the date that our financial statements are issued.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688" w:right="259" w:bottom="1440" w:gutter="0" w:footer="0" w:header="0"/>
        </w:sectPr>
      </w:pPr>
    </w:p>
    <w:bookmarkStart w:id="119" w:name="page120"/>
    <w:bookmarkEnd w:id="119"/>
    <w:p>
      <w:pPr>
        <w:ind w:firstLine="324"/>
        <w:spacing w:after="0" w:line="277" w:lineRule="auto"/>
        <w:rPr>
          <w:sz w:val="20"/>
          <w:szCs w:val="20"/>
          <w:color w:val="auto"/>
        </w:rPr>
      </w:pPr>
      <w:r>
        <w:rPr>
          <w:rFonts w:ascii="Arial" w:cs="Arial" w:eastAsia="Arial" w:hAnsi="Arial"/>
          <w:sz w:val="18"/>
          <w:szCs w:val="18"/>
          <w:color w:val="auto"/>
        </w:rPr>
        <w:t>Our financial statements have been prepared on a going concern basis, which contemplates the realization of assets and the satisfaction of liabilities in the normal course of business.</w:t>
      </w:r>
    </w:p>
    <w:p>
      <w:pPr>
        <w:spacing w:after="0" w:line="6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assessment of our ability to meet our future obligations is inherently judgmental, subjective and susceptible to change. Our assessment considers information including, but not limited to, our financial condition, liquidity sources, obligations coming due within one year after the financial statements are issued, funds necessary to maintain current operations and any negative financial trends or other indicators of possible financial difficulty, including adverse regulatory or legal proceedings or rating agency decisions and management’s plans to address these matters.</w:t>
      </w:r>
    </w:p>
    <w:p>
      <w:pPr>
        <w:spacing w:after="0" w:line="63"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considered both qualitative and quantitative factors as part of our assessment that were known or reasonably knowable as of the date our financial statements were issued, and concluded that when considering management’s plans to mitigate, conditions and events considered in the aggregate do not indicate that it is probable that Ocwen will be unable to meet its obligations during the evaluation period.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(ASU 2014-09)</w:t>
      </w:r>
    </w:p>
    <w:p>
      <w:pPr>
        <w:spacing w:after="0" w:line="121"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This ASU clarifies the principles for recognizing revenue and creates a common revenue standard. Under this ASU, an entity recognizes revenue to depict the transfer of promised goods or services to customers in an amount that reflects the consideration to which the entity expects to be entitled in exchange for those goods or services. An entity shall recognize revenue through the following five-step process: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1: Identify the contract(s) with a customer.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3: Determine the transaction price.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The guidance in this standard does not apply to financial instruments and other contractual rights or obligations within the scope of FASB ASC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among other ASC topics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our adoption of this standard on a modified retrospective basis on January 1, 2018 did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a material impact on our consolidated financial 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 ASU 2018-10 and ASU 2018-11)</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This ASU requires a lessee to recognize assets and liabilities for leases with lease terms of more than 12 months, regardless of whether the lease is classified as a finance or operating lease. Additional disclosures of the amount, timing and uncertainty of cash flows arising from leases will be required.</w:t>
      </w:r>
    </w:p>
    <w:p>
      <w:pPr>
        <w:spacing w:after="0" w:line="12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adopted the new leasing guidance on January 1, 2019 by applying the guidance at the adoption date with a cumulative-effect adjustment to the opening balance of retained earnings in the period of adoption. We currently expect the transition adjustment to result in an insignificant adjustment to the opening balance of retained earnings and we estimate that we will increase both our total assets and total liabilities by approximately $60 million, representing the gross recognition of the right-of-use assets and lease liabilities. We elected a package of practical expedients which provided us transition relief when assessing leases that commenced prior to the adoption date, including determining whether existing contracts are or contain leases, the classification of such leases as operating or financing, and the accounting for initial direct costs. For short-term leases, we recognize lease payments on a straight-line basis over the lease term and variable lease payments in the period in which the obligation for those payments is incurred. Our current minimum commitments under noncancelable operating leases as of December 31, 2018 are described in Note 24 — Commitments.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Intra-Entity Transfers of Assets Other Than Inventory (ASU 2016-16)</w:t>
      </w:r>
    </w:p>
    <w:p>
      <w:pPr>
        <w:spacing w:after="0" w:line="229" w:lineRule="exact"/>
        <w:rPr>
          <w:sz w:val="20"/>
          <w:szCs w:val="20"/>
          <w:color w:val="auto"/>
        </w:rPr>
      </w:pPr>
    </w:p>
    <w:p>
      <w:pPr>
        <w:jc w:val="both"/>
        <w:ind w:right="260" w:firstLine="324"/>
        <w:spacing w:after="0" w:line="312" w:lineRule="auto"/>
        <w:rPr>
          <w:sz w:val="20"/>
          <w:szCs w:val="20"/>
          <w:color w:val="auto"/>
        </w:rPr>
      </w:pPr>
      <w:r>
        <w:rPr>
          <w:rFonts w:ascii="Arial" w:cs="Arial" w:eastAsia="Arial" w:hAnsi="Arial"/>
          <w:sz w:val="16"/>
          <w:szCs w:val="16"/>
          <w:color w:val="auto"/>
        </w:rPr>
        <w:t>This ASU requires an entity to recognize the income tax consequences of intra-entity transfers of assets other than inventory when the transfer occurs. Previously, recognition of current and deferred income taxes for an intra-entity transfer was prohibited until the asset had been sold to an outside party. We adopted this standard on a modified retrospective basis on January 1, 2018 by recording a cumulative-effect reduction of $5.6 million to retained earnings.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Restricted Cash (ASU 2016-18)</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This ASU clarifies how changes in restricted cash are classified and presented in the statement of cash flows under ASC 230. This standard requires that a statement of cash flows explain the change during the period in the total of cash, cash equivalents, and amounts generally described as restricted cash or restricted cash equivalents. Our adoption of this standard on January 1, 2018 did not have a material impact on our consolidated financial statements. The amendments in this update have been applied using a retrospective transition method to each period presented. Our revision of the consolidated statements of cash flows for the years ended December 31, 2017 and 2016 to conform to the new standard resulted in 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692" w:right="259" w:bottom="1440" w:gutter="0" w:footer="0" w:header="0"/>
        </w:sectPr>
      </w:pPr>
    </w:p>
    <w:bookmarkStart w:id="120" w:name="page121"/>
    <w:bookmarkEnd w:id="120"/>
    <w:p>
      <w:pPr>
        <w:ind w:right="240"/>
        <w:spacing w:after="0" w:line="277" w:lineRule="auto"/>
        <w:rPr>
          <w:sz w:val="20"/>
          <w:szCs w:val="20"/>
          <w:color w:val="auto"/>
        </w:rPr>
      </w:pPr>
      <w:r>
        <w:rPr>
          <w:rFonts w:ascii="Arial" w:cs="Arial" w:eastAsia="Arial" w:hAnsi="Arial"/>
          <w:sz w:val="18"/>
          <w:szCs w:val="18"/>
          <w:color w:val="auto"/>
        </w:rPr>
        <w:t>decrease in Net cash provided by operating activities of $2.9 million and $53.4 million, respectively (reduction in the line item Decrease in receivables and other assets, net).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Receivables: Nonrefundable Fees and Other Costs (ASU 2017-08)</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This ASU amends the amortization period for certain purchased callable debt securities held at a premium. This standard shortens the amortization period for the premium to the earliest call date, rather than generally amortizing the premium as an adjustment of yield over the contractual life of the instrument. Our adoption of this standard on January 1, 2019 will not have a material impact on our consolidated financial statements.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Stock Compensation (ASU 2017-09)</w:t>
      </w:r>
    </w:p>
    <w:p>
      <w:pPr>
        <w:spacing w:after="0" w:line="1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This ASU reduces both diversity in practice as well as cost and complexity when applying the modification accounting guidance in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 a change to the terms or conditions of a share-based payment award. Our adoption of this standard on January 1, 2018 did not have a material impact on our consolidated financial statements.</w:t>
      </w:r>
    </w:p>
    <w:p>
      <w:pPr>
        <w:spacing w:after="0" w:line="69"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Income Statement - Reporting Comprehensive Income: Reclassification of Certain Tax Effects from Accumulated Other Comprehensive Income (ASU 2018-02)</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This ASU provides entities with an option to reclassify stranded tax effects within accumulated other comprehensive income to retained earnings in each period in which the effect of the change in the U.S. federal corporate income tax rate in the Tax Act (or portion thereof) is recorded. Our adoption of this standard on January 1, 2019 did not have a material impact on our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This ASU will require timelier recording of credit losses on loans and other financial instruments. This standard aligns the accounting with the economics of lending by requiring banks and other lending institutions to immediately record the full amount of credit losses that are expected in their loan portfolios. The new guidance requires an organization to measure all expected credit losses for financial assets held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with early application permitted. We are currently evaluating the effect of adopting this standard.</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Fair Value Measurement: Disclosure Framework - Changes to the Disclosure Requirements for Fair Value Measurement (ASU 2018-13)</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ASU modifies the disclosure requirements on fair value measurements in FASB ASC Topic 820, Fair Value Measurement. The main provisions in this update include removal of the following disclosure requirements from this ASC: 1) the amount of and reasons for transfers between Level 1 and Level 2 of the fair value hierarchy, 2) the policy for timing of transfers between levels and 3) the valuation processes for Level 3 fair value measurements. This standard adds disclosure requirements to report the changes in unrealized gains and losses for the period included in other comprehensive income for recurring Level 3 fair value measurements held at the end of the reporting period, and for certain unobservable inputs an entity may disclose other quantitative information in lieu of the weighted average if the entity determines that other quantitative information would be a more reasonable and rational method to reflect the distribution of unobservable inputs used to develop Level 3 fair value measurements.</w:t>
      </w:r>
    </w:p>
    <w:p>
      <w:pPr>
        <w:spacing w:after="0" w:line="7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This standard will be effective for us on January 1, 2020, with early application permitted on any removed or modified disclosures and to be applied prospectively for only the most recent interim or annual period presented in the initial fiscal year of adoption, and to allow a delayed adoption of the additional disclosures until the effective date. We are currently evaluating the effect of adopting this standard.</w:t>
      </w:r>
    </w:p>
    <w:p>
      <w:pPr>
        <w:spacing w:after="0" w:line="69" w:lineRule="exact"/>
        <w:rPr>
          <w:sz w:val="20"/>
          <w:szCs w:val="20"/>
          <w:color w:val="auto"/>
        </w:rPr>
      </w:pPr>
    </w:p>
    <w:p>
      <w:pPr>
        <w:ind w:left="340" w:right="260"/>
        <w:spacing w:after="0" w:line="282" w:lineRule="auto"/>
        <w:rPr>
          <w:sz w:val="20"/>
          <w:szCs w:val="20"/>
          <w:color w:val="auto"/>
        </w:rPr>
      </w:pPr>
      <w:r>
        <w:rPr>
          <w:rFonts w:ascii="Arial" w:cs="Arial" w:eastAsia="Arial" w:hAnsi="Arial"/>
          <w:sz w:val="18"/>
          <w:szCs w:val="18"/>
          <w:b w:val="1"/>
          <w:bCs w:val="1"/>
          <w:color w:val="auto"/>
        </w:rPr>
        <w:t>Intangibles - Goodwill and Other - Internal-Use Software: Customer’s Accounting for Implementation Costs Incurred in a Cloud Computing Arrangement That Is a Service Contract (ASU 2018-15)</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require an entity (customer) in a hosting arrangement that is a service contract to follow the guidance to determine which implementation costs to capitalize as an asset related to the service contract and which costs to expense. The amendments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92" w:right="239" w:bottom="1440" w:gutter="0" w:footer="0" w:header="0"/>
        </w:sectPr>
      </w:pPr>
    </w:p>
    <w:bookmarkStart w:id="121" w:name="page122"/>
    <w:bookmarkEnd w:id="121"/>
    <w:p>
      <w:pPr>
        <w:ind w:right="60"/>
        <w:spacing w:after="0" w:line="302" w:lineRule="auto"/>
        <w:rPr>
          <w:sz w:val="20"/>
          <w:szCs w:val="20"/>
          <w:color w:val="auto"/>
        </w:rPr>
      </w:pPr>
      <w:r>
        <w:rPr>
          <w:rFonts w:ascii="Arial" w:cs="Arial" w:eastAsia="Arial" w:hAnsi="Arial"/>
          <w:sz w:val="16"/>
          <w:szCs w:val="16"/>
          <w:color w:val="auto"/>
        </w:rPr>
        <w:t>this ASU require the entity (customer) to expense the capitalized implementation costs of a hosting arrangement that is a service contract over the term of the hosting arrangement. The amendments in this ASU also require the entity to present the expense related to the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w:t>
      </w:r>
    </w:p>
    <w:p>
      <w:pPr>
        <w:spacing w:after="0" w:line="4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This standard will be effective for us on January 1, 2020, with early adoption permitted, including adoption in any interim period. The amendments in this ASU should be applied either retrospectively or prospectively to all implementation costs incurred after the date of adoption. We are currently evaluating the effect of adopting this standard.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Acquisition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October 4, 2018, we completed our acquisition of PHH, a non-bank servicer with established servicing and origination recapture capabilities. As a result of the acquisition, PHH became a wholly owned subsidiary of Ocwen.</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The acquisition has been accounted for under the acquisition method of accounting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Assets acquired and liabilities assumed are recorded at their fair value as of the date of acquisition based on management’s estimates using currently available information. The results of PHH operations are included in Ocwen’s consolidated statements of operations from the date of acquisition. For U.S. income tax purposes, the acquisition of PHH is treated as a stock purchase.</w:t>
      </w:r>
    </w:p>
    <w:p>
      <w:pPr>
        <w:spacing w:after="0" w:line="18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aggregate consideration paid to the former holders of PHH common stock was $358.4 million in cash and was funded by a combination of PHH cash on hand of $325.0 million and Ocwen cash on hand of $33.4 million. At the closing, there were 32,581,485 shares of PHH common stock, par value $0.01, outstanding, all of which were converted into the right to receive $11.00 in cash per share. In connection with the acquisition, all outstanding options to purchase PHH common stock and all PHH equity awards with performance-based vesting conditions were cancelled without any consideration or cash payment. All other PHH equity awards were cancelled in exchange for a cash payment equal to $11.00 per share underlying the award.</w:t>
      </w:r>
    </w:p>
    <w:p>
      <w:pPr>
        <w:spacing w:after="0" w:line="158"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have recognized a bargain purchase gain, net of tax, of $64.0 million in connection with the acquisition. The bargain purchase gain results from the fair value of PHH’s net assets exceeding the purchase price we paid. The purchase price we negotiated contemplated that PHH would incur losses after the acquisition date. To the extent those losses are realized, they will be included in our consolidated statements of operations.</w:t>
      </w:r>
    </w:p>
    <w:p>
      <w:pPr>
        <w:spacing w:after="0" w:line="16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Costs incurred in connection with the transaction are expensed as incurred and are reported in Professional services in the consolidated statements of operations. Such costs were $13.7 million during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purchase price allocation provided in the table below reflects the fair value of assets acquired and liabilities assumed in the acquisition of PHH, with the excess of total identifiable net assets over total consideration paid recorded as a bargain purchase gain. Independent valuation specialists conducted analyses to assist management in determining the fair value of certain acquired assets and assumed liabilities. Management is responsible for these third-party valuations and appraisals. The methodologies that we use and key assumptions that we made to estimate the fair value of the acquired assets and assumed debt are described in Note 4 — Fair Value.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692" w:right="2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October 4, 2018</w:t>
            </w:r>
          </w:p>
        </w:tc>
      </w:tr>
      <w:tr>
        <w:trPr>
          <w:trHeight w:val="27"/>
        </w:trPr>
        <w:tc>
          <w:tcPr>
            <w:tcW w:w="9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423,088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38,813</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servicing rights</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518,127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Advances,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96,163</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42,324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46,838</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Premises and equipment, net</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Real estate owned</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3,289</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Assets related to discontinued operations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(MSRs pledged,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(481,020)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secured borrowings,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(27,594)</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notes, net (Senior unsecured notes)</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(120,624)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(9,960)</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(36,889)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Loan repurchase and indemnification liability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(27,736)</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Unfunded pension liability</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(9,815)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(34,131)</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related to discontinued operations</w:t>
            </w: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(21,954)</w:t>
            </w:r>
          </w:p>
        </w:tc>
      </w:tr>
      <w:tr>
        <w:trPr>
          <w:trHeight w:val="237"/>
        </w:trPr>
        <w:tc>
          <w:tcPr>
            <w:tcW w:w="9940" w:type="dxa"/>
            <w:vAlign w:val="bottom"/>
          </w:tcPr>
          <w:p>
            <w:pPr>
              <w:ind w:left="280"/>
              <w:spacing w:after="0"/>
              <w:rPr>
                <w:sz w:val="20"/>
                <w:szCs w:val="20"/>
                <w:color w:val="auto"/>
              </w:rPr>
            </w:pPr>
            <w:r>
              <w:rPr>
                <w:rFonts w:ascii="Arial" w:cs="Arial" w:eastAsia="Arial" w:hAnsi="Arial"/>
                <w:sz w:val="18"/>
                <w:szCs w:val="18"/>
                <w:color w:val="auto"/>
              </w:rPr>
              <w:t>Total identifiable net assets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422,432</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consideration paid to seller</w:t>
            </w: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(358,396)</w:t>
            </w:r>
          </w:p>
        </w:tc>
      </w:tr>
      <w:tr>
        <w:trPr>
          <w:trHeight w:val="257"/>
        </w:trPr>
        <w:tc>
          <w:tcPr>
            <w:tcW w:w="9940" w:type="dxa"/>
            <w:vAlign w:val="bottom"/>
          </w:tcPr>
          <w:p>
            <w:pPr>
              <w:ind w:left="280"/>
              <w:spacing w:after="0"/>
              <w:rPr>
                <w:sz w:val="20"/>
                <w:szCs w:val="20"/>
                <w:color w:val="auto"/>
              </w:rPr>
            </w:pPr>
            <w:r>
              <w:rPr>
                <w:rFonts w:ascii="Arial" w:cs="Arial" w:eastAsia="Arial" w:hAnsi="Arial"/>
                <w:sz w:val="18"/>
                <w:szCs w:val="18"/>
                <w:color w:val="auto"/>
              </w:rPr>
              <w:t>Bargain purchase gain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64,036</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 business combination, the initial allocation of the purchase price is considered preliminary and therefore subject to change until the end of the measurement period (not to exceed one year from the acquisition date). Because the measurement period is still open, certain fair value estimates may change once all information necessary to make a final fair value assessment has been received.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Post-Acquisition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results of operations of PHH that are included in our consolidated statements of operations from the acquisition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4, 2018 through December 31,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72,487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84,877</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(19,132)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(6,711)</w:t>
            </w:r>
          </w:p>
        </w:tc>
      </w:tr>
      <w:tr>
        <w:trPr>
          <w:trHeight w:val="27"/>
        </w:trPr>
        <w:tc>
          <w:tcPr>
            <w:tcW w:w="994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 from continuing operations</w:t>
            </w:r>
          </w:p>
        </w:tc>
        <w:tc>
          <w:tcPr>
            <w:tcW w:w="480" w:type="dxa"/>
            <w:vAlign w:val="bottom"/>
            <w:tcBorders>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(24,811)</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Operations (Unaudited)</w:t>
      </w:r>
    </w:p>
    <w:p>
      <w:pPr>
        <w:spacing w:after="0" w:line="12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as if the PHH Acquisition occurred on January 1, 2017. Pro forma adjustments include:</w:t>
      </w:r>
    </w:p>
    <w:p>
      <w:pPr>
        <w:spacing w:after="0" w:line="8" w:lineRule="exact"/>
        <w:rPr>
          <w:sz w:val="20"/>
          <w:szCs w:val="20"/>
          <w:color w:val="auto"/>
        </w:rPr>
      </w:pPr>
    </w:p>
    <w:p>
      <w:pPr>
        <w:ind w:left="660" w:right="340" w:hanging="328"/>
        <w:spacing w:after="0" w:line="25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Fair value adjustments of $24.4 million and $(16.9) million in 2018 and 2017, respectively, to conform the accounting for MSRs to the valuation policies of Ocwen related to acquired MSRs;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 interest expense for a total net impact of $30.6 million and $(73.8) million in 2018 and 2017, respectively. The pro forma adjustments primarily pertain to fair value adjustments of $31.4 million and $(79.3) million in 2018 and 2017, respectively, related to the assumed MSR secured liability using valuation assumptions consistent with Ocwen's methodology;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 the bargain purchase gain of $64.0 million as if the acquisition had occurred in 2017 rather than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175" w:right="239" w:bottom="1440" w:gutter="0" w:footer="0" w:header="0"/>
        </w:sectPr>
      </w:pPr>
    </w:p>
    <w:bookmarkStart w:id="123" w:name="page124"/>
    <w:bookmarkEnd w:id="123"/>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Report Ocwen and PHH acquisition-related charges of $18.5 million for professional services as if they had been incurred in 2017 rather than 2018;</w:t>
      </w:r>
    </w:p>
    <w:p>
      <w:pPr>
        <w:spacing w:after="0" w:line="46"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 depreciation expense to amortize internally developed software acquired from PHH on a straight-line basis for the years presented based on a useful life of three years;</w:t>
      </w:r>
    </w:p>
    <w:p>
      <w:pPr>
        <w:ind w:left="660" w:right="10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 revenue for a total net impact of $120.6 million and $134.6 million in 2018 and 2017, respectively, which primarily include adjusting servicing and subservicing fees for $127.7 million and $97.0 million in 2018 and 2017, respectively, to gross up activity related to PHH MSRs sold accounted for as secured borrowings consistent with Ocwen’s presentation. The offset to these adjustments are interest income and interest expense, with no net effect on earnings.</w:t>
      </w:r>
    </w:p>
    <w:p>
      <w:pPr>
        <w:spacing w:after="0" w:line="1"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Income tax benefit of $0.3 million and $0.2 million in 2018 and 2017, respectively, to record lower 2018 current federal tax under the new base erosion and anti-abuse tax (BEAT) provision of the Tax Act assuming Ocwen and PHH would file a consolidated federal tax return beginning January 1, 2017 and the benefit of the additional acquisition-related charges as if they had been incurred in 2017.</w:t>
      </w:r>
    </w:p>
    <w:p>
      <w:pPr>
        <w:spacing w:after="0" w:line="11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6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7"/>
              </w:rPr>
              <w:t>(Unaudited)</w:t>
            </w:r>
          </w:p>
        </w:tc>
      </w:tr>
      <w:tr>
        <w:trPr>
          <w:trHeight w:val="27"/>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1,305,972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1,785,408</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Loss from continuing operations, net of tax attributable to Ocwen common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(201,382)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(356,824)</w:t>
            </w:r>
          </w:p>
        </w:tc>
      </w:tr>
    </w:tbl>
    <w:p>
      <w:pPr>
        <w:spacing w:after="0" w:line="12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pro forma consolidated results presented above are not indicative of what Ocwen’s consolidated results would have been had we completed the acquisition on the date indicated due to a number of factors, including but not limited to expected reductions in servicing, origination and overhead costs through the realization of targeted cost synergies and improved economies of scale, the impact of incremental costs to integrate the two companies and differences in servicing practices and cost structures between Ocwen and PHH. In addition, the pro forma consolidated results do not purport to project combined future operating results of Ocwen and PHH nor do they reflect the expected realization of any cost savings associated with the acquisition of PHH.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November 2016, PHH announced its plan to exit the private label solutions (PLS) business, and in February 2017, PHH announced its intention to operate as a smaller business that is focused solely on subservicing and portfolio retention services, and exit the Real Estate channel. As a result, PHH would exit the PLS business through the run-off of operations, and exit the Real Estate channel through the sale of certain assets of PHH Home Loans, LLC (PHH Home Loans) and its subsidiaries and subsequent run-off of the operations. Those exit activities were substantially complete prior to our acquisition of PHH, and as such, the results of PLS and Real Estate have been presented as discontinued operations in the consolidated statement of operations and consolidated statement of comprehensive income (loss), and are excluded from continuing operations and segment results for the post-acquisition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results of discontinued operations for the post-acquisition period (October 4, 2018, through December 31, 2018) are summarized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revenues</w:t>
            </w:r>
          </w:p>
        </w:tc>
        <w:tc>
          <w:tcPr>
            <w:tcW w:w="600" w:type="dxa"/>
            <w:vAlign w:val="bottom"/>
            <w:shd w:val="clear" w:color="auto" w:fill="EAF9E8"/>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Total expenses (1)</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7"/>
        </w:trPr>
        <w:tc>
          <w:tcPr>
            <w:tcW w:w="9820" w:type="dxa"/>
            <w:vAlign w:val="bottom"/>
            <w:tcBorders>
              <w:bottom w:val="single" w:sz="8" w:color="EAF9E8"/>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60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EAF9E8"/>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from discontinued operations</w:t>
            </w:r>
          </w:p>
        </w:tc>
        <w:tc>
          <w:tcPr>
            <w:tcW w:w="600" w:type="dxa"/>
            <w:vAlign w:val="bottom"/>
            <w:tcBorders>
              <w:bottom w:val="single" w:sz="8" w:color="auto"/>
            </w:tcBorders>
            <w:shd w:val="clear" w:color="auto" w:fill="EAF9E8"/>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1,409</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0" w:right="180" w:firstLine="2"/>
        <w:spacing w:after="0" w:line="275" w:lineRule="auto"/>
        <w:tabs>
          <w:tab w:leader="none" w:pos="29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Total expenses are shown net of a severance expense reversal that occurred as a result of voluntary post-acquisition employee departures and amortization of facility exit costs.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gain or loss directly attributed to the completion of the disposal of these businesses.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584"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major classes of assets and liabilities related to discontinued operations consisted of the following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180"/>
              <w:spacing w:after="0"/>
              <w:rPr>
                <w:sz w:val="20"/>
                <w:szCs w:val="20"/>
                <w:color w:val="auto"/>
              </w:rPr>
            </w:pPr>
            <w:r>
              <w:rPr>
                <w:rFonts w:ascii="Arial" w:cs="Arial" w:eastAsia="Arial" w:hAnsi="Arial"/>
                <w:sz w:val="18"/>
                <w:szCs w:val="18"/>
                <w:color w:val="auto"/>
              </w:rPr>
              <w:t>Mortgage loans held for sale</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7"/>
        </w:trPr>
        <w:tc>
          <w:tcPr>
            <w:tcW w:w="9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6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Accounts receivable, net</w:t>
            </w:r>
          </w:p>
        </w:tc>
        <w:tc>
          <w:tcPr>
            <w:tcW w:w="6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w:t>
            </w:r>
          </w:p>
        </w:tc>
      </w:tr>
      <w:tr>
        <w:trPr>
          <w:trHeight w:val="297"/>
        </w:trPr>
        <w:tc>
          <w:tcPr>
            <w:tcW w:w="96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Total assets related to discontinued operations</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794</w:t>
            </w:r>
          </w:p>
        </w:tc>
      </w:tr>
      <w:tr>
        <w:trPr>
          <w:trHeight w:val="311"/>
        </w:trPr>
        <w:tc>
          <w:tcPr>
            <w:tcW w:w="960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6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liabilities (1)</w:t>
            </w:r>
          </w:p>
        </w:tc>
        <w:tc>
          <w:tcPr>
            <w:tcW w:w="6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18,265</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 liabilities related to discontinued operations</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18,265</w:t>
            </w:r>
          </w:p>
        </w:tc>
      </w:tr>
      <w:tr>
        <w:trPr>
          <w:trHeight w:val="20"/>
        </w:trPr>
        <w:tc>
          <w:tcPr>
            <w:tcW w:w="9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00" w:hanging="238"/>
        <w:spacing w:after="0"/>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primary component of Other liabilities is an exit cost liability which includes $14.9 million of facility exit costs related to vacating certain facilities.</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cash flows related to discontinued operations have not been segregated and are included in the consolidated statement of cash flows for the post-acquisition period. There were no significant adjustments necessary to reconcile Net loss to net cash provided by operating activities that relate to discontinued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Securitizations and Variable Interest Entities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three groups: (1) securitizations of residential mortgage loans, (2) financings of advances and (3) financings of automotive dealer financing notes.</w:t>
      </w:r>
    </w:p>
    <w:p>
      <w:pPr>
        <w:spacing w:after="0" w:line="7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asset financing facilities are variable interest entities (VIEs) for which we are the primary beneficiary.</w:t>
      </w:r>
    </w:p>
    <w:p>
      <w:pPr>
        <w:spacing w:after="0" w:line="62"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receive servicing fees based upon the securitized loan balances and certain ancillary fees, all of which are reported in Servicing and subservicing fees in the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sell or securitize forward loans that we originate or purchased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7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of loans accounted for as sales that were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1,290,682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3,256,625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5,197,071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14,616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(1,271)</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1,331,333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3,292,186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5,210,416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In connection with these transfers, we retained MSRs of $8.3 million, $20.7 million and $37.2 million during 2018, 2017 and 2016, respectively. We securitize forward and reverse residential mortgage loans involving the GSEs and loans insured by the FHA or VA through Ginnie Mae.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692" w:right="239" w:bottom="1440" w:gutter="0" w:footer="0" w:header="0"/>
        </w:sectPr>
      </w:pPr>
    </w:p>
    <w:bookmarkStart w:id="125" w:name="page126"/>
    <w:bookmarkEnd w:id="125"/>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MSRs ($132,774 and $227 carried at fair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132,774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98,059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138,679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57,636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UPB of loans transferred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15,600,971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12,077,635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15,872,424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12,233,330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40" w:firstLine="324"/>
        <w:spacing w:after="0" w:line="375" w:lineRule="auto"/>
        <w:rPr>
          <w:sz w:val="20"/>
          <w:szCs w:val="20"/>
          <w:color w:val="auto"/>
        </w:rPr>
      </w:pPr>
      <w:r>
        <w:rPr>
          <w:rFonts w:ascii="Arial" w:cs="Arial" w:eastAsia="Arial" w:hAnsi="Arial"/>
          <w:sz w:val="18"/>
          <w:szCs w:val="18"/>
          <w:color w:val="auto"/>
        </w:rPr>
        <w:t xml:space="preserve">At December 31, 2018 and 2017, 8.3% and 8.9%, respectively, of the transferred residential loans that we service were 60 days or more past due. </w:t>
      </w:r>
      <w:r>
        <w:rPr>
          <w:rFonts w:ascii="Arial" w:cs="Arial" w:eastAsia="Arial" w:hAnsi="Arial"/>
          <w:sz w:val="18"/>
          <w:szCs w:val="18"/>
          <w:i w:val="1"/>
          <w:iCs w:val="1"/>
          <w:color w:val="auto"/>
        </w:rPr>
        <w:t>Transfers of Reverse Mortgages</w:t>
      </w:r>
    </w:p>
    <w:p>
      <w:pPr>
        <w:spacing w:after="0" w:line="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December 31, 2018 and 2017, Loans held for investment included $68.4 million and $83.8 million, respectively, of originated loans which had not yet been pledged as collateral. See Note 4 — Fair Value and Note 13 — Borrowings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match funded debt until the payment dates specified in the indenture are classified as debt service accounts within Other assets in our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spacing w:after="0" w:line="81"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We classify the transferred advances on our consolidated balance sheets as a component of Match funded assets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Restricted cash (debt service accounts), Match funded liabilities and amounts due to affiliates. Amounts due to affiliates are eliminated in consolidation in our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Securitizations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table below presents the carrying value and classification of the assets and liabilities of two consolidated mortgage-backed securitization trusts included in our consolidated balance sheet at December 31, 2018 as a result of residual securities issued by the trust that we acquired during the third quarter of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692"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70"/>
        </w:trPr>
        <w:tc>
          <w:tcPr>
            <w:tcW w:w="7780" w:type="dxa"/>
            <w:vAlign w:val="bottom"/>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 - Restricted for securitization investors</w:t>
            </w:r>
          </w:p>
        </w:tc>
        <w:tc>
          <w:tcPr>
            <w:tcW w:w="260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26,520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liability - Owed to securitization investors, at fair value</w:t>
            </w:r>
          </w:p>
        </w:tc>
        <w:tc>
          <w:tcPr>
            <w:tcW w:w="2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24,815</w:t>
            </w:r>
          </w:p>
        </w:tc>
      </w:tr>
    </w:tbl>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Upon consolidation of the securitization trusts, we elected to apply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collateralized financing entities. The measurement alternative requires a reporting entity to use the more observable of the fair value of the financial assets or the financial liabilities to measure both the financial assets and the financial liabilities of the entity. We determined that the fair value of the loans held by the trusts is more observable than the fair value of the debt certificates issued by the trusts. Through the application of the measurement alternative, the fair value of the financial liabilities of the trusts are measured as the difference between the fair value of the financial assets and the fair value of our investment in the residual securities of the trusts.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Holders of the debt issued by these entities have recourse only to the assets of the SPE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securities of the trusts, our MSRs and related advances. At December 31, 2018, MSRs were $0.2 million and our $1.7 million investment in the residual securities of the trusts was eliminated in consolidation. Advances outstanding at December 31, 2018 were $1.2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Automotive Dealer Financing Notes</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Match funded automotive dealer financing notes resulted from our transfers of short-term, inventory-secured loans to car dealers to an SPE in exchange for cash. We consolidated this SPE because we determined that Ocwen is the primary beneficiary of the SPE. The SPE issued debt supported by collections on the transferred loans. In January 2018, we exited the independent used car dealer floor plan lending business conducted through Automotive Capital Services, Inc. (ACS).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made transfers to the SPE in accordance with the terms of the automotive capital asset receivables financing facility agreements, which we terminated in January 2018 in connection with our decision to exit the business. We classified the transferred loans on our consolidated balance sheets as a component of Match funded assets and the related liabilities as Match funded liabilities. The SPE used collections of the pledged loans to repay principal and interest and to pay the expenses of the SPE. Holders of the debt issued by the SPE had recourse only to the assets of the SPE for satisfaction of the debt. The assets and liabilities of the automotive capital asset receivables financing SPE were comprised solely of Match funded automotive dealer financing notes, Restricted cash (debt service accounts), Match funded liabilities and amounts due to affiliates. Amounts due to affiliates have been eliminated in consolidation in our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842"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176,525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176,525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24,096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242,622</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242,622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238,358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238,358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5,472,199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5,472,199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4,715,831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3"/>
              </w:rPr>
              <w:t>Loans held for investment - Restricted for securitization investors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26,520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investment</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spacing w:after="0"/>
              <w:rPr>
                <w:sz w:val="22"/>
                <w:szCs w:val="22"/>
                <w:color w:val="auto"/>
              </w:rPr>
            </w:pP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5,498,719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5,498,719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4,715,831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(including match funded)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1,186,676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1,186,676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1,356,393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1,356,393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6"/>
              </w:rPr>
              <w:t>Automotive dealer financing notes (including match funded)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32,590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Receivables, net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198,262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198,262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199,529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199,529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Treasury notes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Corporate bonds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778,284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776,485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998,618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992,698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5,380,448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5,380,448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Financing liability - MSRs pledged,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1,032,856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1,032,856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508,291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508,291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Financing liability - Owed to securitization investors, at fair</w:t>
            </w:r>
          </w:p>
        </w:tc>
        <w:tc>
          <w:tcPr>
            <w:tcW w:w="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24,815</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69,942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65,202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6,508,061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6,491,689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5,195,074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5,175,049</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term loan (c) (d)</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226,825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227,449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290,068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299,741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155,713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255,782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255,782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382,538</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383,162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545,850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555,523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gridSpan w:val="2"/>
            <w:vMerge w:val="restart"/>
          </w:tcPr>
          <w:p>
            <w:pPr>
              <w:ind w:left="500"/>
              <w:spacing w:after="0"/>
              <w:rPr>
                <w:sz w:val="20"/>
                <w:szCs w:val="20"/>
                <w:color w:val="auto"/>
              </w:rPr>
            </w:pPr>
            <w:r>
              <w:rPr>
                <w:rFonts w:ascii="Arial" w:cs="Arial" w:eastAsia="Arial" w:hAnsi="Arial"/>
                <w:sz w:val="18"/>
                <w:szCs w:val="18"/>
                <w:color w:val="auto"/>
              </w:rPr>
              <w:t>F-25</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04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spacing w:after="0"/>
              <w:rPr>
                <w:sz w:val="20"/>
                <w:szCs w:val="20"/>
                <w:color w:val="auto"/>
              </w:rPr>
            </w:pPr>
          </w:p>
        </w:tc>
      </w:tr>
      <w:tr>
        <w:trPr>
          <w:trHeight w:val="27"/>
        </w:trPr>
        <w:tc>
          <w:tcPr>
            <w:tcW w:w="514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notes:</w:t>
            </w:r>
          </w:p>
        </w:tc>
        <w:tc>
          <w:tcPr>
            <w:tcW w:w="9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Senior unsecured notes (c) (d)</w:t>
            </w: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119,924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119,258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2,872</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notes (c) (d)</w:t>
            </w:r>
          </w:p>
        </w:tc>
        <w:tc>
          <w:tcPr>
            <w:tcW w:w="940" w:type="dxa"/>
            <w:vAlign w:val="bottom"/>
            <w:tcBorders>
              <w:bottom w:val="single" w:sz="8" w:color="EAF9E8"/>
            </w:tcBorders>
            <w:shd w:val="clear" w:color="auto" w:fill="EAF9E8"/>
          </w:tcPr>
          <w:p>
            <w:pPr>
              <w:jc w:val="right"/>
              <w:ind w:right="45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328,803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306,889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344,216</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355,550</w:t>
            </w:r>
          </w:p>
        </w:tc>
      </w:tr>
      <w:tr>
        <w:trPr>
          <w:trHeight w:val="297"/>
        </w:trPr>
        <w:tc>
          <w:tcPr>
            <w:tcW w:w="514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Senior notes</w:t>
            </w:r>
          </w:p>
        </w:tc>
        <w:tc>
          <w:tcPr>
            <w:tcW w:w="94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448,727</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426,147</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347,338</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358,422</w:t>
            </w:r>
          </w:p>
        </w:tc>
      </w:tr>
      <w:tr>
        <w:trPr>
          <w:trHeight w:val="311"/>
        </w:trPr>
        <w:tc>
          <w:tcPr>
            <w:tcW w:w="514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8"/>
              </w:rPr>
              <w:t>Derivative financial instrument assets (liabilities), at fair value (a):</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lock commitments</w:t>
            </w:r>
          </w:p>
        </w:tc>
        <w:tc>
          <w:tcPr>
            <w:tcW w:w="940" w:type="dxa"/>
            <w:vAlign w:val="bottom"/>
            <w:tcBorders>
              <w:bottom w:val="single" w:sz="8" w:color="EAF9E8"/>
            </w:tcBorders>
            <w:shd w:val="clear" w:color="auto" w:fill="EAF9E8"/>
          </w:tcPr>
          <w:p>
            <w:pPr>
              <w:jc w:val="right"/>
              <w:ind w:right="45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Forward mortgage-backed securities</w:t>
            </w: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caps</w:t>
            </w:r>
          </w:p>
        </w:tc>
        <w:tc>
          <w:tcPr>
            <w:tcW w:w="940" w:type="dxa"/>
            <w:vAlign w:val="bottom"/>
            <w:tcBorders>
              <w:bottom w:val="single" w:sz="8" w:color="EAF9E8"/>
            </w:tcBorders>
            <w:shd w:val="clear" w:color="auto" w:fill="EAF9E8"/>
          </w:tcPr>
          <w:p>
            <w:pPr>
              <w:jc w:val="right"/>
              <w:ind w:right="45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r>
      <w:tr>
        <w:trPr>
          <w:trHeight w:val="324"/>
        </w:trPr>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servicing rights:</w:t>
            </w:r>
          </w:p>
        </w:tc>
        <w:tc>
          <w:tcPr>
            <w:tcW w:w="9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1,457,149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1,457,149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671,962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671,962</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amortized cost (e)</w:t>
            </w:r>
          </w:p>
        </w:tc>
        <w:tc>
          <w:tcPr>
            <w:tcW w:w="940" w:type="dxa"/>
            <w:vAlign w:val="bottom"/>
            <w:tcBorders>
              <w:bottom w:val="single" w:sz="8" w:color="EAF9E8"/>
            </w:tcBorders>
            <w:shd w:val="clear" w:color="auto" w:fill="EAF9E8"/>
          </w:tcPr>
          <w:p>
            <w:pPr>
              <w:jc w:val="right"/>
              <w:ind w:right="45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336,882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418,745</w:t>
            </w:r>
          </w:p>
        </w:tc>
      </w:tr>
      <w:tr>
        <w:trPr>
          <w:trHeight w:val="257"/>
        </w:trPr>
        <w:tc>
          <w:tcPr>
            <w:tcW w:w="5140" w:type="dxa"/>
            <w:vAlign w:val="bottom"/>
          </w:tcPr>
          <w:p>
            <w:pPr>
              <w:ind w:left="280"/>
              <w:spacing w:after="0"/>
              <w:rPr>
                <w:sz w:val="20"/>
                <w:szCs w:val="20"/>
                <w:color w:val="auto"/>
              </w:rPr>
            </w:pPr>
            <w:r>
              <w:rPr>
                <w:rFonts w:ascii="Arial" w:cs="Arial" w:eastAsia="Arial" w:hAnsi="Arial"/>
                <w:sz w:val="18"/>
                <w:szCs w:val="18"/>
                <w:color w:val="auto"/>
              </w:rPr>
              <w:t>Total Mortgage servicing rights</w:t>
            </w:r>
          </w:p>
        </w:tc>
        <w:tc>
          <w:tcPr>
            <w:tcW w:w="9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1,457,149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1,457,149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1,008,844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1,090,707</w:t>
            </w:r>
          </w:p>
        </w:tc>
      </w:tr>
      <w:tr>
        <w:trPr>
          <w:trHeight w:val="20"/>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spacing w:after="0" w:line="8" w:lineRule="exact"/>
        <w:rPr>
          <w:rFonts w:ascii="Arial" w:cs="Arial" w:eastAsia="Arial" w:hAnsi="Arial"/>
          <w:sz w:val="16"/>
          <w:szCs w:val="16"/>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13 — Borrowings for additional information</w:t>
      </w:r>
      <w:r>
        <w:rPr>
          <w:rFonts w:ascii="Arial" w:cs="Arial" w:eastAsia="Arial" w:hAnsi="Arial"/>
          <w:sz w:val="16"/>
          <w:szCs w:val="16"/>
          <w:b w:val="1"/>
          <w:bCs w:val="1"/>
          <w:color w:val="auto"/>
        </w:rPr>
        <w:t>.</w:t>
      </w:r>
    </w:p>
    <w:p>
      <w:pPr>
        <w:spacing w:after="0" w:line="18" w:lineRule="exact"/>
        <w:rPr>
          <w:rFonts w:ascii="Arial" w:cs="Arial" w:eastAsia="Arial" w:hAnsi="Arial"/>
          <w:sz w:val="16"/>
          <w:szCs w:val="16"/>
          <w:color w:val="auto"/>
        </w:rPr>
      </w:pPr>
    </w:p>
    <w:p>
      <w:pPr>
        <w:ind w:left="500" w:right="80" w:hanging="492"/>
        <w:spacing w:after="0" w:line="254"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Effective January 1, 2018, we elected fair value accounting for our MSRs previously accounted for using the amortization method, which included Agency MSRs and government-insured MSRs. The balance at December 31, 2017 includes the impaired government-insured stratum of amortization method MSRs, which was measured at fair value on a non-recurring basis and reported net of the valuation allowance. At December 31, 2017, the carrying value of this stratum was $158.0 million before applying the valuation allowance of $24.8 million.</w:t>
      </w:r>
    </w:p>
    <w:p>
      <w:pPr>
        <w:spacing w:after="0" w:line="7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Inv. -</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Investment -</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Restricted for</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Owed to</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Reverse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Securitiza-</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Securitiza -</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Mortgages</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Borrowings</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tion Investors</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tion Investors</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900" w:type="dxa"/>
            <w:vAlign w:val="bottom"/>
            <w:gridSpan w:val="6"/>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AF9E8"/>
            </w:tcBorders>
            <w:gridSpan w:val="2"/>
            <w:shd w:val="clear" w:color="auto" w:fill="EAF9E8"/>
          </w:tcPr>
          <w:p>
            <w:pPr>
              <w:jc w:val="right"/>
              <w:ind w:right="39"/>
              <w:spacing w:after="0"/>
              <w:rPr>
                <w:sz w:val="20"/>
                <w:szCs w:val="20"/>
                <w:color w:val="auto"/>
              </w:rPr>
            </w:pPr>
            <w:r>
              <w:rPr>
                <w:rFonts w:ascii="Arial" w:cs="Arial" w:eastAsia="Arial" w:hAnsi="Arial"/>
                <w:sz w:val="16"/>
                <w:szCs w:val="16"/>
                <w:color w:val="auto"/>
              </w:rPr>
              <w:t>4,715,831</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   (4,601,556)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(508,291)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671,962</w:t>
            </w:r>
          </w:p>
        </w:tc>
      </w:tr>
      <w:tr>
        <w:trPr>
          <w:trHeight w:val="220"/>
        </w:trPr>
        <w:tc>
          <w:tcPr>
            <w:tcW w:w="1620" w:type="dxa"/>
            <w:vAlign w:val="bottom"/>
            <w:gridSpan w:val="2"/>
          </w:tcPr>
          <w:p>
            <w:pPr>
              <w:ind w:left="40"/>
              <w:spacing w:after="0"/>
              <w:rPr>
                <w:sz w:val="20"/>
                <w:szCs w:val="20"/>
                <w:color w:val="auto"/>
              </w:rPr>
            </w:pPr>
            <w:r>
              <w:rPr>
                <w:rFonts w:ascii="Arial" w:cs="Arial" w:eastAsia="Arial" w:hAnsi="Arial"/>
                <w:sz w:val="16"/>
                <w:szCs w:val="16"/>
                <w:color w:val="auto"/>
                <w:w w:val="97"/>
              </w:rPr>
              <w:t>Purchases, issuances,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w w:val="90"/>
              </w:rPr>
              <w:t>sales and settlements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6"/>
                <w:szCs w:val="16"/>
                <w:color w:val="auto"/>
              </w:rPr>
              <w:t>Purchases</w:t>
            </w:r>
          </w:p>
        </w:tc>
        <w:tc>
          <w:tcPr>
            <w:tcW w:w="12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13,712</w:t>
            </w:r>
          </w:p>
        </w:tc>
      </w:tr>
      <w:tr>
        <w:trPr>
          <w:trHeight w:val="220"/>
        </w:trPr>
        <w:tc>
          <w:tcPr>
            <w:tcW w:w="40" w:type="dxa"/>
            <w:vAlign w:val="bottom"/>
          </w:tcPr>
          <w:p>
            <w:pPr>
              <w:spacing w:after="0"/>
              <w:rPr>
                <w:sz w:val="19"/>
                <w:szCs w:val="19"/>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Recognized</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(assumed) in</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connection with the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acquisition of PHH</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(481,020)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518,127</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6"/>
                <w:szCs w:val="16"/>
                <w:color w:val="auto"/>
              </w:rPr>
              <w:t>Issuances (1)</w:t>
            </w: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39"/>
              <w:spacing w:after="0"/>
              <w:rPr>
                <w:sz w:val="20"/>
                <w:szCs w:val="20"/>
                <w:color w:val="auto"/>
              </w:rPr>
            </w:pPr>
            <w:r>
              <w:rPr>
                <w:rFonts w:ascii="Arial" w:cs="Arial" w:eastAsia="Arial" w:hAnsi="Arial"/>
                <w:sz w:val="16"/>
                <w:szCs w:val="16"/>
                <w:color w:val="auto"/>
              </w:rPr>
              <w:t>920,476</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(948,917)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(279,586)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 w:type="dxa"/>
            <w:vAlign w:val="bottom"/>
          </w:tcPr>
          <w:p>
            <w:pPr>
              <w:spacing w:after="0"/>
              <w:rPr>
                <w:sz w:val="19"/>
                <w:szCs w:val="19"/>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Consolidation of</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rPr>
              <w:t>mortgage-backed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rPr>
              <w:t>securitization</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rPr>
              <w:t>trusts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(6,240)</w:t>
            </w:r>
          </w:p>
        </w:tc>
      </w:tr>
      <w:tr>
        <w:trPr>
          <w:trHeight w:val="237"/>
        </w:trPr>
        <w:tc>
          <w:tcPr>
            <w:tcW w:w="40" w:type="dxa"/>
            <w:vAlign w:val="bottom"/>
          </w:tcPr>
          <w:p>
            <w:pPr>
              <w:spacing w:after="0"/>
              <w:rPr>
                <w:sz w:val="20"/>
                <w:szCs w:val="20"/>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Settlements</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(400,521)</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391,985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211,766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(5,880)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742"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Inv. -</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Investment -</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Restricted for</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Owed to</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Mortgage-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Reverse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Securitiza-</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Securitiza -</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Backed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Mortgages</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Borrowings</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tion Investors</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tion Investors</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900" w:type="dxa"/>
            <w:vAlign w:val="bottom"/>
            <w:gridSpan w:val="6"/>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1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6"/>
                <w:szCs w:val="16"/>
                <w:color w:val="auto"/>
              </w:rPr>
              <w:t>Transfers (to) from:</w:t>
            </w:r>
          </w:p>
        </w:tc>
        <w:tc>
          <w:tcPr>
            <w:tcW w:w="12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20"/>
        </w:trPr>
        <w:tc>
          <w:tcPr>
            <w:tcW w:w="40" w:type="dxa"/>
            <w:vAlign w:val="bottom"/>
          </w:tcPr>
          <w:p>
            <w:pPr>
              <w:spacing w:after="0"/>
              <w:rPr>
                <w:sz w:val="19"/>
                <w:szCs w:val="19"/>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MSRs carried at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w w:val="93"/>
              </w:rPr>
              <w:t>amortized cost, net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rPr>
              <w:t>of valuation</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rPr>
              <w:t>allowance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418,925</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40" w:type="dxa"/>
            <w:vAlign w:val="bottom"/>
            <w:shd w:val="clear" w:color="auto" w:fill="EAF9E8"/>
          </w:tcPr>
          <w:p>
            <w:pPr>
              <w:spacing w:after="0"/>
              <w:rPr>
                <w:sz w:val="19"/>
                <w:szCs w:val="19"/>
                <w:color w:val="auto"/>
              </w:rPr>
            </w:pPr>
          </w:p>
        </w:tc>
        <w:tc>
          <w:tcPr>
            <w:tcW w:w="1580" w:type="dxa"/>
            <w:vAlign w:val="bottom"/>
            <w:shd w:val="clear" w:color="auto" w:fill="EAF9E8"/>
          </w:tcPr>
          <w:p>
            <w:pPr>
              <w:ind w:left="140"/>
              <w:spacing w:after="0"/>
              <w:rPr>
                <w:sz w:val="20"/>
                <w:szCs w:val="20"/>
                <w:color w:val="auto"/>
              </w:rPr>
            </w:pPr>
            <w:r>
              <w:rPr>
                <w:rFonts w:ascii="Arial" w:cs="Arial" w:eastAsia="Arial" w:hAnsi="Arial"/>
                <w:sz w:val="16"/>
                <w:szCs w:val="16"/>
                <w:color w:val="auto"/>
              </w:rPr>
              <w:t>Loans held for sale,</w:t>
            </w:r>
          </w:p>
        </w:tc>
        <w:tc>
          <w:tcPr>
            <w:tcW w:w="12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5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19"/>
        </w:trPr>
        <w:tc>
          <w:tcPr>
            <w:tcW w:w="40" w:type="dxa"/>
            <w:vAlign w:val="bottom"/>
            <w:tcBorders>
              <w:bottom w:val="single" w:sz="8" w:color="EAF9E8"/>
            </w:tcBorders>
            <w:shd w:val="clear" w:color="auto" w:fill="EAF9E8"/>
          </w:tcPr>
          <w:p>
            <w:pPr>
              <w:spacing w:after="0"/>
              <w:rPr>
                <w:sz w:val="19"/>
                <w:szCs w:val="19"/>
                <w:color w:val="auto"/>
              </w:rPr>
            </w:pPr>
          </w:p>
        </w:tc>
        <w:tc>
          <w:tcPr>
            <w:tcW w:w="1580" w:type="dxa"/>
            <w:vAlign w:val="bottom"/>
            <w:tcBorders>
              <w:bottom w:val="single" w:sz="8" w:color="EAF9E8"/>
            </w:tcBorders>
            <w:shd w:val="clear" w:color="auto" w:fill="EAF9E8"/>
          </w:tcPr>
          <w:p>
            <w:pPr>
              <w:ind w:left="300"/>
              <w:spacing w:after="0"/>
              <w:rPr>
                <w:sz w:val="20"/>
                <w:szCs w:val="20"/>
                <w:color w:val="auto"/>
              </w:rPr>
            </w:pPr>
            <w:r>
              <w:rPr>
                <w:rFonts w:ascii="Arial" w:cs="Arial" w:eastAsia="Arial" w:hAnsi="Arial"/>
                <w:sz w:val="16"/>
                <w:szCs w:val="16"/>
                <w:color w:val="auto"/>
              </w:rPr>
              <w:t>at fair value</w:t>
            </w:r>
          </w:p>
        </w:tc>
        <w:tc>
          <w:tcPr>
            <w:tcW w:w="120" w:type="dxa"/>
            <w:vAlign w:val="bottom"/>
            <w:tcBorders>
              <w:bottom w:val="single" w:sz="8" w:color="EAF9E8"/>
            </w:tcBorders>
            <w:shd w:val="clear" w:color="auto" w:fill="EAF9E8"/>
          </w:tcPr>
          <w:p>
            <w:pPr>
              <w:spacing w:after="0"/>
              <w:rPr>
                <w:sz w:val="19"/>
                <w:szCs w:val="19"/>
                <w:color w:val="auto"/>
              </w:rPr>
            </w:pPr>
          </w:p>
        </w:tc>
        <w:tc>
          <w:tcPr>
            <w:tcW w:w="10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EAF9E8"/>
            </w:tcBorders>
            <w:shd w:val="clear" w:color="auto" w:fill="EAF9E8"/>
          </w:tcPr>
          <w:p>
            <w:pPr>
              <w:spacing w:after="0"/>
              <w:rPr>
                <w:sz w:val="19"/>
                <w:szCs w:val="19"/>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158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518,347</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(556,932)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26,520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(549,507)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938,644</w:t>
            </w:r>
          </w:p>
        </w:tc>
      </w:tr>
      <w:tr>
        <w:trPr>
          <w:trHeight w:val="33"/>
        </w:trPr>
        <w:tc>
          <w:tcPr>
            <w:tcW w:w="4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5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r>
      <w:tr>
        <w:trPr>
          <w:trHeight w:val="22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Total realized and</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unrealized gains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(losses) (2)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40" w:type="dxa"/>
            <w:vAlign w:val="bottom"/>
            <w:shd w:val="clear" w:color="auto" w:fill="EAF9E8"/>
          </w:tcPr>
          <w:p>
            <w:pPr>
              <w:spacing w:after="0"/>
              <w:rPr>
                <w:sz w:val="19"/>
                <w:szCs w:val="19"/>
                <w:color w:val="auto"/>
              </w:rPr>
            </w:pPr>
          </w:p>
        </w:tc>
        <w:tc>
          <w:tcPr>
            <w:tcW w:w="1580" w:type="dxa"/>
            <w:vAlign w:val="bottom"/>
            <w:shd w:val="clear" w:color="auto" w:fill="EAF9E8"/>
          </w:tcPr>
          <w:p>
            <w:pPr>
              <w:ind w:left="140"/>
              <w:spacing w:after="0"/>
              <w:rPr>
                <w:sz w:val="20"/>
                <w:szCs w:val="20"/>
                <w:color w:val="auto"/>
              </w:rPr>
            </w:pPr>
            <w:r>
              <w:rPr>
                <w:rFonts w:ascii="Arial" w:cs="Arial" w:eastAsia="Arial" w:hAnsi="Arial"/>
                <w:sz w:val="16"/>
                <w:szCs w:val="16"/>
                <w:color w:val="auto"/>
                <w:w w:val="99"/>
              </w:rPr>
              <w:t>Included in earnings</w:t>
            </w:r>
          </w:p>
        </w:tc>
        <w:tc>
          <w:tcPr>
            <w:tcW w:w="12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5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19"/>
        </w:trPr>
        <w:tc>
          <w:tcPr>
            <w:tcW w:w="16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EAF9E8"/>
            </w:tcBorders>
            <w:shd w:val="clear" w:color="auto" w:fill="EAF9E8"/>
          </w:tcPr>
          <w:p>
            <w:pPr>
              <w:spacing w:after="0"/>
              <w:rPr>
                <w:sz w:val="19"/>
                <w:szCs w:val="19"/>
                <w:color w:val="auto"/>
              </w:rPr>
            </w:pPr>
          </w:p>
        </w:tc>
        <w:tc>
          <w:tcPr>
            <w:tcW w:w="460" w:type="dxa"/>
            <w:vAlign w:val="bottom"/>
            <w:tcBorders>
              <w:bottom w:val="single" w:sz="8" w:color="EAF9E8"/>
            </w:tcBorders>
            <w:shd w:val="clear" w:color="auto" w:fill="EAF9E8"/>
          </w:tcPr>
          <w:p>
            <w:pPr>
              <w:spacing w:after="0"/>
              <w:rPr>
                <w:sz w:val="19"/>
                <w:szCs w:val="19"/>
                <w:color w:val="auto"/>
              </w:rPr>
            </w:pPr>
          </w:p>
        </w:tc>
        <w:tc>
          <w:tcPr>
            <w:tcW w:w="5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Arial" w:cs="Arial" w:eastAsia="Arial" w:hAnsi="Arial"/>
                <w:sz w:val="16"/>
                <w:szCs w:val="16"/>
                <w:color w:val="auto"/>
              </w:rPr>
              <w:t>Change in fair</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40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238,021</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(221,960)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(153,457)</w:t>
            </w: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6"/>
                <w:szCs w:val="16"/>
                <w:color w:val="auto"/>
              </w:rPr>
              <w:t>Calls and other</w:t>
            </w:r>
          </w:p>
        </w:tc>
        <w:tc>
          <w:tcPr>
            <w:tcW w:w="12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7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5,673</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 w:type="dxa"/>
            <w:vAlign w:val="bottom"/>
          </w:tcPr>
          <w:p>
            <w:pPr>
              <w:spacing w:after="0"/>
              <w:rPr>
                <w:sz w:val="19"/>
                <w:szCs w:val="19"/>
                <w:color w:val="auto"/>
              </w:rPr>
            </w:pPr>
          </w:p>
        </w:tc>
        <w:tc>
          <w:tcPr>
            <w:tcW w:w="1580" w:type="dxa"/>
            <w:vAlign w:val="bottom"/>
          </w:tcPr>
          <w:p>
            <w:pPr>
              <w:ind w:left="140"/>
              <w:spacing w:after="0"/>
              <w:rPr>
                <w:sz w:val="20"/>
                <w:szCs w:val="20"/>
                <w:color w:val="auto"/>
              </w:rPr>
            </w:pPr>
            <w:r>
              <w:rPr>
                <w:rFonts w:ascii="Arial" w:cs="Arial" w:eastAsia="Arial" w:hAnsi="Arial"/>
                <w:sz w:val="16"/>
                <w:szCs w:val="16"/>
                <w:color w:val="auto"/>
              </w:rPr>
              <w:t>Included in Other</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rPr>
              <w:t>comprehensive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39"/>
              <w:spacing w:after="0"/>
              <w:rPr>
                <w:sz w:val="20"/>
                <w:szCs w:val="20"/>
                <w:color w:val="auto"/>
              </w:rPr>
            </w:pPr>
            <w:r>
              <w:rPr>
                <w:rFonts w:ascii="Arial" w:cs="Arial" w:eastAsia="Arial" w:hAnsi="Arial"/>
                <w:sz w:val="16"/>
                <w:szCs w:val="16"/>
                <w:color w:val="auto"/>
              </w:rPr>
              <w:t>238,021</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(221,960)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24,942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(153,457)</w:t>
            </w:r>
          </w:p>
        </w:tc>
      </w:tr>
      <w:tr>
        <w:trPr>
          <w:trHeight w:val="20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Transfers in and / or</w:t>
            </w: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Arial" w:cs="Arial" w:eastAsia="Arial" w:hAnsi="Arial"/>
                <w:sz w:val="16"/>
                <w:szCs w:val="16"/>
                <w:color w:val="auto"/>
              </w:rPr>
              <w:t>out of Level 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shd w:val="clear" w:color="auto" w:fill="EAF9E8"/>
          </w:tcPr>
          <w:p>
            <w:pPr>
              <w:jc w:val="right"/>
              <w:ind w:right="39"/>
              <w:spacing w:after="0"/>
              <w:rPr>
                <w:sz w:val="20"/>
                <w:szCs w:val="20"/>
                <w:color w:val="auto"/>
              </w:rPr>
            </w:pPr>
            <w:r>
              <w:rPr>
                <w:rFonts w:ascii="Arial" w:cs="Arial" w:eastAsia="Arial" w:hAnsi="Arial"/>
                <w:sz w:val="16"/>
                <w:szCs w:val="16"/>
                <w:color w:val="auto"/>
              </w:rPr>
              <w:t>5,472,199</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   (5,380,448)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26,520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(24,815)</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99"/>
              </w:rPr>
              <w:t>$   (1,032,856)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1,457,149</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747"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Financing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Investment -</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HMBS-Related</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Mortgage-Backed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Liability - MSRs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Reverse Mortgages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Borrowings</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Pledged</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MSRs</w:t>
            </w:r>
          </w:p>
        </w:tc>
        <w:tc>
          <w:tcPr>
            <w:tcW w:w="0" w:type="dxa"/>
            <w:vAlign w:val="bottom"/>
          </w:tcPr>
          <w:p>
            <w:pPr>
              <w:spacing w:after="0"/>
              <w:rPr>
                <w:sz w:val="1"/>
                <w:szCs w:val="1"/>
                <w:color w:val="auto"/>
              </w:rPr>
            </w:pPr>
          </w:p>
        </w:tc>
      </w:tr>
      <w:tr>
        <w:trPr>
          <w:trHeight w:val="33"/>
        </w:trPr>
        <w:tc>
          <w:tcPr>
            <w:tcW w:w="26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3,565,716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(3,433,781)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8,342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(477,707)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1,836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679,256</w:t>
            </w:r>
          </w:p>
        </w:tc>
        <w:tc>
          <w:tcPr>
            <w:tcW w:w="0" w:type="dxa"/>
            <w:vAlign w:val="bottom"/>
          </w:tcPr>
          <w:p>
            <w:pPr>
              <w:spacing w:after="0"/>
              <w:rPr>
                <w:sz w:val="1"/>
                <w:szCs w:val="1"/>
                <w:color w:val="auto"/>
              </w:rPr>
            </w:pPr>
          </w:p>
        </w:tc>
      </w:tr>
      <w:tr>
        <w:trPr>
          <w:trHeight w:val="220"/>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Purchases, issuances, sales and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600" w:type="dxa"/>
            <w:vAlign w:val="bottom"/>
            <w:gridSpan w:val="2"/>
          </w:tcPr>
          <w:p>
            <w:pPr>
              <w:jc w:val="center"/>
              <w:ind w:right="1560"/>
              <w:spacing w:after="0"/>
              <w:rPr>
                <w:sz w:val="20"/>
                <w:szCs w:val="20"/>
                <w:color w:val="auto"/>
              </w:rPr>
            </w:pPr>
            <w:r>
              <w:rPr>
                <w:rFonts w:ascii="Arial" w:cs="Arial" w:eastAsia="Arial" w:hAnsi="Arial"/>
                <w:sz w:val="16"/>
                <w:szCs w:val="16"/>
                <w:color w:val="auto"/>
                <w:w w:val="87"/>
              </w:rPr>
              <w:t>settlements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6"/>
                <w:szCs w:val="16"/>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Issuances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1,277,615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(1,281,543)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(54,601)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6"/>
                <w:szCs w:val="16"/>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Settlements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(444,388)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418,503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6"/>
                <w:szCs w:val="16"/>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Loans held for sale, at fair value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6"/>
                <w:szCs w:val="16"/>
                <w:color w:val="auto"/>
              </w:rPr>
              <w:t>Receivables, net</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(3,583)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EAF9E8"/>
            </w:tcBorders>
          </w:tcPr>
          <w:p>
            <w:pPr>
              <w:spacing w:after="0"/>
              <w:rPr>
                <w:sz w:val="2"/>
                <w:szCs w:val="2"/>
                <w:color w:val="auto"/>
              </w:rPr>
            </w:pPr>
          </w:p>
        </w:tc>
        <w:tc>
          <w:tcPr>
            <w:tcW w:w="2160" w:type="dxa"/>
            <w:vAlign w:val="bottom"/>
            <w:tcBorders>
              <w:bottom w:val="single" w:sz="8" w:color="EAF9E8"/>
            </w:tcBorders>
          </w:tcPr>
          <w:p>
            <w:pPr>
              <w:spacing w:after="0"/>
              <w:rPr>
                <w:sz w:val="2"/>
                <w:szCs w:val="2"/>
                <w:color w:val="auto"/>
              </w:rPr>
            </w:pPr>
          </w:p>
        </w:tc>
        <w:tc>
          <w:tcPr>
            <w:tcW w:w="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16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823,912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(863,040)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4,589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200"/>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Total realized and unrealized gains</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600" w:type="dxa"/>
            <w:vAlign w:val="bottom"/>
            <w:gridSpan w:val="2"/>
          </w:tcPr>
          <w:p>
            <w:pPr>
              <w:jc w:val="center"/>
              <w:ind w:right="1560"/>
              <w:spacing w:after="0"/>
              <w:rPr>
                <w:sz w:val="20"/>
                <w:szCs w:val="20"/>
                <w:color w:val="auto"/>
              </w:rPr>
            </w:pPr>
            <w:r>
              <w:rPr>
                <w:rFonts w:ascii="Arial" w:cs="Arial" w:eastAsia="Arial" w:hAnsi="Arial"/>
                <w:sz w:val="16"/>
                <w:szCs w:val="16"/>
                <w:color w:val="auto"/>
                <w:w w:val="89"/>
              </w:rPr>
              <w:t>(losses) (2)</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6"/>
                <w:szCs w:val="16"/>
                <w:color w:val="auto"/>
              </w:rPr>
              <w:t>Included in earnings (1):</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Change in fair value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326,203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(304,735)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6"/>
                <w:szCs w:val="16"/>
                <w:color w:val="auto"/>
              </w:rPr>
              <w:t>Calls and other</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6,109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Included in Other comprehensive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600" w:type="dxa"/>
            <w:vAlign w:val="bottom"/>
            <w:gridSpan w:val="2"/>
          </w:tcPr>
          <w:p>
            <w:pPr>
              <w:jc w:val="center"/>
              <w:ind w:right="1540"/>
              <w:spacing w:after="0"/>
              <w:rPr>
                <w:sz w:val="20"/>
                <w:szCs w:val="20"/>
                <w:color w:val="auto"/>
              </w:rPr>
            </w:pPr>
            <w:r>
              <w:rPr>
                <w:rFonts w:ascii="Arial" w:cs="Arial" w:eastAsia="Arial" w:hAnsi="Arial"/>
                <w:sz w:val="16"/>
                <w:szCs w:val="16"/>
                <w:color w:val="auto"/>
                <w:w w:val="89"/>
              </w:rPr>
              <w:t>income</w:t>
            </w:r>
          </w:p>
        </w:tc>
        <w:tc>
          <w:tcPr>
            <w:tcW w:w="1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EAF9E8"/>
            </w:tcBorders>
          </w:tcPr>
          <w:p>
            <w:pPr>
              <w:spacing w:after="0"/>
              <w:rPr>
                <w:sz w:val="2"/>
                <w:szCs w:val="2"/>
                <w:color w:val="auto"/>
              </w:rPr>
            </w:pPr>
          </w:p>
        </w:tc>
        <w:tc>
          <w:tcPr>
            <w:tcW w:w="2160" w:type="dxa"/>
            <w:vAlign w:val="bottom"/>
            <w:tcBorders>
              <w:bottom w:val="single" w:sz="8" w:color="EAF9E8"/>
            </w:tcBorders>
          </w:tcPr>
          <w:p>
            <w:pPr>
              <w:spacing w:after="0"/>
              <w:rPr>
                <w:sz w:val="2"/>
                <w:szCs w:val="2"/>
                <w:color w:val="auto"/>
              </w:rPr>
            </w:pPr>
          </w:p>
        </w:tc>
        <w:tc>
          <w:tcPr>
            <w:tcW w:w="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16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326,203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(304,735)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(6,750)</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(35,173)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17"/>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Transfers in and / or out of Level 3</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EAF9E8"/>
            </w:tcBorders>
          </w:tcPr>
          <w:p>
            <w:pPr>
              <w:spacing w:after="0"/>
              <w:rPr>
                <w:sz w:val="2"/>
                <w:szCs w:val="2"/>
                <w:color w:val="auto"/>
              </w:rPr>
            </w:pPr>
          </w:p>
        </w:tc>
        <w:tc>
          <w:tcPr>
            <w:tcW w:w="2160" w:type="dxa"/>
            <w:vAlign w:val="bottom"/>
            <w:tcBorders>
              <w:bottom w:val="single" w:sz="8" w:color="EAF9E8"/>
            </w:tcBorders>
          </w:tcPr>
          <w:p>
            <w:pPr>
              <w:spacing w:after="0"/>
              <w:rPr>
                <w:sz w:val="2"/>
                <w:szCs w:val="2"/>
                <w:color w:val="auto"/>
              </w:rPr>
            </w:pPr>
          </w:p>
        </w:tc>
        <w:tc>
          <w:tcPr>
            <w:tcW w:w="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4,715,831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(4,601,556)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1,592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(508,291)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671,962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Financing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Investment -</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HMBS-Related</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Mortgage-Backed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Liability - MSRs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Reverse Mortgages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Borrowings</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Pledged</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MSRs</w:t>
            </w:r>
          </w:p>
        </w:tc>
        <w:tc>
          <w:tcPr>
            <w:tcW w:w="0" w:type="dxa"/>
            <w:vAlign w:val="bottom"/>
          </w:tcPr>
          <w:p>
            <w:pPr>
              <w:spacing w:after="0"/>
              <w:rPr>
                <w:sz w:val="1"/>
                <w:szCs w:val="1"/>
                <w:color w:val="auto"/>
              </w:rPr>
            </w:pPr>
          </w:p>
        </w:tc>
      </w:tr>
      <w:tr>
        <w:trPr>
          <w:trHeight w:val="33"/>
        </w:trPr>
        <w:tc>
          <w:tcPr>
            <w:tcW w:w="26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2,488,253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(2,391,362)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7,985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(541,704)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2,042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761,190</w:t>
            </w:r>
          </w:p>
        </w:tc>
        <w:tc>
          <w:tcPr>
            <w:tcW w:w="0" w:type="dxa"/>
            <w:vAlign w:val="bottom"/>
          </w:tcPr>
          <w:p>
            <w:pPr>
              <w:spacing w:after="0"/>
              <w:rPr>
                <w:sz w:val="1"/>
                <w:szCs w:val="1"/>
                <w:color w:val="auto"/>
              </w:rPr>
            </w:pPr>
          </w:p>
        </w:tc>
      </w:tr>
      <w:tr>
        <w:trPr>
          <w:trHeight w:val="220"/>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Purchases, issuances, sales and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Arial" w:cs="Arial" w:eastAsia="Arial" w:hAnsi="Arial"/>
                <w:sz w:val="16"/>
                <w:szCs w:val="16"/>
                <w:color w:val="auto"/>
              </w:rPr>
              <w:t>settlements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6"/>
                <w:szCs w:val="16"/>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1,337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Issuances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1,107,046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(1,086,795)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6"/>
                <w:szCs w:val="16"/>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6"/>
                <w:szCs w:val="16"/>
                <w:color w:val="auto"/>
              </w:rPr>
              <w:t>Settlements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(243,596)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230,045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EAF9E8"/>
            </w:tcBorders>
          </w:tcPr>
          <w:p>
            <w:pPr>
              <w:spacing w:after="0"/>
              <w:rPr>
                <w:sz w:val="2"/>
                <w:szCs w:val="2"/>
                <w:color w:val="auto"/>
              </w:rPr>
            </w:pPr>
          </w:p>
        </w:tc>
        <w:tc>
          <w:tcPr>
            <w:tcW w:w="2160" w:type="dxa"/>
            <w:vAlign w:val="bottom"/>
            <w:tcBorders>
              <w:bottom w:val="single" w:sz="8" w:color="EAF9E8"/>
            </w:tcBorders>
          </w:tcPr>
          <w:p>
            <w:pPr>
              <w:spacing w:after="0"/>
              <w:rPr>
                <w:sz w:val="2"/>
                <w:szCs w:val="2"/>
                <w:color w:val="auto"/>
              </w:rPr>
            </w:pPr>
          </w:p>
        </w:tc>
        <w:tc>
          <w:tcPr>
            <w:tcW w:w="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16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863,450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(856,750)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63,997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00"/>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Total realized and unrealized gains</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Arial" w:cs="Arial" w:eastAsia="Arial" w:hAnsi="Arial"/>
                <w:sz w:val="16"/>
                <w:szCs w:val="16"/>
                <w:color w:val="auto"/>
              </w:rPr>
              <w:t>(losses)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6"/>
                <w:szCs w:val="16"/>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gridSpan w:val="2"/>
          </w:tcPr>
          <w:p>
            <w:pPr>
              <w:ind w:left="240"/>
              <w:spacing w:after="0"/>
              <w:rPr>
                <w:sz w:val="20"/>
                <w:szCs w:val="20"/>
                <w:color w:val="auto"/>
              </w:rPr>
            </w:pPr>
            <w:r>
              <w:rPr>
                <w:rFonts w:ascii="Arial" w:cs="Arial" w:eastAsia="Arial" w:hAnsi="Arial"/>
                <w:sz w:val="16"/>
                <w:szCs w:val="16"/>
                <w:color w:val="auto"/>
              </w:rPr>
              <w:t>Change in fair value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214,013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(185,669)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(80,238)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EAF9E8"/>
          </w:tcPr>
          <w:p>
            <w:pPr>
              <w:spacing w:after="0"/>
              <w:rPr>
                <w:sz w:val="19"/>
                <w:szCs w:val="19"/>
                <w:color w:val="auto"/>
              </w:rPr>
            </w:pPr>
          </w:p>
        </w:tc>
        <w:tc>
          <w:tcPr>
            <w:tcW w:w="2600" w:type="dxa"/>
            <w:vAlign w:val="bottom"/>
            <w:gridSpan w:val="2"/>
            <w:shd w:val="clear" w:color="auto" w:fill="EAF9E8"/>
          </w:tcPr>
          <w:p>
            <w:pPr>
              <w:ind w:left="140"/>
              <w:spacing w:after="0"/>
              <w:rPr>
                <w:sz w:val="20"/>
                <w:szCs w:val="20"/>
                <w:color w:val="auto"/>
              </w:rPr>
            </w:pPr>
            <w:r>
              <w:rPr>
                <w:rFonts w:ascii="Arial" w:cs="Arial" w:eastAsia="Arial" w:hAnsi="Arial"/>
                <w:sz w:val="16"/>
                <w:szCs w:val="16"/>
                <w:color w:val="auto"/>
              </w:rPr>
              <w:t>Included in Other comprehensive</w:t>
            </w:r>
          </w:p>
        </w:tc>
        <w:tc>
          <w:tcPr>
            <w:tcW w:w="14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EAF9E8"/>
            </w:tcBorders>
            <w:shd w:val="clear" w:color="auto" w:fill="EAF9E8"/>
          </w:tcPr>
          <w:p>
            <w:pPr>
              <w:spacing w:after="0"/>
              <w:rPr>
                <w:sz w:val="20"/>
                <w:szCs w:val="20"/>
                <w:color w:val="auto"/>
              </w:rPr>
            </w:pPr>
          </w:p>
        </w:tc>
        <w:tc>
          <w:tcPr>
            <w:tcW w:w="2600" w:type="dxa"/>
            <w:vAlign w:val="bottom"/>
            <w:tcBorders>
              <w:bottom w:val="single" w:sz="8" w:color="EAF9E8"/>
            </w:tcBorders>
            <w:gridSpan w:val="2"/>
            <w:shd w:val="clear" w:color="auto" w:fill="EAF9E8"/>
          </w:tcPr>
          <w:p>
            <w:pPr>
              <w:ind w:left="30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214,013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(185,669)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(80,238)</w:t>
            </w:r>
          </w:p>
        </w:tc>
        <w:tc>
          <w:tcPr>
            <w:tcW w:w="0" w:type="dxa"/>
            <w:vAlign w:val="bottom"/>
          </w:tcPr>
          <w:p>
            <w:pPr>
              <w:spacing w:after="0"/>
              <w:rPr>
                <w:sz w:val="1"/>
                <w:szCs w:val="1"/>
                <w:color w:val="auto"/>
              </w:rPr>
            </w:pPr>
          </w:p>
        </w:tc>
      </w:tr>
      <w:tr>
        <w:trPr>
          <w:trHeight w:val="33"/>
        </w:trPr>
        <w:tc>
          <w:tcPr>
            <w:tcW w:w="40" w:type="dxa"/>
            <w:vAlign w:val="bottom"/>
            <w:tcBorders>
              <w:bottom w:val="single" w:sz="8" w:color="EAF9E8"/>
            </w:tcBorders>
          </w:tcPr>
          <w:p>
            <w:pPr>
              <w:spacing w:after="0"/>
              <w:rPr>
                <w:sz w:val="2"/>
                <w:szCs w:val="2"/>
                <w:color w:val="auto"/>
              </w:rPr>
            </w:pPr>
          </w:p>
        </w:tc>
        <w:tc>
          <w:tcPr>
            <w:tcW w:w="2160" w:type="dxa"/>
            <w:vAlign w:val="bottom"/>
            <w:tcBorders>
              <w:bottom w:val="single" w:sz="8" w:color="EAF9E8"/>
            </w:tcBorders>
          </w:tcPr>
          <w:p>
            <w:pPr>
              <w:spacing w:after="0"/>
              <w:rPr>
                <w:sz w:val="2"/>
                <w:szCs w:val="2"/>
                <w:color w:val="auto"/>
              </w:rPr>
            </w:pPr>
          </w:p>
        </w:tc>
        <w:tc>
          <w:tcPr>
            <w:tcW w:w="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6"/>
                <w:szCs w:val="16"/>
                <w:color w:val="auto"/>
              </w:rPr>
              <w:t>Transfers in and / or out of Level 3</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640" w:type="dxa"/>
            <w:vAlign w:val="bottom"/>
            <w:gridSpan w:val="3"/>
          </w:tcPr>
          <w:p>
            <w:pPr>
              <w:ind w:left="4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3,565,716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(3,433,781)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8,342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(477,707)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1,836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679,256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747" w:right="239" w:bottom="1440" w:gutter="0" w:footer="0" w:header="0"/>
          <w:type w:val="continuous"/>
        </w:sectPr>
      </w:pPr>
    </w:p>
    <w:bookmarkStart w:id="131" w:name="page132"/>
    <w:bookmarkEnd w:id="131"/>
    <w:p>
      <w:pPr>
        <w:ind w:left="500" w:right="140" w:hanging="492"/>
        <w:spacing w:after="0" w:line="272" w:lineRule="auto"/>
        <w:tabs>
          <w:tab w:leader="none" w:pos="5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On January 18, 2018, Ocwen received a lump-sum payment of $279.6 million in accordance with terms of the agreements with NRZ. A $16.6 million reduction in the fair value of the Financing Liability - MSRs Pledged was recognized in connection with the receipt of the lump-sum payment. See Note 9 — Rights to MSRs.</w:t>
      </w:r>
    </w:p>
    <w:p>
      <w:pPr>
        <w:spacing w:after="0" w:line="1" w:lineRule="exact"/>
        <w:rPr>
          <w:rFonts w:ascii="Arial" w:cs="Arial" w:eastAsia="Arial" w:hAnsi="Arial"/>
          <w:sz w:val="15"/>
          <w:szCs w:val="15"/>
          <w:color w:val="auto"/>
        </w:rPr>
      </w:pPr>
    </w:p>
    <w:p>
      <w:pPr>
        <w:ind w:left="500" w:right="20" w:hanging="492"/>
        <w:spacing w:after="0" w:line="263" w:lineRule="auto"/>
        <w:tabs>
          <w:tab w:leader="none" w:pos="5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On September 1, 2017, Ocwen transferred MSRs with UPB of $15.9 billion to NRZ and received a lump-sum payment of $54.6 million. A reduction in the fair value of the Financing Liability - MSRs Pledged of $37.6 million was recognized at the time of the initial transfer of the MSRs. See Note 9 — Rights to MSRs.</w:t>
      </w:r>
    </w:p>
    <w:p>
      <w:pPr>
        <w:ind w:left="500" w:hanging="492"/>
        <w:spacing w:after="0" w:line="252"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Total gains (losses) attributable to derivative financial instruments still held at December 31, 2018 and 2017 and 2016 were $(1.1) million, $0.1 million and $0.3 million for 2018, 2017 and 2016, respectively. Total losses for 2018, 2017 and 2016 attributable to MSRs still held at December 31, 2018, 2017 and 2016 were $153.5 million, $4.5 million and $78.3 million, respectively.</w:t>
      </w:r>
    </w:p>
    <w:p>
      <w:pPr>
        <w:spacing w:after="0" w:line="77"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measure these loans at fair value based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44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9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3.0 to 7.6</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4.4 to 8.1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6.8% to 38.4%</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 to 51.9%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97"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for a third-party broker/dealer and a third-party valuation expert. Significant assumptions used in the valuation include projected monthly payments, projected prepayments and defaults, property liquidation values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understand the processes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Mortgage prepayment speeds</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Delinquency rates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sale, including transactions where we have executed letters of intent, in which case the fair value of the MSRs is disclosed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6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20" w:type="dxa"/>
            <w:vAlign w:val="bottom"/>
          </w:tcPr>
          <w:p>
            <w:pPr>
              <w:spacing w:after="0"/>
              <w:rPr>
                <w:sz w:val="20"/>
                <w:szCs w:val="20"/>
                <w:color w:val="auto"/>
              </w:rPr>
            </w:pPr>
          </w:p>
        </w:tc>
        <w:tc>
          <w:tcPr>
            <w:tcW w:w="1620" w:type="dxa"/>
            <w:vAlign w:val="bottom"/>
            <w:gridSpan w:val="3"/>
          </w:tcPr>
          <w:p>
            <w:pPr>
              <w:ind w:left="1200"/>
              <w:spacing w:after="0"/>
              <w:rPr>
                <w:sz w:val="20"/>
                <w:szCs w:val="20"/>
                <w:color w:val="auto"/>
              </w:rPr>
            </w:pPr>
            <w:r>
              <w:rPr>
                <w:rFonts w:ascii="Arial" w:cs="Arial" w:eastAsia="Arial" w:hAnsi="Arial"/>
                <w:sz w:val="18"/>
                <w:szCs w:val="18"/>
                <w:b w:val="1"/>
                <w:bCs w:val="1"/>
                <w:color w:val="auto"/>
                <w:w w:val="99"/>
              </w:rPr>
              <w:t>2018</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20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Non-Agency</w:t>
            </w:r>
          </w:p>
        </w:tc>
        <w:tc>
          <w:tcPr>
            <w:tcW w:w="5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Agency</w:t>
            </w:r>
          </w:p>
        </w:tc>
        <w:tc>
          <w:tcPr>
            <w:tcW w:w="20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45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5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5-yr swap plus</w:t>
            </w:r>
          </w:p>
        </w:tc>
        <w:tc>
          <w:tcPr>
            <w:tcW w:w="5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4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5-yr swap plus</w:t>
            </w:r>
          </w:p>
        </w:tc>
      </w:tr>
      <w:tr>
        <w:trPr>
          <w:trHeight w:val="237"/>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2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5-year swap</w:t>
            </w:r>
          </w:p>
        </w:tc>
        <w:tc>
          <w:tcPr>
            <w:tcW w:w="20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ind w:left="60"/>
              <w:spacing w:after="0"/>
              <w:rPr>
                <w:sz w:val="20"/>
                <w:szCs w:val="20"/>
                <w:color w:val="auto"/>
              </w:rPr>
            </w:pPr>
            <w:r>
              <w:rPr>
                <w:rFonts w:ascii="Arial" w:cs="Arial" w:eastAsia="Arial" w:hAnsi="Arial"/>
                <w:sz w:val="18"/>
                <w:szCs w:val="18"/>
                <w:color w:val="auto"/>
              </w:rPr>
              <w:t>5-year swap</w:t>
            </w:r>
          </w:p>
        </w:tc>
        <w:tc>
          <w:tcPr>
            <w:tcW w:w="20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r>
      <w:tr>
        <w:trPr>
          <w:trHeight w:val="229"/>
        </w:trPr>
        <w:tc>
          <w:tcPr>
            <w:tcW w:w="4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5-yr swap minus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w w:val="94"/>
              </w:rPr>
              <w:t>5-yr swap minus</w:t>
            </w: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2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5-year swap</w:t>
            </w:r>
          </w:p>
        </w:tc>
        <w:tc>
          <w:tcPr>
            <w:tcW w:w="20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5-year swap</w:t>
            </w:r>
          </w:p>
        </w:tc>
        <w:tc>
          <w:tcPr>
            <w:tcW w:w="20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305</w:t>
            </w:r>
          </w:p>
        </w:tc>
      </w:tr>
      <w:tr>
        <w:trPr>
          <w:trHeight w:val="486"/>
        </w:trPr>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ind w:left="700"/>
              <w:spacing w:after="0"/>
              <w:rPr>
                <w:sz w:val="20"/>
                <w:szCs w:val="20"/>
                <w:color w:val="auto"/>
              </w:rPr>
            </w:pPr>
            <w:r>
              <w:rPr>
                <w:rFonts w:ascii="Arial" w:cs="Arial" w:eastAsia="Arial" w:hAnsi="Arial"/>
                <w:sz w:val="18"/>
                <w:szCs w:val="18"/>
                <w:color w:val="auto"/>
              </w:rPr>
              <w:t>F-30</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3" w:name="page134"/>
    <w:bookmarkEnd w:id="133"/>
    <w:p>
      <w:pPr>
        <w:ind w:left="500" w:right="20" w:hanging="492"/>
        <w:spacing w:after="0" w:line="275"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Valuation assumptions for Agency MSRs at December 31, 2018 include assumptions for MSRs we carried at amortized cost at December 31, 2017. Effective January 1, 2018, we elected fair value accounting for our remaining MSRs that we had previously carried at amortized cost.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Prior to our fair value election on January 1, 2018 for our remaining portfolio of MSRs carried at amortized cost, we estimated the fair value using a process that involved either actual sale prices obtained or the use of independent third-party valuation experts, supported by commercially available discounted cash flow models and analysis of current market data. To provide greater price transparency to investors, we disclosed actual Ocwen sale prices for orderly transactions where available in lieu of third-party valuations.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9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9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9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108</w:t>
            </w:r>
          </w:p>
        </w:tc>
      </w:tr>
    </w:tbl>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performed an impairment analysis based on the difference between the carrying amount and fair value after grouping the underlying loans into the applicable strata, which we defined as conventional and government-insured.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Dealer Financing Notes</w:t>
      </w:r>
    </w:p>
    <w:p>
      <w:pPr>
        <w:spacing w:after="0" w:line="121"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We estimate the fair value of our automotive dealer financing notes using unobservable inputs within an internally developed cash flow model. Key inputs included projected repayments, interest and fee receipts, deferrals, delinquencies, recoveries and charge-offs of the notes within the portfolio. The projected cash flows are then discounted at a rate commensurate with the risk of the estimated cash flows to derive the fair value of the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976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life in months</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Average note rate</w:t>
            </w:r>
          </w:p>
        </w:tc>
        <w:tc>
          <w:tcPr>
            <w:tcW w:w="1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97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Loan loss rate</w:t>
            </w:r>
          </w:p>
        </w:tc>
        <w:tc>
          <w:tcPr>
            <w:tcW w:w="166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consolidated statements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97"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classify U.S. Treasury notes as trading securities and account for them at fair value on a recurring basis. We base the fair value on quoted prices in active markets to which we have access. Changes in the fair value of our investment in U.S. Treasury notes are recognized in Other, net in the consolidated statements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44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9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3.0 to 7.6</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4.4 to 8.1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6.8% to 38.4%</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 to 51.9%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 (Rights to MSRs)</w:t>
      </w:r>
    </w:p>
    <w:p>
      <w:pPr>
        <w:spacing w:after="0" w:line="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elected to measure these borrowings at fair value. We recognize the proceeds received in connection with Rights to MSRs transactions as a secured borrowing that we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Because we carry all MSRs at fair value, changes in the Financing Liability - MSRs Pledged value are partially offset by changes in the fair value of the related MSRs. See Note 9 — Rights to MSRs for additional information.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688"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20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9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2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9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w w:val="92"/>
              </w:rPr>
              <w:t>5-year swap plus</w:t>
            </w:r>
          </w:p>
        </w:tc>
        <w:tc>
          <w:tcPr>
            <w:tcW w:w="180" w:type="dxa"/>
            <w:vAlign w:val="bottom"/>
            <w:shd w:val="clear" w:color="auto" w:fill="EAF9E8"/>
          </w:tcPr>
          <w:p>
            <w:pPr>
              <w:spacing w:after="0"/>
              <w:rPr>
                <w:sz w:val="19"/>
                <w:szCs w:val="19"/>
                <w:color w:val="auto"/>
              </w:rPr>
            </w:pPr>
          </w:p>
        </w:tc>
        <w:tc>
          <w:tcPr>
            <w:tcW w:w="14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4"/>
              </w:rPr>
              <w:t>5-year swap plus</w:t>
            </w:r>
          </w:p>
        </w:tc>
      </w:tr>
      <w:tr>
        <w:trPr>
          <w:trHeight w:val="237"/>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200" w:type="dxa"/>
            <w:vAlign w:val="bottom"/>
            <w:tcBorders>
              <w:bottom w:val="single" w:sz="8" w:color="EAF9E8"/>
            </w:tcBorders>
            <w:shd w:val="clear" w:color="auto" w:fill="EAF9E8"/>
          </w:tcPr>
          <w:p>
            <w:pPr>
              <w:spacing w:after="0"/>
              <w:rPr>
                <w:sz w:val="20"/>
                <w:szCs w:val="20"/>
                <w:color w:val="auto"/>
              </w:rPr>
            </w:pPr>
          </w:p>
        </w:tc>
        <w:tc>
          <w:tcPr>
            <w:tcW w:w="15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0% to 2.75%</w:t>
            </w:r>
          </w:p>
        </w:tc>
        <w:tc>
          <w:tcPr>
            <w:tcW w:w="18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r>
      <w:tr>
        <w:trPr>
          <w:trHeight w:val="229"/>
        </w:trPr>
        <w:tc>
          <w:tcPr>
            <w:tcW w:w="7980" w:type="dxa"/>
            <w:vAlign w:val="bottom"/>
          </w:tcPr>
          <w:p>
            <w:pPr>
              <w:spacing w:after="0"/>
              <w:rPr>
                <w:sz w:val="19"/>
                <w:szCs w:val="19"/>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5-year swap minus</w:t>
            </w:r>
          </w:p>
        </w:tc>
        <w:tc>
          <w:tcPr>
            <w:tcW w:w="1660" w:type="dxa"/>
            <w:vAlign w:val="bottom"/>
            <w:gridSpan w:val="2"/>
          </w:tcPr>
          <w:p>
            <w:pPr>
              <w:jc w:val="right"/>
              <w:ind w:right="90"/>
              <w:spacing w:after="0"/>
              <w:rPr>
                <w:sz w:val="20"/>
                <w:szCs w:val="20"/>
                <w:color w:val="auto"/>
              </w:rPr>
            </w:pPr>
            <w:r>
              <w:rPr>
                <w:rFonts w:ascii="Arial" w:cs="Arial" w:eastAsia="Arial" w:hAnsi="Arial"/>
                <w:sz w:val="18"/>
                <w:szCs w:val="18"/>
                <w:color w:val="auto"/>
                <w:w w:val="96"/>
              </w:rPr>
              <w:t>5-year swap minus</w:t>
            </w: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20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0% to 0.50%</w:t>
            </w:r>
          </w:p>
        </w:tc>
        <w:tc>
          <w:tcPr>
            <w:tcW w:w="18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311</w:t>
            </w:r>
          </w:p>
        </w:tc>
      </w:tr>
    </w:tbl>
    <w:p>
      <w:pPr>
        <w:spacing w:after="0" w:line="121" w:lineRule="exact"/>
        <w:rPr>
          <w:sz w:val="20"/>
          <w:szCs w:val="20"/>
          <w:color w:val="auto"/>
        </w:rPr>
      </w:pPr>
    </w:p>
    <w:p>
      <w:pPr>
        <w:ind w:right="216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Liability – Owed to Securitization Investors</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disclosed in Note 3 — Securitizations and Variable Interest Entities.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Senior Secured Term Loan (SSTL), we based the fair value on quoted prices in a market with limited trading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3ML, respectively) interest rates. The fair value for interest rate caps is based on counterparty market prices and adjusted for counterparty credit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742"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5 — Loans Held for Sale</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5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24"/>
                <w:szCs w:val="24"/>
                <w:color w:val="auto"/>
              </w:rPr>
            </w:pP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Loans Held for Sale - Fair Value</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500" w:type="dxa"/>
            <w:vAlign w:val="bottom"/>
          </w:tcPr>
          <w:p>
            <w:pPr>
              <w:spacing w:after="0"/>
              <w:rPr>
                <w:sz w:val="2"/>
                <w:szCs w:val="2"/>
                <w:color w:val="auto"/>
              </w:rPr>
            </w:pPr>
          </w:p>
        </w:tc>
        <w:tc>
          <w:tcPr>
            <w:tcW w:w="6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944,627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2,678,372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4,211,871</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(1,019,211)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(2,785,422)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(4,236,158)</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(11,620)</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Acquired in connection with the acquisition of PHH</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42,324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Transfers from (to):</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Loans held for investment,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spacing w:after="0"/>
              <w:rPr>
                <w:sz w:val="21"/>
                <w:szCs w:val="21"/>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Loans held for sale - Lower of cost or fair value</w:t>
            </w: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3,266</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Receivables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0" w:type="dxa"/>
            <w:vAlign w:val="bottom"/>
          </w:tcPr>
          <w:p>
            <w:pPr>
              <w:spacing w:after="0"/>
              <w:rPr>
                <w:sz w:val="21"/>
                <w:szCs w:val="21"/>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Real estate owned (Other assets)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34,724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35,429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13,421</w:t>
            </w:r>
          </w:p>
        </w:tc>
      </w:tr>
      <w:tr>
        <w:trPr>
          <w:trHeight w:val="243"/>
        </w:trPr>
        <w:tc>
          <w:tcPr>
            <w:tcW w:w="500" w:type="dxa"/>
            <w:vAlign w:val="bottom"/>
          </w:tcPr>
          <w:p>
            <w:pPr>
              <w:spacing w:after="0"/>
              <w:rPr>
                <w:sz w:val="21"/>
                <w:szCs w:val="21"/>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Increase (decrease) in fair value of loans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(7,030)</w:t>
            </w:r>
          </w:p>
        </w:tc>
      </w:tr>
      <w:tr>
        <w:trPr>
          <w:trHeight w:val="27"/>
        </w:trPr>
        <w:tc>
          <w:tcPr>
            <w:tcW w:w="5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0" w:type="dxa"/>
            <w:vAlign w:val="bottom"/>
          </w:tcPr>
          <w:p>
            <w:pPr>
              <w:spacing w:after="0"/>
              <w:rPr>
                <w:sz w:val="23"/>
                <w:szCs w:val="23"/>
                <w:color w:val="auto"/>
              </w:rPr>
            </w:pPr>
          </w:p>
        </w:tc>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1,828</w:t>
            </w:r>
          </w:p>
        </w:tc>
      </w:tr>
      <w:tr>
        <w:trPr>
          <w:trHeight w:val="257"/>
        </w:trPr>
        <w:tc>
          <w:tcPr>
            <w:tcW w:w="500" w:type="dxa"/>
            <w:vAlign w:val="bottom"/>
          </w:tcPr>
          <w:p>
            <w:pPr>
              <w:spacing w:after="0"/>
              <w:rPr>
                <w:sz w:val="22"/>
                <w:szCs w:val="22"/>
                <w:color w:val="auto"/>
              </w:rPr>
            </w:pP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176,525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214,262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284,632</w:t>
            </w:r>
          </w:p>
        </w:tc>
      </w:tr>
      <w:tr>
        <w:trPr>
          <w:trHeight w:val="20"/>
        </w:trPr>
        <w:tc>
          <w:tcPr>
            <w:tcW w:w="5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December 31, 2018, 2017 and 2016, the balances include $(7.2) million, $5.0 million and $4.9 million, respectively, of fair value adjustments.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29,374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770,563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1,016,791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1,878,561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(569,718)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(861,569)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(1,699,427)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(22,607)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(to):</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(155,586)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(171,797)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(256,336)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 estate owned (Other assets)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(7,675)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Loans held for sale - Fair value</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24,565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(Increase) decrease in valuation allowance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4,594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15,102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7,950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5,973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 (1)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66,097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29,374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56"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At December 31, 2018, 2017 and 2016, the balances include $51.8 million, $19.6 million and $24.8 million,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797" w:right="239" w:bottom="1440" w:gutter="0" w:footer="0" w:header="0"/>
        </w:sectPr>
      </w:pPr>
    </w:p>
    <w:bookmarkStart w:id="137" w:name="page138"/>
    <w:bookmarkEnd w:id="137"/>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Valuation Allowance - Loans Held for Sale at Lower of Cost or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Beginning balance</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Transfer from Liability for indemnification obligations (Other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Sales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Gains on Loans Held for Sale,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Gain on sales of loans,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MSRs retained on transfers of forward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gains related to transfers of reverse mortgage loans,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on sale of repurchased Ginnie Mae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fair value of IRLCs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fair value of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on economic hedge instruments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and 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Taxes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Foreclosures, bankruptcy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 for losses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net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Beginning balance</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 connection with the acquisition of PHH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Transfers to match funded advances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Collections, charge-offs and other,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(increase) decrease in allowance for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Ending balance</w:t>
      </w:r>
    </w:p>
    <w:p>
      <w:pPr>
        <w:spacing w:after="0" w:line="31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7,318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10,064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14,658</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3,599</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2,368</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(10,208)</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7,318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10,064</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36,049</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45,020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50,194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24,742</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24,565</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29,603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7,952</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85,694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114,247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93,308</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4,595</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(6,592)</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77,743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103,402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90,391</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379"/>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34290</wp:posOffset>
            </wp:positionV>
            <wp:extent cx="1955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2180"/>
        <w:spacing w:after="0"/>
        <w:tabs>
          <w:tab w:leader="none" w:pos="37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81" w:lineRule="exact"/>
        <w:rPr>
          <w:sz w:val="20"/>
          <w:szCs w:val="20"/>
          <w:color w:val="auto"/>
        </w:rPr>
      </w:pPr>
    </w:p>
    <w:p>
      <w:pPr>
        <w:ind w:left="1620"/>
        <w:spacing w:after="0"/>
        <w:tabs>
          <w:tab w:leader="none" w:pos="2480" w:val="left"/>
          <w:tab w:leader="none" w:pos="3220" w:val="left"/>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43,671</w:t>
        <w:tab/>
        <w:t>$</w:t>
      </w:r>
      <w:r>
        <w:rPr>
          <w:sz w:val="20"/>
          <w:szCs w:val="20"/>
          <w:color w:val="auto"/>
        </w:rPr>
        <w:tab/>
      </w:r>
      <w:r>
        <w:rPr>
          <w:rFonts w:ascii="Arial" w:cs="Arial" w:eastAsia="Arial" w:hAnsi="Arial"/>
          <w:sz w:val="16"/>
          <w:szCs w:val="16"/>
          <w:color w:val="auto"/>
        </w:rPr>
        <w:t>20,207</w:t>
      </w:r>
    </w:p>
    <w:p>
      <w:pPr>
        <w:spacing w:after="0" w:line="63" w:lineRule="exact"/>
        <w:rPr>
          <w:sz w:val="20"/>
          <w:szCs w:val="20"/>
          <w:color w:val="auto"/>
        </w:rPr>
      </w:pPr>
    </w:p>
    <w:p>
      <w:pPr>
        <w:ind w:left="2400"/>
        <w:spacing w:after="0"/>
        <w:tabs>
          <w:tab w:leader="none" w:pos="3960" w:val="left"/>
        </w:tabs>
        <w:rPr>
          <w:sz w:val="20"/>
          <w:szCs w:val="20"/>
          <w:color w:val="auto"/>
        </w:rPr>
      </w:pPr>
      <w:r>
        <w:rPr>
          <w:rFonts w:ascii="Arial" w:cs="Arial" w:eastAsia="Arial" w:hAnsi="Arial"/>
          <w:sz w:val="18"/>
          <w:szCs w:val="18"/>
          <w:color w:val="auto"/>
        </w:rPr>
        <w:t>160,373</w:t>
      </w:r>
      <w:r>
        <w:rPr>
          <w:sz w:val="20"/>
          <w:szCs w:val="20"/>
          <w:color w:val="auto"/>
        </w:rPr>
        <w:tab/>
      </w:r>
      <w:r>
        <w:rPr>
          <w:rFonts w:ascii="Arial" w:cs="Arial" w:eastAsia="Arial" w:hAnsi="Arial"/>
          <w:sz w:val="18"/>
          <w:szCs w:val="18"/>
          <w:color w:val="auto"/>
        </w:rPr>
        <w:t>144,454</w:t>
      </w:r>
    </w:p>
    <w:p>
      <w:pPr>
        <w:spacing w:after="0" w:line="63" w:lineRule="exact"/>
        <w:rPr>
          <w:sz w:val="20"/>
          <w:szCs w:val="20"/>
          <w:color w:val="auto"/>
        </w:rPr>
      </w:pPr>
    </w:p>
    <w:p>
      <w:pPr>
        <w:ind w:left="2500"/>
        <w:spacing w:after="0"/>
        <w:tabs>
          <w:tab w:leader="none" w:pos="4060" w:val="left"/>
        </w:tabs>
        <w:rPr>
          <w:sz w:val="20"/>
          <w:szCs w:val="20"/>
          <w:color w:val="auto"/>
        </w:rPr>
      </w:pPr>
      <w:r>
        <w:rPr>
          <w:rFonts w:ascii="Arial" w:cs="Arial" w:eastAsia="Arial" w:hAnsi="Arial"/>
          <w:sz w:val="18"/>
          <w:szCs w:val="18"/>
          <w:color w:val="auto"/>
        </w:rPr>
        <w:t>68,597</w:t>
      </w:r>
      <w:r>
        <w:rPr>
          <w:sz w:val="20"/>
          <w:szCs w:val="20"/>
          <w:color w:val="auto"/>
        </w:rPr>
        <w:tab/>
      </w:r>
      <w:r>
        <w:rPr>
          <w:rFonts w:ascii="Arial" w:cs="Arial" w:eastAsia="Arial" w:hAnsi="Arial"/>
          <w:sz w:val="18"/>
          <w:szCs w:val="18"/>
          <w:color w:val="auto"/>
        </w:rPr>
        <w:t>63,597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31750</wp:posOffset>
            </wp:positionV>
            <wp:extent cx="1955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2400"/>
        <w:spacing w:after="0"/>
        <w:tabs>
          <w:tab w:leader="none" w:pos="3960" w:val="left"/>
        </w:tabs>
        <w:rPr>
          <w:sz w:val="20"/>
          <w:szCs w:val="20"/>
          <w:color w:val="auto"/>
        </w:rPr>
      </w:pPr>
      <w:r>
        <w:rPr>
          <w:rFonts w:ascii="Arial" w:cs="Arial" w:eastAsia="Arial" w:hAnsi="Arial"/>
          <w:sz w:val="18"/>
          <w:szCs w:val="18"/>
          <w:color w:val="auto"/>
        </w:rPr>
        <w:t>272,641</w:t>
      </w:r>
      <w:r>
        <w:rPr>
          <w:sz w:val="20"/>
          <w:szCs w:val="20"/>
          <w:color w:val="auto"/>
        </w:rPr>
        <w:tab/>
      </w:r>
      <w:r>
        <w:rPr>
          <w:rFonts w:ascii="Arial" w:cs="Arial" w:eastAsia="Arial" w:hAnsi="Arial"/>
          <w:sz w:val="18"/>
          <w:szCs w:val="18"/>
          <w:color w:val="auto"/>
        </w:rPr>
        <w:t>228,258</w:t>
      </w:r>
    </w:p>
    <w:p>
      <w:pPr>
        <w:spacing w:after="0" w:line="63" w:lineRule="exact"/>
        <w:rPr>
          <w:sz w:val="20"/>
          <w:szCs w:val="20"/>
          <w:color w:val="auto"/>
        </w:rPr>
      </w:pPr>
    </w:p>
    <w:p>
      <w:pPr>
        <w:ind w:left="2440"/>
        <w:spacing w:after="0"/>
        <w:tabs>
          <w:tab w:leader="none" w:pos="4000" w:val="left"/>
        </w:tabs>
        <w:rPr>
          <w:sz w:val="20"/>
          <w:szCs w:val="20"/>
          <w:color w:val="auto"/>
        </w:rPr>
      </w:pPr>
      <w:r>
        <w:rPr>
          <w:rFonts w:ascii="Arial" w:cs="Arial" w:eastAsia="Arial" w:hAnsi="Arial"/>
          <w:sz w:val="17"/>
          <w:szCs w:val="17"/>
          <w:color w:val="auto"/>
        </w:rPr>
        <w:t>(23,259)</w:t>
      </w:r>
      <w:r>
        <w:rPr>
          <w:sz w:val="20"/>
          <w:szCs w:val="20"/>
          <w:color w:val="auto"/>
        </w:rPr>
        <w:tab/>
      </w:r>
      <w:r>
        <w:rPr>
          <w:rFonts w:ascii="Arial" w:cs="Arial" w:eastAsia="Arial" w:hAnsi="Arial"/>
          <w:sz w:val="17"/>
          <w:szCs w:val="17"/>
          <w:color w:val="auto"/>
        </w:rPr>
        <w:t>(16,465)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39370</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8" w:lineRule="exact"/>
        <w:rPr>
          <w:sz w:val="20"/>
          <w:szCs w:val="20"/>
          <w:color w:val="auto"/>
        </w:rPr>
      </w:pPr>
    </w:p>
    <w:p>
      <w:pPr>
        <w:ind w:left="1620"/>
        <w:spacing w:after="0"/>
        <w:tabs>
          <w:tab w:leader="none" w:pos="2380" w:val="left"/>
          <w:tab w:leader="none" w:pos="3220" w:val="left"/>
          <w:tab w:leader="none" w:pos="3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249,382</w:t>
        <w:tab/>
        <w:t>$</w:t>
      </w:r>
      <w:r>
        <w:rPr>
          <w:sz w:val="20"/>
          <w:szCs w:val="20"/>
          <w:color w:val="auto"/>
        </w:rPr>
        <w:tab/>
      </w:r>
      <w:r>
        <w:rPr>
          <w:rFonts w:ascii="Arial" w:cs="Arial" w:eastAsia="Arial" w:hAnsi="Arial"/>
          <w:sz w:val="16"/>
          <w:szCs w:val="16"/>
          <w:color w:val="auto"/>
        </w:rPr>
        <w:t>211,793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31750</wp:posOffset>
            </wp:positionV>
            <wp:extent cx="19551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4">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211,793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257,882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444,298</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96,163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(24,631)</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51,924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(165,734)</w:t>
            </w:r>
          </w:p>
        </w:tc>
      </w:tr>
      <w:tr>
        <w:trPr>
          <w:trHeight w:val="270"/>
        </w:trPr>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3,949</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249,382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211,793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257,882</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020" w:space="720"/>
            <w:col w:w="4680"/>
          </w:cols>
          <w:pgMar w:left="240" w:top="742" w:right="239" w:bottom="1440" w:gutter="0" w:footer="0" w:header="0"/>
        </w:sectPr>
      </w:pPr>
    </w:p>
    <w:bookmarkStart w:id="138" w:name="page139"/>
    <w:bookmarkEnd w:id="138"/>
    <w:p>
      <w:pPr>
        <w:ind w:left="500" w:right="180" w:hanging="492"/>
        <w:spacing w:after="0" w:line="275"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Servicing advances sold primarily in connection with sales of MSRs which met the requirements for sale accounting and which were derecognized from our financial statements at the time of the sale.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Allowance for Losses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16,465</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37,952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41,901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charge-offs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1,062</w:t>
            </w: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(42,916)</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23,259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16,465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37,952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Note 7 — Match Funded Assets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412,897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523,248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374,853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439,857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Foreclosures, bankruptcy, real estate and other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149,544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181,495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937,294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1,144,600</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Automotive dealer financing notes (1)</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Allowance for losses (1)</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32,757</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937,294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1,177,357</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220" w:hanging="492"/>
        <w:spacing w:after="0" w:line="275"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January 2018, we terminated our automotive dealer loan financing facility. Automotive dealer financing notes not pledged to our automotive dealer loan financing facility are reported as Other assets. See Note 12 — Other Assets.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match funded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4"/>
              </w:rPr>
              <w:t>2018</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Automotive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Automotive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Dealer Financing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Dealer Financing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Advances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Notes</w:t>
            </w: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Advances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Notes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Advances</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1,144,600</w:t>
            </w:r>
          </w:p>
        </w:tc>
        <w:tc>
          <w:tcPr>
            <w:tcW w:w="460" w:type="dxa"/>
            <w:vAlign w:val="bottom"/>
            <w:tcBorders>
              <w:bottom w:val="single" w:sz="8" w:color="EAF9E8"/>
            </w:tcBorders>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32,757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1,451,964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Transfers from advances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(to) from other assets</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(36,896)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25,180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(8,923)</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advances (collections), net</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(278,929)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(306,673)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(245,881)</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w w:val="95"/>
              </w:rPr>
              <w:t>Decrease (increase) in allowance for losses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937,294</w:t>
            </w:r>
          </w:p>
        </w:tc>
        <w:tc>
          <w:tcPr>
            <w:tcW w:w="46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1,144,600</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32,757</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1,451,964</w:t>
            </w:r>
          </w:p>
        </w:tc>
      </w:tr>
      <w:tr>
        <w:trPr>
          <w:trHeight w:val="20"/>
        </w:trPr>
        <w:tc>
          <w:tcPr>
            <w:tcW w:w="354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F-36</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Note 8 — Mortgage Servicing</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Mortgage Servicing Rights – Amortization Method</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336,882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363,722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377,379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Fair value election - transfer to MSRs carried at fair value (1)</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(361,670)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17,356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37,230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(24,788)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385,304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407,513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Decrease (increase) in impairment valuation allowance (1) (2)</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(10,813)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(1)</w:t>
            </w: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(51,788)</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(32,978)</w:t>
            </w:r>
          </w:p>
        </w:tc>
      </w:tr>
      <w:tr>
        <w:trPr>
          <w:trHeight w:val="297"/>
        </w:trPr>
        <w:tc>
          <w:tcPr>
            <w:tcW w:w="70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336,882</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363,722</w:t>
            </w:r>
          </w:p>
        </w:tc>
      </w:tr>
      <w:tr>
        <w:trPr>
          <w:trHeight w:val="217"/>
        </w:trPr>
        <w:tc>
          <w:tcPr>
            <w:tcW w:w="70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418,745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467,911</w:t>
            </w: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60" w:hanging="492"/>
        <w:spacing w:after="0" w:line="285" w:lineRule="auto"/>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We also recognized the tax effect of this adjustment through an increase in retained earnings of $6.8 million and a deferred tax asset for the same amount. However, we established a full valuation allowance on the resulting deferred tax asset through a reduction in retained earnings. The government-insured MSRs were impaired by $24.8 million at December 31, 2017; therefore, these MSRs were already effectively carried at fair value.</w:t>
      </w:r>
    </w:p>
    <w:p>
      <w:pPr>
        <w:spacing w:after="0" w:line="1" w:lineRule="exact"/>
        <w:rPr>
          <w:rFonts w:ascii="Arial" w:cs="Arial" w:eastAsia="Arial" w:hAnsi="Arial"/>
          <w:sz w:val="14"/>
          <w:szCs w:val="14"/>
          <w:color w:val="auto"/>
        </w:rPr>
      </w:pPr>
    </w:p>
    <w:p>
      <w:pPr>
        <w:jc w:val="both"/>
        <w:ind w:left="500" w:right="60" w:hanging="492"/>
        <w:spacing w:after="0" w:line="252"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Impairment of MSRs is recognized in MSR valuation adjustments, net in the consolidated statements of operations for 2017 and 2016. Impairment valuation allowance balance of $24.8 million was reclassified to reduce the carrying value of the related MSRs on January 1, 2018 in connection with our fair value election. See Note 4 — Fair Value for additional information regarding impairment and the valuation allowance.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580"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3"/>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Mortgage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w w:val="98"/>
              </w:rPr>
              <w:t>Servicing Rights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3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Fair Value</w:t>
            </w: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Measurement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Method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Agency</w:t>
            </w: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Non-Agency</w:t>
            </w:r>
          </w:p>
        </w:tc>
        <w:tc>
          <w:tcPr>
            <w:tcW w:w="20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Agency</w:t>
            </w: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Non-Agency</w:t>
            </w:r>
          </w:p>
        </w:tc>
        <w:tc>
          <w:tcPr>
            <w:tcW w:w="3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Agency</w:t>
            </w: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Non-Agency</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3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Beginning</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11,960</w:t>
            </w: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660,002</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671,962</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13,357</w:t>
            </w:r>
          </w:p>
        </w:tc>
        <w:tc>
          <w:tcPr>
            <w:tcW w:w="1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665,899</w:t>
            </w:r>
          </w:p>
        </w:tc>
        <w:tc>
          <w:tcPr>
            <w:tcW w:w="10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679,256</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15,071</w:t>
            </w:r>
          </w:p>
        </w:tc>
        <w:tc>
          <w:tcPr>
            <w:tcW w:w="1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746,119</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761,190</w:t>
            </w:r>
          </w:p>
        </w:tc>
        <w:tc>
          <w:tcPr>
            <w:tcW w:w="0" w:type="dxa"/>
            <w:vAlign w:val="bottom"/>
          </w:tcPr>
          <w:p>
            <w:pPr>
              <w:spacing w:after="0"/>
              <w:rPr>
                <w:sz w:val="1"/>
                <w:szCs w:val="1"/>
                <w:color w:val="auto"/>
              </w:rPr>
            </w:pPr>
          </w:p>
        </w:tc>
      </w:tr>
      <w:tr>
        <w:trPr>
          <w:trHeight w:val="220"/>
        </w:trPr>
        <w:tc>
          <w:tcPr>
            <w:tcW w:w="1300" w:type="dxa"/>
            <w:vAlign w:val="bottom"/>
          </w:tcPr>
          <w:p>
            <w:pPr>
              <w:ind w:left="180"/>
              <w:spacing w:after="0"/>
              <w:rPr>
                <w:sz w:val="20"/>
                <w:szCs w:val="20"/>
                <w:color w:val="auto"/>
              </w:rPr>
            </w:pPr>
            <w:r>
              <w:rPr>
                <w:rFonts w:ascii="Arial" w:cs="Arial" w:eastAsia="Arial" w:hAnsi="Arial"/>
                <w:sz w:val="16"/>
                <w:szCs w:val="16"/>
                <w:color w:val="auto"/>
              </w:rPr>
              <w:t>Fair value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rPr>
              <w:t>election -</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rPr>
              <w:t>transfer from</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w w:val="96"/>
              </w:rPr>
              <w:t>MSRs carried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340"/>
              <w:spacing w:after="0"/>
              <w:rPr>
                <w:sz w:val="20"/>
                <w:szCs w:val="20"/>
                <w:color w:val="auto"/>
              </w:rPr>
            </w:pPr>
            <w:r>
              <w:rPr>
                <w:rFonts w:ascii="Arial" w:cs="Arial" w:eastAsia="Arial" w:hAnsi="Arial"/>
                <w:sz w:val="16"/>
                <w:szCs w:val="16"/>
                <w:color w:val="auto"/>
              </w:rPr>
              <w:t>at amortized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ind w:left="340"/>
              <w:spacing w:after="0"/>
              <w:rPr>
                <w:sz w:val="20"/>
                <w:szCs w:val="20"/>
                <w:color w:val="auto"/>
              </w:rPr>
            </w:pPr>
            <w:r>
              <w:rPr>
                <w:rFonts w:ascii="Arial" w:cs="Arial" w:eastAsia="Arial" w:hAnsi="Arial"/>
                <w:sz w:val="16"/>
                <w:szCs w:val="16"/>
                <w:color w:val="auto"/>
              </w:rPr>
              <w:t>cost</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336,882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336,882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0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Cumulative</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340"/>
              <w:spacing w:after="0"/>
              <w:rPr>
                <w:sz w:val="20"/>
                <w:szCs w:val="20"/>
                <w:color w:val="auto"/>
              </w:rPr>
            </w:pPr>
            <w:r>
              <w:rPr>
                <w:rFonts w:ascii="Arial" w:cs="Arial" w:eastAsia="Arial" w:hAnsi="Arial"/>
                <w:sz w:val="16"/>
                <w:szCs w:val="16"/>
                <w:color w:val="auto"/>
              </w:rPr>
              <w:t>effect of fair</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w w:val="96"/>
              </w:rPr>
              <w:t>value election</w:t>
            </w:r>
          </w:p>
        </w:tc>
        <w:tc>
          <w:tcPr>
            <w:tcW w:w="18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82,043</w:t>
            </w: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82,043</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19"/>
                <w:szCs w:val="19"/>
                <w:color w:val="auto"/>
              </w:rPr>
            </w:pPr>
          </w:p>
        </w:tc>
        <w:tc>
          <w:tcPr>
            <w:tcW w:w="8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300" w:type="dxa"/>
            <w:vAlign w:val="bottom"/>
          </w:tcPr>
          <w:p>
            <w:pPr>
              <w:ind w:left="180"/>
              <w:spacing w:after="0"/>
              <w:rPr>
                <w:sz w:val="20"/>
                <w:szCs w:val="20"/>
                <w:color w:val="auto"/>
              </w:rPr>
            </w:pPr>
            <w:r>
              <w:rPr>
                <w:rFonts w:ascii="Arial" w:cs="Arial" w:eastAsia="Arial" w:hAnsi="Arial"/>
                <w:sz w:val="16"/>
                <w:szCs w:val="16"/>
                <w:color w:val="auto"/>
              </w:rPr>
              <w:t>Sales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EAF9E8"/>
            </w:tcBorders>
            <w:shd w:val="clear" w:color="auto" w:fill="EAF9E8"/>
          </w:tcPr>
          <w:p>
            <w:pPr>
              <w:spacing w:after="0"/>
              <w:rPr>
                <w:sz w:val="21"/>
                <w:szCs w:val="21"/>
                <w:color w:val="auto"/>
              </w:rPr>
            </w:pPr>
          </w:p>
        </w:tc>
        <w:tc>
          <w:tcPr>
            <w:tcW w:w="8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300" w:type="dxa"/>
            <w:vAlign w:val="bottom"/>
          </w:tcPr>
          <w:p>
            <w:pPr>
              <w:ind w:left="280"/>
              <w:spacing w:after="0"/>
              <w:rPr>
                <w:sz w:val="20"/>
                <w:szCs w:val="20"/>
                <w:color w:val="auto"/>
              </w:rPr>
            </w:pPr>
            <w:r>
              <w:rPr>
                <w:rFonts w:ascii="Arial" w:cs="Arial" w:eastAsia="Arial" w:hAnsi="Arial"/>
                <w:sz w:val="16"/>
                <w:szCs w:val="16"/>
                <w:color w:val="auto"/>
                <w:w w:val="93"/>
              </w:rPr>
              <w:t>Recognized on</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the sale of</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residential</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mortgage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ind w:left="44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8,279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8,279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00" w:type="dxa"/>
            <w:vAlign w:val="bottom"/>
            <w:shd w:val="clear" w:color="auto" w:fill="EAF9E8"/>
          </w:tcPr>
          <w:p>
            <w:pPr>
              <w:ind w:left="280"/>
              <w:spacing w:after="0"/>
              <w:rPr>
                <w:sz w:val="20"/>
                <w:szCs w:val="20"/>
                <w:color w:val="auto"/>
              </w:rPr>
            </w:pPr>
            <w:r>
              <w:rPr>
                <w:rFonts w:ascii="Arial" w:cs="Arial" w:eastAsia="Arial" w:hAnsi="Arial"/>
                <w:sz w:val="16"/>
                <w:szCs w:val="16"/>
                <w:color w:val="auto"/>
                <w:w w:val="98"/>
              </w:rPr>
              <w:t>Recognized in</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connection</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with the</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acquisition</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rPr>
              <w:t>of PHH</w:t>
            </w:r>
          </w:p>
        </w:tc>
        <w:tc>
          <w:tcPr>
            <w:tcW w:w="18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494,348</w:t>
            </w: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8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23,779</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518,127</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19"/>
                <w:szCs w:val="19"/>
                <w:color w:val="auto"/>
              </w:rPr>
            </w:pPr>
          </w:p>
        </w:tc>
        <w:tc>
          <w:tcPr>
            <w:tcW w:w="8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300" w:type="dxa"/>
            <w:vAlign w:val="bottom"/>
          </w:tcPr>
          <w:p>
            <w:pPr>
              <w:ind w:left="280"/>
              <w:spacing w:after="0"/>
              <w:rPr>
                <w:sz w:val="20"/>
                <w:szCs w:val="20"/>
                <w:color w:val="auto"/>
              </w:rPr>
            </w:pPr>
            <w:r>
              <w:rPr>
                <w:rFonts w:ascii="Arial" w:cs="Arial" w:eastAsia="Arial" w:hAnsi="Arial"/>
                <w:sz w:val="16"/>
                <w:szCs w:val="16"/>
                <w:color w:val="auto"/>
              </w:rPr>
              <w:t>Purchase of</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00" w:type="dxa"/>
            <w:vAlign w:val="bottom"/>
          </w:tcPr>
          <w:p>
            <w:pPr>
              <w:ind w:left="440"/>
              <w:spacing w:after="0"/>
              <w:rPr>
                <w:sz w:val="20"/>
                <w:szCs w:val="20"/>
                <w:color w:val="auto"/>
              </w:rPr>
            </w:pPr>
            <w:r>
              <w:rPr>
                <w:rFonts w:ascii="Arial" w:cs="Arial" w:eastAsia="Arial" w:hAnsi="Arial"/>
                <w:sz w:val="16"/>
                <w:szCs w:val="16"/>
                <w:color w:val="auto"/>
              </w:rPr>
              <w:t>MSRs</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5,433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5,433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00" w:type="dxa"/>
            <w:vAlign w:val="bottom"/>
            <w:shd w:val="clear" w:color="auto" w:fill="EAF9E8"/>
          </w:tcPr>
          <w:p>
            <w:pPr>
              <w:ind w:left="180"/>
              <w:spacing w:after="0"/>
              <w:rPr>
                <w:sz w:val="20"/>
                <w:szCs w:val="20"/>
                <w:color w:val="auto"/>
              </w:rPr>
            </w:pPr>
            <w:r>
              <w:rPr>
                <w:rFonts w:ascii="Arial" w:cs="Arial" w:eastAsia="Arial" w:hAnsi="Arial"/>
                <w:sz w:val="16"/>
                <w:szCs w:val="16"/>
                <w:color w:val="auto"/>
              </w:rPr>
              <w:t>Servicing</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340"/>
              <w:spacing w:after="0"/>
              <w:rPr>
                <w:sz w:val="20"/>
                <w:szCs w:val="20"/>
                <w:color w:val="auto"/>
              </w:rPr>
            </w:pPr>
            <w:r>
              <w:rPr>
                <w:rFonts w:ascii="Arial" w:cs="Arial" w:eastAsia="Arial" w:hAnsi="Arial"/>
                <w:sz w:val="16"/>
                <w:szCs w:val="16"/>
                <w:color w:val="auto"/>
              </w:rPr>
              <w:t>transfers and</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adjustments</w:t>
            </w:r>
          </w:p>
        </w:tc>
        <w:tc>
          <w:tcPr>
            <w:tcW w:w="18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(4,833)</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(5,880)</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EAF9E8"/>
            </w:tcBorders>
            <w:shd w:val="clear" w:color="auto" w:fill="EAF9E8"/>
          </w:tcPr>
          <w:p>
            <w:pPr>
              <w:spacing w:after="0"/>
              <w:rPr>
                <w:sz w:val="19"/>
                <w:szCs w:val="19"/>
                <w:color w:val="auto"/>
              </w:rPr>
            </w:pPr>
          </w:p>
        </w:tc>
        <w:tc>
          <w:tcPr>
            <w:tcW w:w="7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220"/>
        </w:trPr>
        <w:tc>
          <w:tcPr>
            <w:tcW w:w="1300" w:type="dxa"/>
            <w:vAlign w:val="bottom"/>
          </w:tcPr>
          <w:p>
            <w:pPr>
              <w:ind w:left="180"/>
              <w:spacing w:after="0"/>
              <w:rPr>
                <w:sz w:val="20"/>
                <w:szCs w:val="20"/>
                <w:color w:val="auto"/>
              </w:rPr>
            </w:pPr>
            <w:r>
              <w:rPr>
                <w:rFonts w:ascii="Arial" w:cs="Arial" w:eastAsia="Arial" w:hAnsi="Arial"/>
                <w:sz w:val="16"/>
                <w:szCs w:val="16"/>
                <w:color w:val="auto"/>
              </w:rPr>
              <w:t>Changes in fair</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00" w:type="dxa"/>
            <w:vAlign w:val="bottom"/>
          </w:tcPr>
          <w:p>
            <w:pPr>
              <w:ind w:left="180"/>
              <w:spacing w:after="0"/>
              <w:rPr>
                <w:sz w:val="20"/>
                <w:szCs w:val="20"/>
                <w:color w:val="auto"/>
              </w:rPr>
            </w:pPr>
            <w:r>
              <w:rPr>
                <w:rFonts w:ascii="Arial" w:cs="Arial" w:eastAsia="Arial" w:hAnsi="Arial"/>
                <w:sz w:val="16"/>
                <w:szCs w:val="16"/>
                <w:color w:val="auto"/>
              </w:rPr>
              <w:t>value (1):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00" w:type="dxa"/>
            <w:vAlign w:val="bottom"/>
            <w:shd w:val="clear" w:color="auto" w:fill="EAF9E8"/>
          </w:tcPr>
          <w:p>
            <w:pPr>
              <w:ind w:left="280"/>
              <w:spacing w:after="0"/>
              <w:rPr>
                <w:sz w:val="20"/>
                <w:szCs w:val="20"/>
                <w:color w:val="auto"/>
              </w:rPr>
            </w:pPr>
            <w:r>
              <w:rPr>
                <w:rFonts w:ascii="Arial" w:cs="Arial" w:eastAsia="Arial" w:hAnsi="Arial"/>
                <w:sz w:val="16"/>
                <w:szCs w:val="16"/>
                <w:color w:val="auto"/>
              </w:rPr>
              <w:t>Changes in</w:t>
            </w:r>
          </w:p>
        </w:tc>
        <w:tc>
          <w:tcPr>
            <w:tcW w:w="18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valuation</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inputs or</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w w:val="93"/>
              </w:rPr>
              <w:t>assumptions</w:t>
            </w:r>
          </w:p>
        </w:tc>
        <w:tc>
          <w:tcPr>
            <w:tcW w:w="18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11,558</w:t>
            </w:r>
          </w:p>
        </w:tc>
        <w:tc>
          <w:tcPr>
            <w:tcW w:w="1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(5,705)</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5,853</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7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86,721</w:t>
            </w:r>
          </w:p>
        </w:tc>
        <w:tc>
          <w:tcPr>
            <w:tcW w:w="10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EAF9E8"/>
            </w:tcBorders>
            <w:shd w:val="clear" w:color="auto" w:fill="EAF9E8"/>
          </w:tcPr>
          <w:p>
            <w:pPr>
              <w:spacing w:after="0"/>
              <w:rPr>
                <w:sz w:val="19"/>
                <w:szCs w:val="19"/>
                <w:color w:val="auto"/>
              </w:rPr>
            </w:pPr>
          </w:p>
        </w:tc>
        <w:tc>
          <w:tcPr>
            <w:tcW w:w="7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86,964</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20"/>
        </w:trPr>
        <w:tc>
          <w:tcPr>
            <w:tcW w:w="1300" w:type="dxa"/>
            <w:vAlign w:val="bottom"/>
          </w:tcPr>
          <w:p>
            <w:pPr>
              <w:ind w:left="280"/>
              <w:spacing w:after="0"/>
              <w:rPr>
                <w:sz w:val="20"/>
                <w:szCs w:val="20"/>
                <w:color w:val="auto"/>
              </w:rPr>
            </w:pPr>
            <w:r>
              <w:rPr>
                <w:rFonts w:ascii="Arial" w:cs="Arial" w:eastAsia="Arial" w:hAnsi="Arial"/>
                <w:sz w:val="16"/>
                <w:szCs w:val="16"/>
                <w:color w:val="auto"/>
              </w:rPr>
              <w:t>Realization of</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expected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future cash</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flows and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4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ind w:left="440"/>
              <w:spacing w:after="0"/>
              <w:rPr>
                <w:sz w:val="20"/>
                <w:szCs w:val="20"/>
                <w:color w:val="auto"/>
              </w:rPr>
            </w:pPr>
            <w:r>
              <w:rPr>
                <w:rFonts w:ascii="Arial" w:cs="Arial" w:eastAsia="Arial" w:hAnsi="Arial"/>
                <w:sz w:val="16"/>
                <w:szCs w:val="16"/>
                <w:color w:val="auto"/>
              </w:rPr>
              <w:t>changes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(79,121)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(80,189)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(159,310)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(89,702)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(91,504)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(78,527)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(80,543)</w:t>
            </w:r>
          </w:p>
        </w:tc>
        <w:tc>
          <w:tcPr>
            <w:tcW w:w="0" w:type="dxa"/>
            <w:vAlign w:val="bottom"/>
          </w:tcPr>
          <w:p>
            <w:pPr>
              <w:spacing w:after="0"/>
              <w:rPr>
                <w:sz w:val="1"/>
                <w:szCs w:val="1"/>
                <w:color w:val="auto"/>
              </w:rPr>
            </w:pPr>
          </w:p>
        </w:tc>
      </w:tr>
      <w:tr>
        <w:trPr>
          <w:trHeight w:val="33"/>
        </w:trPr>
        <w:tc>
          <w:tcPr>
            <w:tcW w:w="13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865,587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591,562</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1,457,149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11,960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660,002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671,962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13,357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665,899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679,256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Changes in fair value are recognized in MSR valuation adjustments, net in the consolidated statements of operations.</w:t>
      </w:r>
    </w:p>
    <w:p>
      <w:pPr>
        <w:spacing w:after="0" w:line="2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December 31, 2018 given hypothetical shifts in lifetime prepayments and yield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(122,911)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(237,916)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(84,631)</w:t>
            </w:r>
          </w:p>
        </w:tc>
      </w:tr>
    </w:tbl>
    <w:p>
      <w:pPr>
        <w:spacing w:after="0" w:line="33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December 31, 2018 are increased prepayment speeds and a decrease in the yield assumption.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639" w:right="239" w:bottom="977"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following table presents the composition of our residential primary servicing and subservicing portfolios as measured by UPB, including foreclosed real estate and small-balance commercial loans. The servicing portfolio represents loans for which we own the servicing rights while subservicing represents all other loans. The UPB of assets serviced for others are not included on our consolidated balance sheets.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UPB at December 31, 2018</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(3)</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72,378,693</w:t>
            </w:r>
          </w:p>
        </w:tc>
        <w:tc>
          <w:tcPr>
            <w:tcW w:w="0" w:type="dxa"/>
            <w:vAlign w:val="bottom"/>
          </w:tcPr>
          <w:p>
            <w:pPr>
              <w:spacing w:after="0"/>
              <w:rPr>
                <w:sz w:val="1"/>
                <w:szCs w:val="1"/>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Subservicing (3)</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53,104,560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(1) (3)</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130,517,237</w:t>
            </w:r>
          </w:p>
        </w:tc>
        <w:tc>
          <w:tcPr>
            <w:tcW w:w="0" w:type="dxa"/>
            <w:vAlign w:val="bottom"/>
          </w:tcPr>
          <w:p>
            <w:pPr>
              <w:spacing w:after="0"/>
              <w:rPr>
                <w:sz w:val="1"/>
                <w:szCs w:val="1"/>
                <w:color w:val="auto"/>
              </w:rPr>
            </w:pPr>
          </w:p>
        </w:tc>
      </w:tr>
      <w:tr>
        <w:trPr>
          <w:trHeight w:val="237"/>
        </w:trPr>
        <w:tc>
          <w:tcPr>
            <w:tcW w:w="99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256,000,490</w:t>
            </w:r>
          </w:p>
        </w:tc>
        <w:tc>
          <w:tcPr>
            <w:tcW w:w="0" w:type="dxa"/>
            <w:vAlign w:val="bottom"/>
          </w:tcPr>
          <w:p>
            <w:pPr>
              <w:spacing w:after="0"/>
              <w:rPr>
                <w:sz w:val="1"/>
                <w:szCs w:val="1"/>
                <w:color w:val="auto"/>
              </w:rPr>
            </w:pPr>
          </w:p>
        </w:tc>
      </w:tr>
      <w:tr>
        <w:trPr>
          <w:trHeight w:val="67"/>
        </w:trPr>
        <w:tc>
          <w:tcPr>
            <w:tcW w:w="994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2017</w:t>
            </w: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75,469,327</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2,063,669</w:t>
            </w:r>
          </w:p>
        </w:tc>
        <w:tc>
          <w:tcPr>
            <w:tcW w:w="0" w:type="dxa"/>
            <w:vAlign w:val="bottom"/>
          </w:tcPr>
          <w:p>
            <w:pPr>
              <w:spacing w:after="0"/>
              <w:rPr>
                <w:sz w:val="1"/>
                <w:szCs w:val="1"/>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NRZ (1)</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101,819,557</w:t>
            </w:r>
          </w:p>
        </w:tc>
        <w:tc>
          <w:tcPr>
            <w:tcW w:w="0" w:type="dxa"/>
            <w:vAlign w:val="bottom"/>
          </w:tcPr>
          <w:p>
            <w:pPr>
              <w:spacing w:after="0"/>
              <w:rPr>
                <w:sz w:val="1"/>
                <w:szCs w:val="1"/>
                <w:color w:val="auto"/>
              </w:rPr>
            </w:pPr>
          </w:p>
        </w:tc>
      </w:tr>
      <w:tr>
        <w:trPr>
          <w:trHeight w:val="27"/>
        </w:trPr>
        <w:tc>
          <w:tcPr>
            <w:tcW w:w="99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179,352,553</w:t>
            </w:r>
          </w:p>
        </w:tc>
        <w:tc>
          <w:tcPr>
            <w:tcW w:w="0" w:type="dxa"/>
            <w:vAlign w:val="bottom"/>
          </w:tcPr>
          <w:p>
            <w:pPr>
              <w:spacing w:after="0"/>
              <w:rPr>
                <w:sz w:val="1"/>
                <w:szCs w:val="1"/>
                <w:color w:val="auto"/>
              </w:rPr>
            </w:pPr>
          </w:p>
        </w:tc>
      </w:tr>
      <w:tr>
        <w:trPr>
          <w:trHeight w:val="20"/>
        </w:trPr>
        <w:tc>
          <w:tcPr>
            <w:tcW w:w="994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b w:val="1"/>
                <w:bCs w:val="1"/>
                <w:color w:val="auto"/>
              </w:rPr>
              <w:t>UPB at December 31, 2016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86,049,298</w:t>
            </w:r>
          </w:p>
        </w:tc>
        <w:tc>
          <w:tcPr>
            <w:tcW w:w="0" w:type="dxa"/>
            <w:vAlign w:val="bottom"/>
          </w:tcPr>
          <w:p>
            <w:pPr>
              <w:spacing w:after="0"/>
              <w:rPr>
                <w:sz w:val="1"/>
                <w:szCs w:val="1"/>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Subservicing (2)</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4,330,084</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(1)</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118,712,748</w:t>
            </w:r>
          </w:p>
        </w:tc>
        <w:tc>
          <w:tcPr>
            <w:tcW w:w="0" w:type="dxa"/>
            <w:vAlign w:val="bottom"/>
          </w:tcPr>
          <w:p>
            <w:pPr>
              <w:spacing w:after="0"/>
              <w:rPr>
                <w:sz w:val="1"/>
                <w:szCs w:val="1"/>
                <w:color w:val="auto"/>
              </w:rPr>
            </w:pPr>
          </w:p>
        </w:tc>
      </w:tr>
      <w:tr>
        <w:trPr>
          <w:trHeight w:val="237"/>
        </w:trPr>
        <w:tc>
          <w:tcPr>
            <w:tcW w:w="99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209,092,130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520" w:hanging="492"/>
        <w:spacing w:after="0" w:line="255"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UPB of loans for which the Rights to MSRs have been sold to NRZ, including those for which third-party consents have been received and the MSRs have been transferred to NRZ.</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Excludes $92.9 million of large-balance commercial foreclosed real estate. During 2017, we sold or transferred servicing on the remaining managed assets.</w:t>
      </w:r>
    </w:p>
    <w:p>
      <w:pPr>
        <w:spacing w:after="0" w:line="16" w:lineRule="exact"/>
        <w:rPr>
          <w:rFonts w:ascii="Arial" w:cs="Arial" w:eastAsia="Arial" w:hAnsi="Arial"/>
          <w:sz w:val="15"/>
          <w:szCs w:val="15"/>
          <w:color w:val="auto"/>
        </w:rPr>
      </w:pPr>
    </w:p>
    <w:p>
      <w:pPr>
        <w:ind w:left="500" w:right="520" w:hanging="492"/>
        <w:spacing w:after="0" w:line="257"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$6.3 billion, $51.3 billion and $42.3 billion UPB of loans serviced, subserviced or subserviced on behalf of NRZ, respectively, added to the portfolio in connection with the PHH acquisition.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sold MSRs relating to loans with a UPB of $901.3 million, $219.4 million and $3.7 billion during 2018, 2017 and 2016, respectively.</w:t>
      </w:r>
    </w:p>
    <w:p>
      <w:pPr>
        <w:spacing w:after="0" w:line="117"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in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At December 31, 2018, the S&amp;P Global Ratings, Inc.’s (S&amp;P) and Fitch Ratings, Inc.’s (Fitch) servicer ratings outlook for both OLS and PHH is stable. Moody’s Investors Service, Inc.’s (Moody’s) servicer ratings for OLS are on Watch for Downgrade. 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Certain of our servicing agreements require that we maintain specified servicer ratings from rating agencies such as Moody’s and S&amp;P. At December 31, 2018, non-Agency servicing agreements with a UPB of $25.9 billion have minimum servicer ratings criteria. As a result of our current servicer ratings, termination rights have been triggered in non-Agency servicing agreements with a UPB of $8.2 billion, or 7% of our total non-Agency servicing portfolio. To date, terminations as servicer as a result of a breach of any of these provisions have been minimal.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72" w:right="239" w:bottom="1440" w:gutter="0" w:footer="0" w:header="0"/>
        </w:sectPr>
      </w:pPr>
    </w:p>
    <w:bookmarkStart w:id="142" w:name="page143"/>
    <w:bookmarkEnd w:id="142"/>
    <w:p>
      <w:pPr>
        <w:ind w:left="340"/>
        <w:spacing w:after="0"/>
        <w:rPr>
          <w:sz w:val="20"/>
          <w:szCs w:val="20"/>
          <w:color w:val="auto"/>
        </w:rPr>
      </w:pPr>
      <w:r>
        <w:rPr>
          <w:rFonts w:ascii="Arial" w:cs="Arial" w:eastAsia="Arial" w:hAnsi="Arial"/>
          <w:sz w:val="18"/>
          <w:szCs w:val="18"/>
          <w:color w:val="auto"/>
        </w:rPr>
        <w:t>The geographic distribution of the UPB and count of residential loans and real estate we serviced at December 31, 2018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56,455,157</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201,058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York</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25,411,051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101,444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Florida</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20,345,407</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134,335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13,711,894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65,263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Texas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11,858,287</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111,512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128,218,694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948,626</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256,000,490</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1,562,238</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31"/>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Servicing Revenue</w:t>
            </w: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224,892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257,419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293,210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8,904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7,775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539,039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549,411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633,545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772,835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814,605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948,182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61,453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66,709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 (1)</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43,310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110,367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8,969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22,770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25,180</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934,336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989,376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1,186,620</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00" w:hanging="492"/>
        <w:spacing w:after="0" w:line="261"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1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consolidated balance sheets. Float balances amounted to $1.7 billion, $1.5 billion and $2.1 billion at December 31, 2018, 2017 and 2016, respectively.</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2016 we executed clean-up calls on five small-balance commercial mortgage securitization trusts, which resulted in our recognizing income of $14.8 million related to the value of the underlying collateral held by the trusts, which we reported in Other, net, in the consolidated statements of operations. Simultaneously with the execution of the clean-up calls, we sold the acquired commercial loans and foreclosed properties to a third party, repaid the holders of the debt securities issued by the trusts and recognized a gain of $2.8 million equal to the discount on the repurchase price of the loans which we reported in Gain on loans held for sale,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Rights to MSRs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Ocwen and PHH have entered into agreements to sell MSRs or Rights to MSRs and the related servicing advances to NRZ, and in all cases have been retained by NRZ as subservicer. In the case of Ocwen Rights to MSRs transactions, while the majority of the risks and rewards of ownership were transferred, legal title was retained by Ocwen, causing the Rights to MSRs transactions to be accounted for as secured financings. In the case of the PHH transactions, and for those Ocwen MSRs where consents were subsequently received and legal title was transferred to NRZ, due to the length of the non-cancellable term of the subservicing agreement, the transactions do not qualify as a sale and are accounted for as secured financings. As a result, we continue to recognize the MSRs and related financing liability on our consolidated balance sheet, as well as the full amount of servicing revenue and changes in the fair value of the MSRs and related financing liability in our consolidated statements of operations.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76" w:right="239" w:bottom="1440" w:gutter="0" w:footer="0" w:header="0"/>
        </w:sectPr>
      </w:pPr>
    </w:p>
    <w:bookmarkStart w:id="143" w:name="page144"/>
    <w:bookmarkEnd w:id="143"/>
    <w:p>
      <w:pPr>
        <w:jc w:val="both"/>
        <w:ind w:right="360" w:firstLine="324"/>
        <w:spacing w:after="0" w:line="312" w:lineRule="auto"/>
        <w:rPr>
          <w:sz w:val="20"/>
          <w:szCs w:val="20"/>
          <w:color w:val="auto"/>
        </w:rPr>
      </w:pPr>
      <w:r>
        <w:rPr>
          <w:rFonts w:ascii="Arial" w:cs="Arial" w:eastAsia="Arial" w:hAnsi="Arial"/>
          <w:sz w:val="16"/>
          <w:szCs w:val="16"/>
          <w:color w:val="auto"/>
        </w:rPr>
        <w:t>NRZ is our largest servicing client, accounting for 51% of the UPB of residential assets serviced and 70% of our loan servicing and subservicing fee revenue as of and for the year ended December 31, 2018, respectively. The following table presents the assets and liabilities recorded on our consolidated balance sheets as well as the impacts to our consolidated statements of operations in connection with our NRZ agreements.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Balance Sheets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MSRs, at fair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894,002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499,042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477,707</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Due from NRZ</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21,873</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Due to NRZ (1)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83,248</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Financing liability - MSRs pledged,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1,032,856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508,291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477,707</w:t>
            </w:r>
          </w:p>
        </w:tc>
      </w:tr>
      <w:tr>
        <w:trPr>
          <w:trHeight w:val="324"/>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Servicing fees collected on behalf of NRZ</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539,039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549,411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633,545</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Less: Subservicing fee retained</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142,334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295,192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337,727</w:t>
            </w: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color w:val="auto"/>
              </w:rPr>
              <w:t>Net servicing fees remitted to NRZ</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396,705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254,219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295,818</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Less: Reduction (increase) in financing liability</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Changes in fair value: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Original Rights to MSRs Agreements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(83,300)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2017 Agreements and New RMSR Agreements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PHH MSR Agreements</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Runoff, settlement and other:</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Original Rights to MSRs Agreements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63,997</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2017 Agreements and New RMSR Agreements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136,700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PHH MSR Agreements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205,766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59,190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63,997</w:t>
            </w:r>
          </w:p>
        </w:tc>
      </w:tr>
      <w:tr>
        <w:trPr>
          <w:trHeight w:val="230"/>
        </w:trPr>
        <w:tc>
          <w:tcPr>
            <w:tcW w:w="672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57"/>
        </w:trPr>
        <w:tc>
          <w:tcPr>
            <w:tcW w:w="6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171,670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236,311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234,401</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Amounts collected on behalf of NRZ for advances and servicing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Transactions</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15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Transfer Agreement and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of five years (the Initial Term).</w:t>
      </w:r>
    </w:p>
    <w:p>
      <w:pPr>
        <w:spacing w:after="0" w:line="19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Upon receiving the required consents and transferring the MSRs, Ocwen will subservice the mortgage loans underlying the MSRs pursuant to the 2017 Agreements.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76" w:right="239" w:bottom="1440" w:gutter="0" w:footer="0" w:header="0"/>
        </w:sectPr>
      </w:pPr>
    </w:p>
    <w:bookmarkStart w:id="144" w:name="page145"/>
    <w:bookmarkEnd w:id="144"/>
    <w:p>
      <w:pPr>
        <w:ind w:right="180" w:firstLine="324"/>
        <w:spacing w:after="0" w:line="259" w:lineRule="auto"/>
        <w:rPr>
          <w:sz w:val="20"/>
          <w:szCs w:val="20"/>
          <w:color w:val="auto"/>
        </w:rPr>
      </w:pPr>
      <w:r>
        <w:rPr>
          <w:rFonts w:ascii="Arial" w:cs="Arial" w:eastAsia="Arial" w:hAnsi="Arial"/>
          <w:sz w:val="18"/>
          <w:szCs w:val="18"/>
          <w:color w:val="auto"/>
        </w:rPr>
        <w:t>Ocwen received lump-sum cash payments of $54.6 million and $279.6 million in 2017 and 2018 in accordance with the terms of the 2017 Agreements and New RMSR Agreements, respectively. These upfront payments generally represent the net present value of the difference between the future revenue stream Ocwen would have received under the Original Rights to MSRs Agreements and the future revenue stream Ocwen expects to receive under the 2017 Agreements and the New RMSR Agreements.</w:t>
      </w:r>
    </w:p>
    <w:p>
      <w:pPr>
        <w:spacing w:after="0" w:line="79"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On August 17, 2018, Ocwen and NRZ entered into certain amendments to the New RMSR Agreements to include New Penn Financial, LLC dba Shellpoint Mortgage Servicing (Shellpoint), a subsidiary of NRZ, as a party and to conform the New RMSR Agreements to certain of the terms of the Shellpoint Subservicing Agreement between Ocwen and Shellpoint.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required third-party consents are not obtained with respect to any dates specified in, and in accordance with the process set forth in, the New RMSR Agreements, such MSRs will either: (i) remain subject to the New RMSR Agreements at the option of NRZ, (ii) be acquired by Ocwen at a price determined in accordance with the terms of the New RMSR Agreements, or (iii) be sold to a third party in accordance with the terms of the New RMSR Agreements.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any time during the Initial Term, NRZ may terminate the Subservicing Agreement and Servicing Addendum for convenience, subject to Ocwen’s right to receive a termination fee and proper notice. Following the Initial Term, NRZ may extend the term of the Subservicing Agreement and Servicing Addendum for additional three-month periods by providing proper notice. Following the Initial Term, the Subservicing Agreement and Servicing Addendum can be cancelled by Ocwen on an annual basis. NRZ and Ocwen have the ability to terminate the Subservicing Agreement and Servicing Addendum for cause if certain specified conditions occur.</w:t>
      </w:r>
    </w:p>
    <w:p>
      <w:pPr>
        <w:spacing w:after="0" w:line="188"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Under the terms of the Subservicing Agreement and Servicing Addendum, in addition to a base servicing fee, Ocwen will continue to receive ancillary income, which primarily includes late fees, loan modification fees and Speedpay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fees. NRZ will receive all float earnings and deferred servicing fees related to delinquent borrower payments, as well as be entitled to receive certain real estate owned (REO) related income including REO referral commissions.</w:t>
      </w:r>
    </w:p>
    <w:p>
      <w:pPr>
        <w:spacing w:after="0" w:line="6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Prior to January 18, 2018, MSRs as to which necessary transfer consents had not yet been obtained continued to be subject to the terms of the agreements entered into in 2012 and 2013. Under the 2012 and 2013 agreements, the servicing fees payable under the servicing agreements underlying the Rights to MSRs were apportioned between NRZ and us. NRZ retained a fee based on the UPB of the loans serviced, and OLS received certain fees, including a performance fee based on servicing fees paid less an amount calculated based on the amount of servicing advances and the cost of financing those advances.</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PHH Transactions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December 28, 2016, PHH entered into an agreement to sell substantially all of its MSRs, and the related servicing advances, to New Residential Mortgage LLC, a wholly-owned subsidiary of NRZ. In connection with this agreement, on December 28, 2016, PHH also entered into a subservicing agreement with NRZ (collectively, the PHH MSR Agreements). The PHH subservicing agreement has an initial term of three years, subject to certain transfer and termination provisions.</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Through its acquisition of PHH on October 4, 2018, Ocwen recognized MSRs of $42.3 billion UPB related to the PHH MSRs Agreements. As of December 31, 2018, $3.5 billion UPB of private-investor MSRs and related advances remain committed to be sold to New Residential under the PHH MSRs Agreements.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any time during each of the second and third years of the initial term, and subject to the payment of the applicable deboarding fee, NRZ may terminate an amount not to exceed 25% of the underlying mortgage loans with proper notice. The PHH MSR Agreements automatically renew for successive one-year terms unless either party provides notice of termination. NRZ and PHH each have the ability to terminate the subservicing agreement for cause if certain specified conditions occur.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368"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Receivables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6"/>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receivables: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105,258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114,971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NRZ</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25,196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Amount due on sales of MSRs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30,148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31,709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Due from custodial accounts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36,122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10,922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188,182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209,685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taxes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45,987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19,600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251,841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266,116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losses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(66,587)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198,262</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199,529</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61"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Balance represents the holdback of proceeds from MSR sales and transfers to address indemnification claims and mortgage loan document deficiencies. The balance at December 31, 2018 includes $29.5 million of receivables acquired in connection with the acquisition of PHH that relate to sales executed by PHH prior to the acquisition date.</w:t>
      </w:r>
    </w:p>
    <w:p>
      <w:pPr>
        <w:spacing w:after="0" w:line="17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At December 31, 2018 and 2017, the allowance for losses related to receivables of our Servicing business. Allowance for losses related to defaulted FHA- or VA-insured loans repurchased from Ginnie Mae guaranteed securitizations (government-insured loan claims) was $52.5 million and $53.3 million at December 2018 and 2017, respectively. This allowance represents management’s estimate of incurred losses and is maintained at a level that management considers adequate based upon continuing assessments of collectibility, current trends, and historical loss experience.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Allowance for Losses - Government-Insured Loan Claims</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60" w:type="dxa"/>
            <w:vAlign w:val="bottom"/>
            <w:tcBorders>
              <w:bottom w:val="single" w:sz="8" w:color="EAF9E8"/>
            </w:tcBorders>
          </w:tcPr>
          <w:p>
            <w:pPr>
              <w:spacing w:after="0"/>
              <w:rPr>
                <w:sz w:val="2"/>
                <w:szCs w:val="2"/>
                <w:color w:val="auto"/>
              </w:rPr>
            </w:pPr>
          </w:p>
        </w:tc>
        <w:tc>
          <w:tcPr>
            <w:tcW w:w="17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9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210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53,340</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53,258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61,322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9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Charge-offs and other, net</w:t>
            </w:r>
          </w:p>
        </w:tc>
        <w:tc>
          <w:tcPr>
            <w:tcW w:w="17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(38,195)</w:t>
            </w: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(40,342)</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(28,635)</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7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52,497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53,340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53,258</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Premises and Equipment</w:t>
            </w:r>
          </w:p>
        </w:tc>
        <w:tc>
          <w:tcPr>
            <w:tcW w:w="1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5020" w:type="dxa"/>
            <w:vAlign w:val="bottom"/>
            <w:tcBorders>
              <w:bottom w:val="single" w:sz="8" w:color="EAF9E8"/>
            </w:tcBorders>
            <w:gridSpan w:val="2"/>
          </w:tcPr>
          <w:p>
            <w:pPr>
              <w:spacing w:after="0"/>
              <w:rPr>
                <w:sz w:val="2"/>
                <w:szCs w:val="2"/>
                <w:color w:val="auto"/>
              </w:rPr>
            </w:pPr>
          </w:p>
        </w:tc>
        <w:tc>
          <w:tcPr>
            <w:tcW w:w="1760" w:type="dxa"/>
            <w:vAlign w:val="bottom"/>
            <w:tcBorders>
              <w:bottom w:val="single" w:sz="8" w:color="EAF9E8"/>
            </w:tcBorders>
          </w:tcPr>
          <w:p>
            <w:pPr>
              <w:spacing w:after="0"/>
              <w:rPr>
                <w:sz w:val="2"/>
                <w:szCs w:val="2"/>
                <w:color w:val="auto"/>
              </w:rPr>
            </w:pPr>
          </w:p>
        </w:tc>
        <w:tc>
          <w:tcPr>
            <w:tcW w:w="34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Computer software</w:t>
            </w:r>
          </w:p>
        </w:tc>
        <w:tc>
          <w:tcPr>
            <w:tcW w:w="17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46,029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43,137</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Computer hardware</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34,240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7"/>
        </w:trPr>
        <w:tc>
          <w:tcPr>
            <w:tcW w:w="502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Leasehold improvements</w:t>
            </w:r>
          </w:p>
        </w:tc>
        <w:tc>
          <w:tcPr>
            <w:tcW w:w="17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27,798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7"/>
        </w:trPr>
        <w:tc>
          <w:tcPr>
            <w:tcW w:w="502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Office equipment</w:t>
            </w:r>
          </w:p>
        </w:tc>
        <w:tc>
          <w:tcPr>
            <w:tcW w:w="17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7,370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7"/>
        </w:trPr>
        <w:tc>
          <w:tcPr>
            <w:tcW w:w="502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130,618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119,675</w:t>
            </w:r>
          </w:p>
        </w:tc>
        <w:tc>
          <w:tcPr>
            <w:tcW w:w="0" w:type="dxa"/>
            <w:vAlign w:val="bottom"/>
          </w:tcPr>
          <w:p>
            <w:pPr>
              <w:spacing w:after="0"/>
              <w:rPr>
                <w:sz w:val="1"/>
                <w:szCs w:val="1"/>
                <w:color w:val="auto"/>
              </w:rPr>
            </w:pPr>
          </w:p>
        </w:tc>
      </w:tr>
      <w:tr>
        <w:trPr>
          <w:trHeight w:val="27"/>
        </w:trPr>
        <w:tc>
          <w:tcPr>
            <w:tcW w:w="502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76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(97,201)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(82,669)</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33,417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37,006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100" w:type="dxa"/>
            <w:vAlign w:val="bottom"/>
            <w:gridSpan w:val="2"/>
            <w:vMerge w:val="restart"/>
          </w:tcPr>
          <w:p>
            <w:pPr>
              <w:jc w:val="right"/>
              <w:ind w:right="1150"/>
              <w:spacing w:after="0"/>
              <w:rPr>
                <w:sz w:val="20"/>
                <w:szCs w:val="20"/>
                <w:color w:val="auto"/>
              </w:rPr>
            </w:pPr>
            <w:r>
              <w:rPr>
                <w:rFonts w:ascii="Arial" w:cs="Arial" w:eastAsia="Arial" w:hAnsi="Arial"/>
                <w:sz w:val="18"/>
                <w:szCs w:val="18"/>
                <w:color w:val="auto"/>
              </w:rPr>
              <w:t>F-43</w:t>
            </w: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302,581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22,559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15,173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lender fees, net (1)</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6,589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Security deposits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Mortgage-backed securities,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Interest-earning time deposits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4,739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 (2)</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379,567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511,886</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amortize these costs to the earlier of the scheduled amortization date, contractual maturity date or prepayment date of the debt.</w:t>
      </w:r>
    </w:p>
    <w:p>
      <w:pPr>
        <w:spacing w:after="0" w:line="19" w:lineRule="exact"/>
        <w:rPr>
          <w:rFonts w:ascii="Arial" w:cs="Arial" w:eastAsia="Arial" w:hAnsi="Arial"/>
          <w:sz w:val="16"/>
          <w:szCs w:val="16"/>
          <w:color w:val="auto"/>
        </w:rPr>
      </w:pPr>
    </w:p>
    <w:p>
      <w:pPr>
        <w:ind w:left="500" w:right="460" w:hanging="492"/>
        <w:spacing w:after="0" w:line="290" w:lineRule="auto"/>
        <w:tabs>
          <w:tab w:leader="none" w:pos="5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We recognized the balance of prepaid income taxes as a cumulative-effect reduction of retained earnings upon adoption of ASU 2016-16 on January 1, 2018. See Note 1 — Organization, Business Environment, Basis of Presentation and Significant Accounting Policies for additional information.</w:t>
      </w:r>
    </w:p>
    <w:p>
      <w:pPr>
        <w:spacing w:after="0" w:line="51" w:lineRule="exact"/>
        <w:rPr>
          <w:sz w:val="20"/>
          <w:szCs w:val="20"/>
          <w:color w:val="auto"/>
        </w:rPr>
      </w:pPr>
    </w:p>
    <w:p>
      <w:pPr>
        <w:ind w:left="60" w:right="160" w:firstLine="324"/>
        <w:spacing w:after="0" w:line="264" w:lineRule="auto"/>
        <w:rPr>
          <w:sz w:val="20"/>
          <w:szCs w:val="20"/>
          <w:color w:val="auto"/>
        </w:rPr>
      </w:pPr>
      <w:r>
        <w:rPr>
          <w:rFonts w:ascii="Arial" w:cs="Arial" w:eastAsia="Arial" w:hAnsi="Arial"/>
          <w:sz w:val="18"/>
          <w:szCs w:val="18"/>
          <w:color w:val="auto"/>
        </w:rPr>
        <w:t>Automotive dealer financing notes not pledged to our former automotive dealer loan financing facility were reported as Other assets. We ceased new lending and terminated this facility in January 2018. There were no remaining notes outstanding at December 31, 2018. At December 31, 2017, the balance of the notes was $0, net of an allowance of $7.7 million. Changes in the allowance are as follows:</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3620" w:type="dxa"/>
            <w:vAlign w:val="bottom"/>
            <w:tcBorders>
              <w:bottom w:val="single" w:sz="8" w:color="EAF9E8"/>
            </w:tcBorders>
          </w:tcPr>
          <w:p>
            <w:pPr>
              <w:spacing w:after="0"/>
              <w:rPr>
                <w:sz w:val="2"/>
                <w:szCs w:val="2"/>
                <w:color w:val="auto"/>
              </w:rPr>
            </w:pPr>
          </w:p>
        </w:tc>
        <w:tc>
          <w:tcPr>
            <w:tcW w:w="28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1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2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4,344</w:t>
            </w:r>
          </w:p>
        </w:tc>
      </w:tr>
      <w:tr>
        <w:trPr>
          <w:trHeight w:val="27"/>
        </w:trPr>
        <w:tc>
          <w:tcPr>
            <w:tcW w:w="3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Charge-offs and other</w:t>
            </w:r>
          </w:p>
        </w:tc>
        <w:tc>
          <w:tcPr>
            <w:tcW w:w="28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8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7,664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4,371</w:t>
            </w:r>
          </w:p>
        </w:tc>
      </w:tr>
      <w:tr>
        <w:trPr>
          <w:trHeight w:val="20"/>
        </w:trPr>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54"/>
        </w:trPr>
        <w:tc>
          <w:tcPr>
            <w:tcW w:w="3620" w:type="dxa"/>
            <w:vAlign w:val="bottom"/>
          </w:tcPr>
          <w:p>
            <w:pPr>
              <w:spacing w:after="0"/>
              <w:rPr>
                <w:sz w:val="24"/>
                <w:szCs w:val="24"/>
                <w:color w:val="auto"/>
              </w:rPr>
            </w:pPr>
          </w:p>
        </w:tc>
        <w:tc>
          <w:tcPr>
            <w:tcW w:w="3160" w:type="dxa"/>
            <w:vAlign w:val="bottom"/>
            <w:gridSpan w:val="2"/>
          </w:tcPr>
          <w:p>
            <w:pPr>
              <w:jc w:val="right"/>
              <w:ind w:right="870"/>
              <w:spacing w:after="0"/>
              <w:rPr>
                <w:sz w:val="20"/>
                <w:szCs w:val="20"/>
                <w:color w:val="auto"/>
              </w:rPr>
            </w:pPr>
            <w:r>
              <w:rPr>
                <w:rFonts w:ascii="Arial" w:cs="Arial" w:eastAsia="Arial" w:hAnsi="Arial"/>
                <w:sz w:val="18"/>
                <w:szCs w:val="18"/>
                <w:color w:val="auto"/>
              </w:rPr>
              <w:t>F-44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Note 13 —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Match Funded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vMerge w:val="restart"/>
          </w:tcPr>
          <w:p>
            <w:pPr>
              <w:jc w:val="right"/>
              <w:ind w:right="399"/>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24"/>
                <w:szCs w:val="24"/>
                <w:color w:val="auto"/>
              </w:rPr>
            </w:pPr>
          </w:p>
        </w:tc>
        <w:tc>
          <w:tcPr>
            <w:tcW w:w="2420" w:type="dxa"/>
            <w:vAlign w:val="bottom"/>
            <w:gridSpan w:val="4"/>
            <w:vMerge w:val="restart"/>
          </w:tcPr>
          <w:p>
            <w:pPr>
              <w:jc w:val="right"/>
              <w:ind w:right="379"/>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Available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Amorti-zation</w:t>
            </w:r>
          </w:p>
        </w:tc>
        <w:tc>
          <w:tcPr>
            <w:tcW w:w="12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Borrowing</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760"/>
              <w:spacing w:after="0"/>
              <w:rPr>
                <w:sz w:val="20"/>
                <w:szCs w:val="20"/>
                <w:color w:val="auto"/>
              </w:rPr>
            </w:pPr>
            <w:r>
              <w:rPr>
                <w:rFonts w:ascii="Arial" w:cs="Arial" w:eastAsia="Arial" w:hAnsi="Arial"/>
                <w:sz w:val="16"/>
                <w:szCs w:val="16"/>
                <w:b w:val="1"/>
                <w:bCs w:val="1"/>
                <w:color w:val="auto"/>
              </w:rPr>
              <w:t>Borrowing Type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 (1)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Date (1)</w:t>
            </w: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Capacity (2)</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Interest Rate (3)</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Balance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 (3)</w:t>
            </w: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6"/>
                <w:szCs w:val="16"/>
                <w:b w:val="1"/>
                <w:bCs w:val="1"/>
                <w:color w:val="auto"/>
              </w:rPr>
              <w:t>Advance Financing Facilities</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7"/>
              </w:rPr>
              <w:t>Advance Receivables Backed Notes,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2014-VF4 (4)</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67,095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2015-VF5 (4)</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2049</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2019</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8,441</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216,559</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67,095</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2016-T1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7"/>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265,000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2016-T2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2049</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2019</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235,000</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235,000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2017-T1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2048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7"/>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7"/>
              </w:rPr>
              <w:t>Advance Receivables Backed Notes,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2018-T1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2049</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2019</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EAF9E8"/>
            </w:tcBorders>
            <w:shd w:val="clear" w:color="auto" w:fill="EAF9E8"/>
          </w:tcPr>
          <w:p>
            <w:pPr>
              <w:spacing w:after="0"/>
              <w:rPr>
                <w:sz w:val="19"/>
                <w:szCs w:val="19"/>
                <w:color w:val="auto"/>
              </w:rPr>
            </w:pPr>
          </w:p>
        </w:tc>
        <w:tc>
          <w:tcPr>
            <w:tcW w:w="1300" w:type="dxa"/>
            <w:vAlign w:val="bottom"/>
            <w:tcBorders>
              <w:bottom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7"/>
              </w:rPr>
              <w:t>Advance Receivables Backed Notes,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2018-T2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2050</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2020</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78"/>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EAF9E8"/>
          </w:tcPr>
          <w:p>
            <w:pPr>
              <w:ind w:left="280"/>
              <w:spacing w:after="0"/>
              <w:rPr>
                <w:sz w:val="20"/>
                <w:szCs w:val="20"/>
                <w:color w:val="auto"/>
              </w:rPr>
            </w:pPr>
            <w:r>
              <w:rPr>
                <w:rFonts w:ascii="Arial" w:cs="Arial" w:eastAsia="Arial" w:hAnsi="Arial"/>
                <w:sz w:val="16"/>
                <w:szCs w:val="16"/>
                <w:b w:val="1"/>
                <w:bCs w:val="1"/>
                <w:color w:val="auto"/>
              </w:rPr>
              <w:t>Total Ocwen Master Advance</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6"/>
                <w:szCs w:val="16"/>
                <w:b w:val="1"/>
                <w:bCs w:val="1"/>
                <w:color w:val="auto"/>
              </w:rPr>
              <w:t>Receivables Trust (OMART)</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8,441</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751,559</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884,190</w:t>
            </w:r>
          </w:p>
        </w:tc>
        <w:tc>
          <w:tcPr>
            <w:tcW w:w="0" w:type="dxa"/>
            <w:vAlign w:val="bottom"/>
          </w:tcPr>
          <w:p>
            <w:pPr>
              <w:spacing w:after="0"/>
              <w:rPr>
                <w:sz w:val="1"/>
                <w:szCs w:val="1"/>
                <w:color w:val="auto"/>
              </w:rPr>
            </w:pPr>
          </w:p>
        </w:tc>
      </w:tr>
      <w:tr>
        <w:trPr>
          <w:trHeight w:val="115"/>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b w:val="1"/>
                <w:bCs w:val="1"/>
                <w:color w:val="auto"/>
              </w:rPr>
              <w:t>Ocwen Servicer Advance</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Receivables Trust III (OSART</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 xml:space="preserve">III) - </w:t>
            </w:r>
            <w:r>
              <w:rPr>
                <w:rFonts w:ascii="Arial" w:cs="Arial" w:eastAsia="Arial" w:hAnsi="Arial"/>
                <w:sz w:val="16"/>
                <w:szCs w:val="16"/>
                <w:color w:val="auto"/>
              </w:rPr>
              <w:t>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Backed Notes, Series 2014-</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VF1 (6)</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2048</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2018</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300" w:type="dxa"/>
            <w:vAlign w:val="bottom"/>
            <w:tcBorders>
              <w:bottom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33,768</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b w:val="1"/>
                <w:bCs w:val="1"/>
                <w:color w:val="auto"/>
              </w:rPr>
              <w:t>Ocwen Freddie Advance Funding</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(OFAF</w:t>
            </w:r>
            <w:r>
              <w:rPr>
                <w:rFonts w:ascii="Arial" w:cs="Arial" w:eastAsia="Arial" w:hAnsi="Arial"/>
                <w:sz w:val="16"/>
                <w:szCs w:val="16"/>
                <w:color w:val="auto"/>
              </w:rPr>
              <w:t>) - 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Backed Notes, Series 2015-VF1</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88"/>
              </w:rPr>
              <w:t>Jun. 2049</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88"/>
              </w:rPr>
              <w:t>Jun. 2019</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38,275</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26,725</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56,078</w:t>
            </w:r>
          </w:p>
        </w:tc>
        <w:tc>
          <w:tcPr>
            <w:tcW w:w="0" w:type="dxa"/>
            <w:vAlign w:val="bottom"/>
          </w:tcPr>
          <w:p>
            <w:pPr>
              <w:spacing w:after="0"/>
              <w:rPr>
                <w:sz w:val="1"/>
                <w:szCs w:val="1"/>
                <w:color w:val="auto"/>
              </w:rPr>
            </w:pPr>
          </w:p>
        </w:tc>
      </w:tr>
      <w:tr>
        <w:trPr>
          <w:trHeight w:val="196"/>
        </w:trPr>
        <w:tc>
          <w:tcPr>
            <w:tcW w:w="27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Servicing Advance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440"/>
              <w:spacing w:after="0"/>
              <w:rPr>
                <w:sz w:val="20"/>
                <w:szCs w:val="20"/>
                <w:color w:val="auto"/>
              </w:rPr>
            </w:pPr>
            <w:r>
              <w:rPr>
                <w:rFonts w:ascii="Arial" w:cs="Arial" w:eastAsia="Arial" w:hAnsi="Arial"/>
                <w:sz w:val="16"/>
                <w:szCs w:val="16"/>
                <w:b w:val="1"/>
                <w:bCs w:val="1"/>
                <w:color w:val="auto"/>
              </w:rPr>
              <w:t>Financing Facilities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46,716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778,284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974,036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6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1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1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0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9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92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Automotive Capital Asset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60" w:type="dxa"/>
            <w:vAlign w:val="bottom"/>
            <w:gridSpan w:val="2"/>
          </w:tcPr>
          <w:p>
            <w:pPr>
              <w:ind w:left="200"/>
              <w:spacing w:after="0"/>
              <w:rPr>
                <w:sz w:val="20"/>
                <w:szCs w:val="20"/>
                <w:color w:val="auto"/>
              </w:rPr>
            </w:pPr>
            <w:r>
              <w:rPr>
                <w:rFonts w:ascii="Arial" w:cs="Arial" w:eastAsia="Arial" w:hAnsi="Arial"/>
                <w:sz w:val="16"/>
                <w:szCs w:val="16"/>
                <w:b w:val="1"/>
                <w:bCs w:val="1"/>
                <w:color w:val="auto"/>
                <w:w w:val="98"/>
              </w:rPr>
              <w:t xml:space="preserve">Receivables Trust (ACART) - </w:t>
            </w:r>
            <w:r>
              <w:rPr>
                <w:rFonts w:ascii="Arial" w:cs="Arial" w:eastAsia="Arial" w:hAnsi="Arial"/>
                <w:sz w:val="16"/>
                <w:szCs w:val="16"/>
                <w:color w:val="auto"/>
                <w:w w:val="98"/>
              </w:rPr>
              <w:t>Loan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200"/>
              <w:spacing w:after="0"/>
              <w:rPr>
                <w:sz w:val="20"/>
                <w:szCs w:val="20"/>
                <w:color w:val="auto"/>
              </w:rPr>
            </w:pPr>
            <w:r>
              <w:rPr>
                <w:rFonts w:ascii="Arial" w:cs="Arial" w:eastAsia="Arial" w:hAnsi="Arial"/>
                <w:sz w:val="16"/>
                <w:szCs w:val="16"/>
                <w:color w:val="auto"/>
              </w:rPr>
              <w:t>Series 2017-1 (8)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2021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2019</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24,582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46,716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778,284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998,618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60" w:hanging="492"/>
        <w:spacing w:after="0" w:line="263" w:lineRule="auto"/>
        <w:tabs>
          <w:tab w:leader="none" w:pos="5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Borrowing capacity is available to us provided that we have eligible collateral to pledge. Collateral may only be pledged to one facility. At December 31, 2018, none of the available borrowing capacity of our advance financing notes could be used based on the amount of eligible collateral that had been pledged.</w:t>
      </w:r>
    </w:p>
    <w:p>
      <w:pPr>
        <w:ind w:left="500" w:hanging="492"/>
        <w:spacing w:after="0"/>
        <w:tabs>
          <w:tab w:leader="none" w:pos="5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1ML was 2.50% and 1.56% at December 31, 2018 and 2017, respectively.</w:t>
      </w:r>
    </w:p>
    <w:p>
      <w:pPr>
        <w:spacing w:after="0" w:line="5" w:lineRule="exact"/>
        <w:rPr>
          <w:rFonts w:ascii="Arial" w:cs="Arial" w:eastAsia="Arial" w:hAnsi="Arial"/>
          <w:sz w:val="16"/>
          <w:szCs w:val="16"/>
          <w:color w:val="auto"/>
        </w:rPr>
      </w:pPr>
    </w:p>
    <w:p>
      <w:pPr>
        <w:ind w:left="500" w:right="80" w:hanging="492"/>
        <w:spacing w:after="0" w:line="281" w:lineRule="auto"/>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Effective January 1, 2018, the borrowing capacity of the Series 2014-VF4 and the Series 2015-VF5 variable rate notes were each reduced from $105.0 million to $70.0 million. The interest rate was based on 1ML, with a ceiling of 125 basis points (bps) plus a margin of 235 to 635 bps. On July 13, 2018, we increased the borrowing capacity of the Series 2015-VF5 variable notes to $225.0 million and extended the amortization date to December 15, 2019, with interest computed based on the lender’s cost of funds plus a margin of 105 to 250 bps. The increased capacity was used on July 16, 2018 to redeem the Series 2016-T1 term notes with an outstanding balance of $265.0 million and an amortization date of August 15, 2018. We also voluntarily terminated the Series 2014-VF4 variable notes on July 16, 2018.</w:t>
      </w:r>
    </w:p>
    <w:p>
      <w:pPr>
        <w:spacing w:after="0" w:line="2" w:lineRule="exact"/>
        <w:rPr>
          <w:rFonts w:ascii="Arial" w:cs="Arial" w:eastAsia="Arial" w:hAnsi="Arial"/>
          <w:sz w:val="14"/>
          <w:szCs w:val="14"/>
          <w:color w:val="auto"/>
        </w:rPr>
      </w:pPr>
    </w:p>
    <w:p>
      <w:pPr>
        <w:ind w:left="500" w:right="40" w:hanging="492"/>
        <w:spacing w:after="0" w:line="297" w:lineRule="auto"/>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Under the terms of the agreement, we must continue to borrow the full amount of the Series 2016-T2, 2018-T1 and 2018-T2 fixed-rate term notes until the amortization date. If there is insufficient eligible collateral to support the level of borrowing, the excess cash proceeds in an amount necessary to make up the deficit are not distributed to Ocwen but are held by the trustee, and interest expense continues to be based on the full amount of the outstanding notes. The Series 2016-T2, 2018-T1 and 2018-T2 term notes have a total combined borrowing capacity of $535.0 million. Rates on the individual classes of notes range from 2.72% to 4.53%. The Series</w:t>
      </w:r>
    </w:p>
    <w:p>
      <w:pPr>
        <w:sectPr>
          <w:pgSz w:w="11900" w:h="16838" w:orient="portrait"/>
          <w:cols w:equalWidth="0" w:num="1">
            <w:col w:w="11420"/>
          </w:cols>
          <w:pgMar w:left="240" w:top="796"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796" w:right="239" w:bottom="1440" w:gutter="0" w:footer="0" w:header="0"/>
          <w:type w:val="continuous"/>
        </w:sectPr>
      </w:pPr>
    </w:p>
    <w:bookmarkStart w:id="148" w:name="page149"/>
    <w:bookmarkEnd w:id="148"/>
    <w:p>
      <w:pPr>
        <w:ind w:left="500" w:right="120"/>
        <w:spacing w:after="0" w:line="317" w:lineRule="auto"/>
        <w:rPr>
          <w:sz w:val="20"/>
          <w:szCs w:val="20"/>
          <w:color w:val="auto"/>
        </w:rPr>
      </w:pPr>
      <w:r>
        <w:rPr>
          <w:rFonts w:ascii="Arial" w:cs="Arial" w:eastAsia="Arial" w:hAnsi="Arial"/>
          <w:sz w:val="16"/>
          <w:szCs w:val="16"/>
          <w:color w:val="auto"/>
        </w:rPr>
        <w:t>2016-T1 and Series 2017-T1 term notes were redeemed on July 16, 2018 and August 14, 2018, respectively. On August 15, 2018, we issued two $150.0 million fixed-rate term notes (Series 2018 T-1 and Series 2018-T2) with amortization dates of August 15, 2019 and August 17, 2020, respectively</w:t>
      </w:r>
    </w:p>
    <w:p>
      <w:pPr>
        <w:jc w:val="both"/>
        <w:ind w:left="500" w:right="300" w:hanging="492"/>
        <w:spacing w:after="0" w:line="252"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voluntarily terminated the Series 2014-VF1 variable notes on December 5, 2018. The maximum borrowing capacity under this facility was $55.0 million. There was a ceiling of 300 bps for 3ML in determining the interest rate for these variable rate notes. Rates on the individual notes were based on the lender’s cost of funds plus a margin of 235 to 475 bps.</w:t>
      </w:r>
    </w:p>
    <w:p>
      <w:pPr>
        <w:spacing w:after="0" w:line="1" w:lineRule="exact"/>
        <w:rPr>
          <w:rFonts w:ascii="Arial" w:cs="Arial" w:eastAsia="Arial" w:hAnsi="Arial"/>
          <w:sz w:val="16"/>
          <w:szCs w:val="16"/>
          <w:color w:val="auto"/>
        </w:rPr>
      </w:pPr>
    </w:p>
    <w:p>
      <w:pPr>
        <w:ind w:left="500" w:right="60" w:hanging="492"/>
        <w:spacing w:after="0" w:line="246"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June 7, 2018, borrowing capacity was reduced from $110.0 million to $65.0 million with interest computed based on the lender’s cost of funds plus a margin of 180 to 450 bps. There is a ceiling of 300 bps for 3ML in determining the interest rate for these variable rate notes.</w:t>
      </w:r>
    </w:p>
    <w:p>
      <w:pPr>
        <w:ind w:left="500" w:hanging="492"/>
        <w:spacing w:after="0"/>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January 23, 2018, we voluntarily terminated the Loan Series 2017-1 Notes.</w:t>
      </w:r>
    </w:p>
    <w:p>
      <w:pPr>
        <w:spacing w:after="0" w:line="20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December 31, 2018, we were the servicer of Rights to MSRs sold to NRZ pertaining to $88.3 billion in UPB and the associated outstanding servicing advances as of such date were approximately $2.7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certain servicing advances even if NRZ does not perform its contractual obligations to fund those advances. See Note 9 — Rights to MSRs for additional information.</w:t>
      </w:r>
    </w:p>
    <w:p>
      <w:pPr>
        <w:spacing w:after="0" w:line="5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Outstanding Balance at</w:t>
            </w:r>
          </w:p>
        </w:tc>
        <w:tc>
          <w:tcPr>
            <w:tcW w:w="0" w:type="dxa"/>
            <w:vAlign w:val="bottom"/>
          </w:tcPr>
          <w:p>
            <w:pPr>
              <w:spacing w:after="0"/>
              <w:rPr>
                <w:sz w:val="1"/>
                <w:szCs w:val="1"/>
                <w:color w:val="auto"/>
              </w:rPr>
            </w:pPr>
          </w:p>
        </w:tc>
      </w:t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gridSpan w:val="2"/>
          </w:tcPr>
          <w:p>
            <w:pPr>
              <w:ind w:left="1840"/>
              <w:spacing w:after="0"/>
              <w:rPr>
                <w:sz w:val="20"/>
                <w:szCs w:val="20"/>
                <w:color w:val="auto"/>
              </w:rPr>
            </w:pPr>
            <w:r>
              <w:rPr>
                <w:rFonts w:ascii="Arial" w:cs="Arial" w:eastAsia="Arial" w:hAnsi="Arial"/>
                <w:sz w:val="18"/>
                <w:szCs w:val="18"/>
                <w:b w:val="1"/>
                <w:bCs w:val="1"/>
                <w:color w:val="auto"/>
              </w:rPr>
              <w:t>Borrowing Type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4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HMBS-Related Borrowings, at fair value (1)</w:t>
            </w: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+ 260</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gridSpan w:val="2"/>
            <w:vMerge w:val="continue"/>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5,380,448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Other Financing Liabilities</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MSRs pledged, at fair value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Original Rights to MSRs Agreements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436,511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499,042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138,854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PHH MSR Agreements</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457,491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1,032,856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508,291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7"/>
              </w:rPr>
              <w:t>Secured Notes, Ocwen Asset Servicing Income Series, Series</w:t>
            </w: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2014-1 (5)</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Feb. 2028</w:t>
            </w:r>
          </w:p>
        </w:tc>
        <w:tc>
          <w:tcPr>
            <w:tcW w:w="2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65,523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72,575</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Financing liability - Owed to securitization investors, at fair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340"/>
              <w:spacing w:after="0"/>
              <w:rPr>
                <w:sz w:val="20"/>
                <w:szCs w:val="20"/>
                <w:color w:val="auto"/>
              </w:rPr>
            </w:pPr>
            <w:r>
              <w:rPr>
                <w:rFonts w:ascii="Arial" w:cs="Arial" w:eastAsia="Arial" w:hAnsi="Arial"/>
                <w:sz w:val="18"/>
                <w:szCs w:val="18"/>
                <w:color w:val="auto"/>
              </w:rPr>
              <w:t>value: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IndyMac Mortgage Loan Trust (INDX 2004-AR11) (6)</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investment</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(6)</w:t>
            </w: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11,012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80"/>
              <w:spacing w:after="0"/>
              <w:rPr>
                <w:sz w:val="20"/>
                <w:szCs w:val="20"/>
                <w:color w:val="auto"/>
              </w:rPr>
            </w:pPr>
            <w:r>
              <w:rPr>
                <w:rFonts w:ascii="Arial" w:cs="Arial" w:eastAsia="Arial" w:hAnsi="Arial"/>
                <w:sz w:val="18"/>
                <w:szCs w:val="18"/>
                <w:color w:val="auto"/>
                <w:w w:val="96"/>
              </w:rPr>
              <w:t>Residential Asset Securitization Trust 2003-A11 (RAST 2003-</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A11) (6)</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Advances pledged (7)</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loans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1,127,613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593,518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116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112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1140" w:type="dxa"/>
            <w:vAlign w:val="bottom"/>
            <w:tcBorders>
              <w:bottom w:val="single" w:sz="8" w:color="EAF9E8"/>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6,508,061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5,195,074</w:t>
            </w:r>
          </w:p>
        </w:tc>
        <w:tc>
          <w:tcPr>
            <w:tcW w:w="0" w:type="dxa"/>
            <w:vAlign w:val="bottom"/>
          </w:tcPr>
          <w:p>
            <w:pPr>
              <w:spacing w:after="0"/>
              <w:rPr>
                <w:sz w:val="1"/>
                <w:szCs w:val="1"/>
                <w:color w:val="auto"/>
              </w:rPr>
            </w:pPr>
          </w:p>
        </w:tc>
      </w:tr>
      <w:tr>
        <w:trPr>
          <w:trHeight w:val="20"/>
        </w:trPr>
        <w:tc>
          <w:tcPr>
            <w:tcW w:w="49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80" w:type="dxa"/>
            <w:vAlign w:val="bottom"/>
            <w:tcBorders>
              <w:top w:val="single" w:sz="8" w:color="EAF9E8"/>
              <w:bottom w:val="single" w:sz="8" w:color="EAF9E8"/>
            </w:tcBorders>
            <w:gridSpan w:val="2"/>
            <w:vMerge w:val="restart"/>
          </w:tcPr>
          <w:p>
            <w:pPr>
              <w:ind w:left="500"/>
              <w:spacing w:after="0"/>
              <w:rPr>
                <w:sz w:val="20"/>
                <w:szCs w:val="20"/>
                <w:color w:val="auto"/>
              </w:rPr>
            </w:pPr>
            <w:r>
              <w:rPr>
                <w:rFonts w:ascii="Arial" w:cs="Arial" w:eastAsia="Arial" w:hAnsi="Arial"/>
                <w:sz w:val="18"/>
                <w:szCs w:val="18"/>
                <w:color w:val="auto"/>
              </w:rPr>
              <w:t>F-46</w:t>
            </w: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149" w:name="page150"/>
    <w:bookmarkEnd w:id="149"/>
    <w:p>
      <w:pPr>
        <w:ind w:left="492" w:right="280" w:hanging="492"/>
        <w:spacing w:after="0" w:line="255" w:lineRule="auto"/>
        <w:tabs>
          <w:tab w:leader="none" w:pos="4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1" w:lineRule="exact"/>
        <w:rPr>
          <w:rFonts w:ascii="Arial" w:cs="Arial" w:eastAsia="Arial" w:hAnsi="Arial"/>
          <w:sz w:val="16"/>
          <w:szCs w:val="16"/>
          <w:color w:val="auto"/>
        </w:rPr>
      </w:pPr>
    </w:p>
    <w:p>
      <w:pPr>
        <w:ind w:left="492" w:right="240" w:hanging="492"/>
        <w:spacing w:after="0" w:line="246" w:lineRule="auto"/>
        <w:tabs>
          <w:tab w:leader="none" w:pos="4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financing liability has no contractual maturity or repayment schedule. The balance of the liability is adjusted each reporting period to its fair value based on the present value of the estimated future cash flows underlying the related MSRs.</w:t>
      </w:r>
    </w:p>
    <w:p>
      <w:pPr>
        <w:ind w:left="492" w:right="60" w:hanging="492"/>
        <w:spacing w:after="0" w:line="263" w:lineRule="auto"/>
        <w:tabs>
          <w:tab w:leader="none" w:pos="492"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lump sum payments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The balance of the liability is adjusted each reporting period to its fair value based on the present value of the estimated future cash flows. The expected maturity of the liability is April 30, 2020, the date through which we were scheduled to be the servicer on loans underlying the Rights to MSRs per the Original Rights to MSRs Agreements.</w:t>
      </w:r>
    </w:p>
    <w:p>
      <w:pPr>
        <w:ind w:left="492" w:right="160" w:hanging="492"/>
        <w:spacing w:after="0" w:line="246" w:lineRule="auto"/>
        <w:tabs>
          <w:tab w:leader="none" w:pos="4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a liability for sales of MSRs that are accounted for as a secured borrowing which we assumed in connection with the acquisition of PHH. Under this accounting treatment, the MSRs transferred to NRZ remain on the consolidated balance sheet and the proceeds from the sale are recognized as a secured liability. We elected to record the liability at fair value consistent with the related MSRs.</w:t>
      </w:r>
    </w:p>
    <w:p>
      <w:pPr>
        <w:spacing w:after="0" w:line="1" w:lineRule="exact"/>
        <w:rPr>
          <w:rFonts w:ascii="Arial" w:cs="Arial" w:eastAsia="Arial" w:hAnsi="Arial"/>
          <w:sz w:val="16"/>
          <w:szCs w:val="16"/>
          <w:color w:val="auto"/>
        </w:rPr>
      </w:pPr>
    </w:p>
    <w:p>
      <w:pPr>
        <w:jc w:val="both"/>
        <w:ind w:left="492" w:right="120" w:hanging="492"/>
        <w:spacing w:after="0" w:line="246" w:lineRule="auto"/>
        <w:tabs>
          <w:tab w:leader="none" w:pos="4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6"/>
          <w:szCs w:val="16"/>
          <w:color w:val="auto"/>
        </w:rPr>
      </w:pPr>
    </w:p>
    <w:p>
      <w:pPr>
        <w:ind w:left="492" w:hanging="492"/>
        <w:spacing w:after="0" w:line="263" w:lineRule="auto"/>
        <w:tabs>
          <w:tab w:leader="none" w:pos="492"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Consists of securitization debt certificates due to third parties that represent beneficial interests in trusts that we include in our unaudited consolidated financial statements, as more fully described in Note 3 — Securitizations and Variable Interest Entities. The holders of these certificates have no recourse against the assets of Ocwen. The certificates in the INDX 2004-AR11 Trust pay interest based on variable rates which are generally based on weighted average net mortgage rates and which range between 3.68% and 4.26% at December 31, 2018. The certificates in the RAST 2003-A11 Trust pay interest based on fixed rates ranging between 4.25% and 5.75% and a variable rate based on 1ML plus 0.45%. The maturity of the certificates occurs upon maturity of the loans held by the trust. The remaining loans in the INDX 2004-AR11 Trust and RAST 2003-A11 Trust have maturity dates extending through November 2034 and October 2033, respectively.</w:t>
      </w:r>
    </w:p>
    <w:p>
      <w:pPr>
        <w:ind w:left="492" w:right="60" w:hanging="492"/>
        <w:spacing w:after="0" w:line="257" w:lineRule="auto"/>
        <w:tabs>
          <w:tab w:leader="none" w:pos="492" w:val="left"/>
        </w:tabs>
        <w:numPr>
          <w:ilvl w:val="0"/>
          <w:numId w:val="74"/>
        </w:numPr>
        <w:rPr>
          <w:rFonts w:ascii="Arial" w:cs="Arial" w:eastAsia="Arial" w:hAnsi="Arial"/>
          <w:sz w:val="16"/>
          <w:szCs w:val="16"/>
          <w:color w:val="auto"/>
        </w:rPr>
      </w:pPr>
      <w:r>
        <w:rPr>
          <w:rFonts w:ascii="Arial" w:cs="Arial" w:eastAsia="Arial" w:hAnsi="Arial"/>
          <w:sz w:val="16"/>
          <w:szCs w:val="16"/>
          <w:color w:val="auto"/>
        </w:rPr>
        <w:t>Certain sales of advances did not qualify for sales accounting treatment and were accounted for as a financing. This financing liability has no contractual maturity. The effective interest rate is based on 1ML plus a margin of 450 bps.</w:t>
      </w:r>
    </w:p>
    <w:p>
      <w:pPr>
        <w:spacing w:after="0" w:line="31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72"/>
          </w:cols>
          <w:pgMar w:left="248" w:top="697" w:right="27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Outstanding Balance at December</w:t>
            </w:r>
          </w:p>
        </w:tc>
        <w:tc>
          <w:tcPr>
            <w:tcW w:w="0" w:type="dxa"/>
            <w:vAlign w:val="bottom"/>
          </w:tcPr>
          <w:p>
            <w:pPr>
              <w:spacing w:after="0"/>
              <w:rPr>
                <w:sz w:val="1"/>
                <w:szCs w:val="1"/>
                <w:color w:val="auto"/>
              </w:rPr>
            </w:pPr>
          </w:p>
        </w:tc>
      </w:tr>
      <w:tr>
        <w:trPr>
          <w:trHeight w:val="234"/>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1"/>
              </w:rPr>
              <w:t>Available</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Termination /</w:t>
            </w:r>
          </w:p>
        </w:tc>
        <w:tc>
          <w:tcPr>
            <w:tcW w:w="140" w:type="dxa"/>
            <w:vAlign w:val="bottom"/>
          </w:tcPr>
          <w:p>
            <w:pPr>
              <w:spacing w:after="0"/>
              <w:rPr>
                <w:sz w:val="18"/>
                <w:szCs w:val="18"/>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3"/>
              </w:rPr>
              <w:t>Borrowing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78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5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4"/>
              </w:rPr>
              <w:t>Capacity (1)</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1-Month Euro-</w:t>
            </w: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dollar rate + 500</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bps with a</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SSTL (2)</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00" w:type="dxa"/>
            <w:vAlign w:val="bottom"/>
            <w:tcBorders>
              <w:bottom w:val="single" w:sz="8" w:color="EAF9E8"/>
            </w:tcBorders>
            <w:gridSpan w:val="2"/>
            <w:vMerge w:val="continue"/>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2"/>
                <w:szCs w:val="22"/>
                <w:color w:val="auto"/>
              </w:rPr>
            </w:pPr>
          </w:p>
        </w:tc>
        <w:tc>
          <w:tcPr>
            <w:tcW w:w="15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100 bps (2)</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2020</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EAF9E8"/>
            </w:tcBorders>
            <w:gridSpan w:val="3"/>
            <w:shd w:val="clear" w:color="auto" w:fill="EAF9E8"/>
          </w:tcPr>
          <w:p>
            <w:pPr>
              <w:jc w:val="right"/>
              <w:ind w:right="9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231,500</w:t>
            </w:r>
          </w:p>
        </w:tc>
        <w:tc>
          <w:tcPr>
            <w:tcW w:w="50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298,251</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4"/>
              </w:rPr>
              <w:t>Mortgage loan warehouse facilities</w:t>
            </w: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1ML + 195 - 300</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Repurchase agreement (3)</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2019</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25,307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74,693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Participation agreements (4)</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42,331</w:t>
            </w: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161,433</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 (reverse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1ML floor of 350</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80"/>
              <w:spacing w:after="0"/>
              <w:rPr>
                <w:sz w:val="20"/>
                <w:szCs w:val="20"/>
                <w:color w:val="auto"/>
              </w:rPr>
            </w:pPr>
            <w:r>
              <w:rPr>
                <w:rFonts w:ascii="Arial" w:cs="Arial" w:eastAsia="Arial" w:hAnsi="Arial"/>
                <w:sz w:val="18"/>
                <w:szCs w:val="18"/>
                <w:color w:val="auto"/>
                <w:w w:val="94"/>
              </w:rPr>
              <w:t>Mortgage warehouse agreement (5)</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mortgages)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2019</w:t>
            </w:r>
          </w:p>
        </w:tc>
        <w:tc>
          <w:tcPr>
            <w:tcW w:w="140" w:type="dxa"/>
            <w:vAlign w:val="bottom"/>
          </w:tcPr>
          <w:p>
            <w:pPr>
              <w:spacing w:after="0"/>
              <w:rPr>
                <w:sz w:val="20"/>
                <w:szCs w:val="20"/>
                <w:color w:val="auto"/>
              </w:rPr>
            </w:pPr>
          </w:p>
        </w:tc>
        <w:tc>
          <w:tcPr>
            <w:tcW w:w="15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LHFS (forward</w:t>
            </w:r>
          </w:p>
        </w:tc>
        <w:tc>
          <w:tcPr>
            <w:tcW w:w="15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+ 225 bps</w:t>
            </w: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and reverse</w:t>
            </w:r>
          </w:p>
        </w:tc>
        <w:tc>
          <w:tcPr>
            <w:tcW w:w="156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7"/>
              </w:rPr>
              <w:t>forward; 1ML +</w:t>
            </w: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Master repurchase agreement (6)</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mortgages)</w:t>
            </w:r>
          </w:p>
        </w:tc>
        <w:tc>
          <w:tcPr>
            <w:tcW w:w="15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6"/>
              </w:rPr>
              <w:t>275 bps reverse</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2019</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169,320</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30,680</w:t>
            </w:r>
          </w:p>
        </w:tc>
        <w:tc>
          <w:tcPr>
            <w:tcW w:w="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54,086</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 (reverse</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Prime + 0.0%</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Master repurchase agreement (7)</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mortgages)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(4.0% floor)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Jan. 2020</w:t>
            </w:r>
          </w:p>
        </w:tc>
        <w:tc>
          <w:tcPr>
            <w:tcW w:w="140" w:type="dxa"/>
            <w:vAlign w:val="bottom"/>
          </w:tcPr>
          <w:p>
            <w:pPr>
              <w:spacing w:after="0"/>
              <w:rPr>
                <w:sz w:val="20"/>
                <w:szCs w:val="20"/>
                <w:color w:val="auto"/>
              </w:rPr>
            </w:pPr>
          </w:p>
        </w:tc>
        <w:tc>
          <w:tcPr>
            <w:tcW w:w="15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Master repurchase agreement (8)</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N/A</w:t>
            </w:r>
          </w:p>
        </w:tc>
        <w:tc>
          <w:tcPr>
            <w:tcW w:w="15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+ 170bps</w:t>
            </w:r>
          </w:p>
        </w:tc>
        <w:tc>
          <w:tcPr>
            <w:tcW w:w="14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EAF9E8"/>
            </w:tcBorders>
            <w:shd w:val="clear" w:color="auto" w:fill="EAF9E8"/>
          </w:tcPr>
          <w:p>
            <w:pPr>
              <w:spacing w:after="0"/>
              <w:rPr>
                <w:sz w:val="23"/>
                <w:szCs w:val="23"/>
                <w:color w:val="auto"/>
              </w:rPr>
            </w:pPr>
          </w:p>
        </w:tc>
        <w:tc>
          <w:tcPr>
            <w:tcW w:w="1520" w:type="dxa"/>
            <w:vAlign w:val="bottom"/>
            <w:tcBorders>
              <w:bottom w:val="single" w:sz="8" w:color="EAF9E8"/>
            </w:tcBorders>
            <w:gridSpan w:val="3"/>
            <w:shd w:val="clear" w:color="auto" w:fill="EAF9E8"/>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194,627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155,713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255,782</w:t>
            </w:r>
          </w:p>
        </w:tc>
        <w:tc>
          <w:tcPr>
            <w:tcW w:w="0" w:type="dxa"/>
            <w:vAlign w:val="bottom"/>
          </w:tcPr>
          <w:p>
            <w:pPr>
              <w:spacing w:after="0"/>
              <w:rPr>
                <w:sz w:val="1"/>
                <w:szCs w:val="1"/>
                <w:color w:val="auto"/>
              </w:rPr>
            </w:pPr>
          </w:p>
        </w:tc>
      </w:tr>
      <w:tr>
        <w:trPr>
          <w:trHeight w:val="27"/>
        </w:trPr>
        <w:tc>
          <w:tcPr>
            <w:tcW w:w="28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80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2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46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36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194,627</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EAF9E8"/>
            </w:tcBorders>
          </w:tcPr>
          <w:p>
            <w:pPr>
              <w:spacing w:after="0"/>
              <w:rPr>
                <w:sz w:val="24"/>
                <w:szCs w:val="24"/>
                <w:color w:val="auto"/>
              </w:rPr>
            </w:pPr>
          </w:p>
        </w:tc>
        <w:tc>
          <w:tcPr>
            <w:tcW w:w="940" w:type="dxa"/>
            <w:vAlign w:val="bottom"/>
            <w:tcBorders>
              <w:bottom w:val="single" w:sz="8" w:color="EAF9E8"/>
            </w:tcBorders>
          </w:tcPr>
          <w:p>
            <w:pPr>
              <w:jc w:val="right"/>
              <w:ind w:right="10"/>
              <w:spacing w:after="0"/>
              <w:rPr>
                <w:sz w:val="20"/>
                <w:szCs w:val="20"/>
                <w:color w:val="auto"/>
              </w:rPr>
            </w:pPr>
            <w:r>
              <w:rPr>
                <w:rFonts w:ascii="Arial" w:cs="Arial" w:eastAsia="Arial" w:hAnsi="Arial"/>
                <w:sz w:val="18"/>
                <w:szCs w:val="18"/>
                <w:color w:val="auto"/>
              </w:rPr>
              <w:t>387,213</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EAF9E8"/>
            </w:tcBorders>
          </w:tcPr>
          <w:p>
            <w:pPr>
              <w:spacing w:after="0"/>
              <w:rPr>
                <w:sz w:val="24"/>
                <w:szCs w:val="24"/>
                <w:color w:val="auto"/>
              </w:rPr>
            </w:pPr>
          </w:p>
        </w:tc>
        <w:tc>
          <w:tcPr>
            <w:tcW w:w="104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554,033</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EAF9E8"/>
            </w:tcBorders>
            <w:gridSpan w:val="4"/>
            <w:shd w:val="clear" w:color="auto" w:fill="EAF9E8"/>
          </w:tcPr>
          <w:p>
            <w:pPr>
              <w:ind w:left="40"/>
              <w:spacing w:after="0" w:line="203" w:lineRule="exact"/>
              <w:rPr>
                <w:sz w:val="20"/>
                <w:szCs w:val="20"/>
                <w:color w:val="auto"/>
              </w:rPr>
            </w:pPr>
            <w:r>
              <w:rPr>
                <w:rFonts w:ascii="Arial" w:cs="Arial" w:eastAsia="Arial" w:hAnsi="Arial"/>
                <w:sz w:val="18"/>
                <w:szCs w:val="18"/>
                <w:b w:val="1"/>
                <w:bCs w:val="1"/>
                <w:color w:val="auto"/>
              </w:rPr>
              <w:t>Unamortized debt issuance costs - SSTL</w:t>
            </w:r>
          </w:p>
        </w:tc>
        <w:tc>
          <w:tcPr>
            <w:tcW w:w="146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1360" w:type="dxa"/>
            <w:vAlign w:val="bottom"/>
            <w:tcBorders>
              <w:bottom w:val="single" w:sz="8" w:color="EAF9E8"/>
            </w:tcBorders>
            <w:shd w:val="clear" w:color="auto" w:fill="EAF9E8"/>
          </w:tcPr>
          <w:p>
            <w:pPr>
              <w:spacing w:after="0"/>
              <w:rPr>
                <w:sz w:val="18"/>
                <w:szCs w:val="18"/>
                <w:color w:val="auto"/>
              </w:rPr>
            </w:pPr>
          </w:p>
        </w:tc>
        <w:tc>
          <w:tcPr>
            <w:tcW w:w="12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1100" w:type="dxa"/>
            <w:vAlign w:val="bottom"/>
            <w:tcBorders>
              <w:bottom w:val="single" w:sz="8" w:color="EAF9E8"/>
            </w:tcBorders>
            <w:shd w:val="clear" w:color="auto" w:fill="EAF9E8"/>
          </w:tcPr>
          <w:p>
            <w:pPr>
              <w:spacing w:after="0"/>
              <w:rPr>
                <w:sz w:val="18"/>
                <w:szCs w:val="18"/>
                <w:color w:val="auto"/>
              </w:rPr>
            </w:pPr>
          </w:p>
        </w:tc>
        <w:tc>
          <w:tcPr>
            <w:tcW w:w="120" w:type="dxa"/>
            <w:vAlign w:val="bottom"/>
            <w:tcBorders>
              <w:bottom w:val="single" w:sz="8" w:color="EAF9E8"/>
            </w:tcBorders>
            <w:shd w:val="clear" w:color="auto" w:fill="EAF9E8"/>
          </w:tcPr>
          <w:p>
            <w:pPr>
              <w:spacing w:after="0"/>
              <w:rPr>
                <w:sz w:val="18"/>
                <w:szCs w:val="18"/>
                <w:color w:val="auto"/>
              </w:rPr>
            </w:pPr>
          </w:p>
        </w:tc>
        <w:tc>
          <w:tcPr>
            <w:tcW w:w="300" w:type="dxa"/>
            <w:vAlign w:val="bottom"/>
            <w:tcBorders>
              <w:bottom w:val="single" w:sz="8" w:color="EAF9E8"/>
            </w:tcBorders>
            <w:shd w:val="clear" w:color="auto" w:fill="EAF9E8"/>
          </w:tcPr>
          <w:p>
            <w:pPr>
              <w:spacing w:after="0"/>
              <w:rPr>
                <w:sz w:val="18"/>
                <w:szCs w:val="18"/>
                <w:color w:val="auto"/>
              </w:rPr>
            </w:pPr>
          </w:p>
        </w:tc>
        <w:tc>
          <w:tcPr>
            <w:tcW w:w="940" w:type="dxa"/>
            <w:vAlign w:val="bottom"/>
            <w:tcBorders>
              <w:bottom w:val="single" w:sz="8" w:color="EAF9E8"/>
            </w:tcBorders>
            <w:shd w:val="clear" w:color="auto" w:fill="EAF9E8"/>
          </w:tcPr>
          <w:p>
            <w:pPr>
              <w:jc w:val="right"/>
              <w:spacing w:after="0" w:line="203" w:lineRule="exact"/>
              <w:rPr>
                <w:sz w:val="20"/>
                <w:szCs w:val="20"/>
                <w:color w:val="auto"/>
              </w:rPr>
            </w:pPr>
            <w:r>
              <w:rPr>
                <w:rFonts w:ascii="Arial" w:cs="Arial" w:eastAsia="Arial" w:hAnsi="Arial"/>
                <w:sz w:val="18"/>
                <w:szCs w:val="18"/>
                <w:color w:val="auto"/>
              </w:rPr>
              <w:t>(3,098)</w:t>
            </w:r>
          </w:p>
        </w:tc>
        <w:tc>
          <w:tcPr>
            <w:tcW w:w="10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300" w:type="dxa"/>
            <w:vAlign w:val="bottom"/>
            <w:tcBorders>
              <w:bottom w:val="single" w:sz="8" w:color="EAF9E8"/>
            </w:tcBorders>
            <w:shd w:val="clear" w:color="auto" w:fill="EAF9E8"/>
          </w:tcPr>
          <w:p>
            <w:pPr>
              <w:spacing w:after="0"/>
              <w:rPr>
                <w:sz w:val="18"/>
                <w:szCs w:val="18"/>
                <w:color w:val="auto"/>
              </w:rPr>
            </w:pPr>
          </w:p>
        </w:tc>
        <w:tc>
          <w:tcPr>
            <w:tcW w:w="1040" w:type="dxa"/>
            <w:vAlign w:val="bottom"/>
            <w:tcBorders>
              <w:bottom w:val="single" w:sz="8" w:color="EAF9E8"/>
            </w:tcBorders>
            <w:shd w:val="clear" w:color="auto" w:fill="EAF9E8"/>
          </w:tcPr>
          <w:p>
            <w:pPr>
              <w:jc w:val="right"/>
              <w:ind w:right="30"/>
              <w:spacing w:after="0" w:line="203" w:lineRule="exact"/>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b w:val="1"/>
                <w:bCs w:val="1"/>
                <w:color w:val="auto"/>
              </w:rPr>
              <w:t>Discount - SSTL</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7"/>
        </w:trPr>
        <w:tc>
          <w:tcPr>
            <w:tcW w:w="28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520" w:type="dxa"/>
            <w:vAlign w:val="bottom"/>
            <w:tcBorders>
              <w:bottom w:val="single" w:sz="8" w:color="EAF9E8"/>
            </w:tcBorders>
            <w:gridSpan w:val="3"/>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382,538</w:t>
            </w:r>
          </w:p>
        </w:tc>
        <w:tc>
          <w:tcPr>
            <w:tcW w:w="50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545,850</w:t>
            </w:r>
          </w:p>
        </w:tc>
        <w:tc>
          <w:tcPr>
            <w:tcW w:w="0" w:type="dxa"/>
            <w:vAlign w:val="bottom"/>
          </w:tcPr>
          <w:p>
            <w:pPr>
              <w:spacing w:after="0"/>
              <w:rPr>
                <w:sz w:val="1"/>
                <w:szCs w:val="1"/>
                <w:color w:val="auto"/>
              </w:rPr>
            </w:pPr>
          </w:p>
        </w:tc>
      </w:tr>
      <w:tr>
        <w:trPr>
          <w:trHeight w:val="20"/>
        </w:trPr>
        <w:tc>
          <w:tcPr>
            <w:tcW w:w="28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6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3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interest rate</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040" w:type="dxa"/>
            <w:vAlign w:val="bottom"/>
            <w:tcBorders>
              <w:bottom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52"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Available borrowing capacity for our mortgage loan warehouse facilities does not consider the amount of the facility that the lender has extended on an uncommitted basis. Of the borrowing capacity extended on a committed basis, $62.4 million could be used at December 31, 2018 based on the amount of eligible collateral that could be pledged.</w:t>
      </w:r>
    </w:p>
    <w:p>
      <w:pPr>
        <w:spacing w:after="0" w:line="1" w:lineRule="exact"/>
        <w:rPr>
          <w:rFonts w:ascii="Arial" w:cs="Arial" w:eastAsia="Arial" w:hAnsi="Arial"/>
          <w:sz w:val="16"/>
          <w:szCs w:val="16"/>
          <w:color w:val="auto"/>
        </w:rPr>
      </w:pPr>
    </w:p>
    <w:p>
      <w:pPr>
        <w:jc w:val="both"/>
        <w:ind w:left="500" w:right="220" w:hanging="492"/>
        <w:spacing w:after="0" w:line="252"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Under the terms of the Amended and Restated Senior Secured Term Loan Facility Agreement with an original borrowing capacity of $335.0 million, we may request increases to the loan amount of up to $100.0 million, with additional increases subject to certain limitations. We are required to make quarterly principal payments of $4.2 million on the SSTL.</w:t>
      </w:r>
    </w:p>
    <w:p>
      <w:pPr>
        <w:spacing w:after="0" w:line="81" w:lineRule="exact"/>
        <w:rPr>
          <w:rFonts w:ascii="Arial" w:cs="Arial" w:eastAsia="Arial" w:hAnsi="Arial"/>
          <w:sz w:val="16"/>
          <w:szCs w:val="16"/>
          <w:color w:val="auto"/>
        </w:rPr>
      </w:pPr>
    </w:p>
    <w:p>
      <w:pPr>
        <w:ind w:left="500" w:right="100"/>
        <w:spacing w:after="0" w:line="252" w:lineRule="auto"/>
        <w:rPr>
          <w:rFonts w:ascii="Arial" w:cs="Arial" w:eastAsia="Arial" w:hAnsi="Arial"/>
          <w:sz w:val="16"/>
          <w:szCs w:val="16"/>
          <w:color w:val="auto"/>
        </w:rPr>
      </w:pPr>
      <w:r>
        <w:rPr>
          <w:rFonts w:ascii="Arial" w:cs="Arial" w:eastAsia="Arial" w:hAnsi="Arial"/>
          <w:sz w:val="16"/>
          <w:szCs w:val="16"/>
          <w:color w:val="auto"/>
        </w:rPr>
        <w:t>Borrowings bear interest, at the election of Ocwen, at a rate per annum equal to either (a) the base rate (the greatest of (i) the prime rate in effect on such day, (ii) the federal funds rate in effect on such day plus 0.50% and (iii) 1ML, plus a margin of 4.00% and subject to a base rate floor of 2.00% or (b) 1ML, plus a margin of 5.00% and subject to a 1ML floor of 1.00%. To date we have elected option (b) to determine the interest rate.</w:t>
      </w:r>
    </w:p>
    <w:p>
      <w:pPr>
        <w:spacing w:after="0" w:line="1" w:lineRule="exact"/>
        <w:rPr>
          <w:rFonts w:ascii="Arial" w:cs="Arial" w:eastAsia="Arial" w:hAnsi="Arial"/>
          <w:sz w:val="16"/>
          <w:szCs w:val="16"/>
          <w:color w:val="auto"/>
        </w:rPr>
      </w:pPr>
    </w:p>
    <w:p>
      <w:pPr>
        <w:ind w:left="500" w:right="320" w:hanging="492"/>
        <w:spacing w:after="0" w:line="263" w:lineRule="auto"/>
        <w:tabs>
          <w:tab w:leader="none" w:pos="5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On September 28, 2018, we renewed this facility through September 27, 2019. In connection with the renewal, we increased the maximum borrowing amount from $137.5 million to $175.0 million, of which $100.0 million is available on a committed basis and the remainder is available at the discretion of the lender.</w:t>
      </w:r>
    </w:p>
    <w:p>
      <w:pPr>
        <w:jc w:val="both"/>
        <w:ind w:left="500" w:right="20" w:hanging="492"/>
        <w:spacing w:after="0" w:line="272" w:lineRule="auto"/>
        <w:tabs>
          <w:tab w:leader="none" w:pos="5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Under these participation agreements, the lender provides financing for a combined total of $250.0 million at the discretion of the lender. The participation agreements allow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May 31, 2018, we renewed these facilities through April 30, 2019 ($175.0 million) and May 31, 2019 ($75.0 million).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742" w:right="239" w:bottom="1440" w:gutter="0" w:footer="0" w:header="0"/>
        </w:sectPr>
      </w:pPr>
    </w:p>
    <w:bookmarkStart w:id="151" w:name="page152"/>
    <w:bookmarkEnd w:id="151"/>
    <w:p>
      <w:pPr>
        <w:jc w:val="both"/>
        <w:ind w:left="500" w:right="260" w:hanging="492"/>
        <w:spacing w:after="0" w:line="252"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 On August 15, 2018, we renewed these facilities through August 15, 2019.</w:t>
      </w:r>
    </w:p>
    <w:p>
      <w:pPr>
        <w:spacing w:after="0" w:line="1" w:lineRule="exact"/>
        <w:rPr>
          <w:rFonts w:ascii="Arial" w:cs="Arial" w:eastAsia="Arial" w:hAnsi="Arial"/>
          <w:sz w:val="16"/>
          <w:szCs w:val="16"/>
          <w:color w:val="auto"/>
        </w:rPr>
      </w:pPr>
    </w:p>
    <w:p>
      <w:pPr>
        <w:jc w:val="both"/>
        <w:ind w:left="500" w:right="40" w:hanging="492"/>
        <w:spacing w:after="0" w:line="246"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On December 7, 2018, we renewed this facility through December 6, 2019. In connection with the renewal, we increased the maximum borrowing amount from $150.0 million to $250.0 million, of which $200.0 million is available on a committed basis and the remainder is available at the discretion of the lender.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6"/>
          <w:szCs w:val="16"/>
          <w:color w:val="auto"/>
        </w:rPr>
      </w:pPr>
    </w:p>
    <w:p>
      <w:pPr>
        <w:ind w:left="500" w:right="500" w:hanging="492"/>
        <w:spacing w:after="0" w:line="246"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at the discretion of the lender. On January 23, 2019, we renewed this facility through January 22, 2020.</w:t>
      </w:r>
    </w:p>
    <w:p>
      <w:pPr>
        <w:ind w:left="500" w:right="120" w:hanging="492"/>
        <w:spacing w:after="0" w:line="257"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agreement was originally entered into by PHH and subsequently assumed by Ocwen in connection with its acquisition of PHH. The lender provides financing for up to $200.0 million at the discretion of the lender. The agreement has no stated maturity date.</w:t>
      </w:r>
    </w:p>
    <w:p>
      <w:pPr>
        <w:spacing w:after="0" w:line="182"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addition to the above mortgage loan warehouse facilities, we entered into a master participation agreement on February 4, 2019 under which the lender will provide $300.0 million of borrowing capacity to PMC on an uncommitted basis to finance single family mortgage loans held for sale.</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Senior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Outstanding Balance at December 31,</w:t>
            </w:r>
          </w:p>
        </w:tc>
      </w:tr>
      <w:tr>
        <w:trPr>
          <w:trHeight w:val="241"/>
        </w:trPr>
        <w:tc>
          <w:tcPr>
            <w:tcW w:w="4060" w:type="dxa"/>
            <w:vAlign w:val="bottom"/>
          </w:tcPr>
          <w:p>
            <w:pPr>
              <w:spacing w:after="0"/>
              <w:rPr>
                <w:sz w:val="20"/>
                <w:szCs w:val="20"/>
                <w:color w:val="auto"/>
              </w:rPr>
            </w:pPr>
          </w:p>
        </w:tc>
        <w:tc>
          <w:tcPr>
            <w:tcW w:w="296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Interest Rate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06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unsecured notes:</w:t>
            </w:r>
          </w:p>
        </w:tc>
        <w:tc>
          <w:tcPr>
            <w:tcW w:w="2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Ocwen (1)</w:t>
            </w:r>
          </w:p>
        </w:tc>
        <w:tc>
          <w:tcPr>
            <w:tcW w:w="2960" w:type="dxa"/>
            <w:vAlign w:val="bottom"/>
          </w:tcPr>
          <w:p>
            <w:pPr>
              <w:jc w:val="center"/>
              <w:ind w:left="1310"/>
              <w:spacing w:after="0"/>
              <w:rPr>
                <w:sz w:val="20"/>
                <w:szCs w:val="20"/>
                <w:color w:val="auto"/>
              </w:rPr>
            </w:pPr>
            <w:r>
              <w:rPr>
                <w:rFonts w:ascii="Arial" w:cs="Arial" w:eastAsia="Arial" w:hAnsi="Arial"/>
                <w:sz w:val="18"/>
                <w:szCs w:val="18"/>
                <w:color w:val="auto"/>
                <w:w w:val="91"/>
              </w:rPr>
              <w:t>6.625%</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3,122</w:t>
            </w:r>
          </w:p>
        </w:tc>
      </w:tr>
      <w:tr>
        <w:trPr>
          <w:trHeight w:val="27"/>
        </w:trPr>
        <w:tc>
          <w:tcPr>
            <w:tcW w:w="4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PHH (2)</w:t>
            </w:r>
          </w:p>
        </w:tc>
        <w:tc>
          <w:tcPr>
            <w:tcW w:w="2960" w:type="dxa"/>
            <w:vAlign w:val="bottom"/>
            <w:tcBorders>
              <w:bottom w:val="single" w:sz="8" w:color="EAF9E8"/>
            </w:tcBorders>
            <w:shd w:val="clear" w:color="auto" w:fill="EAF9E8"/>
          </w:tcPr>
          <w:p>
            <w:pPr>
              <w:jc w:val="center"/>
              <w:ind w:left="1310"/>
              <w:spacing w:after="0"/>
              <w:rPr>
                <w:sz w:val="20"/>
                <w:szCs w:val="20"/>
                <w:color w:val="auto"/>
              </w:rPr>
            </w:pPr>
            <w:r>
              <w:rPr>
                <w:rFonts w:ascii="Arial" w:cs="Arial" w:eastAsia="Arial" w:hAnsi="Arial"/>
                <w:sz w:val="18"/>
                <w:szCs w:val="18"/>
                <w:color w:val="auto"/>
                <w:w w:val="91"/>
              </w:rPr>
              <w:t>7.375%</w:t>
            </w:r>
          </w:p>
        </w:tc>
        <w:tc>
          <w:tcPr>
            <w:tcW w:w="13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7"/>
              </w:rPr>
              <w:t>Sep. 2019</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97,521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PHH (2)</w:t>
            </w:r>
          </w:p>
        </w:tc>
        <w:tc>
          <w:tcPr>
            <w:tcW w:w="2960" w:type="dxa"/>
            <w:vAlign w:val="bottom"/>
          </w:tcPr>
          <w:p>
            <w:pPr>
              <w:jc w:val="center"/>
              <w:ind w:left="1310"/>
              <w:spacing w:after="0"/>
              <w:rPr>
                <w:sz w:val="20"/>
                <w:szCs w:val="20"/>
                <w:color w:val="auto"/>
              </w:rPr>
            </w:pPr>
            <w:r>
              <w:rPr>
                <w:rFonts w:ascii="Arial" w:cs="Arial" w:eastAsia="Arial" w:hAnsi="Arial"/>
                <w:sz w:val="18"/>
                <w:szCs w:val="18"/>
                <w:color w:val="auto"/>
                <w:w w:val="91"/>
              </w:rPr>
              <w:t>6.375%</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Aug. 2021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EAF9E8"/>
            </w:tcBorders>
            <w:shd w:val="clear" w:color="auto" w:fill="EAF9E8"/>
          </w:tcPr>
          <w:p>
            <w:pPr>
              <w:spacing w:after="0"/>
              <w:rPr>
                <w:sz w:val="21"/>
                <w:szCs w:val="21"/>
                <w:color w:val="auto"/>
              </w:rPr>
            </w:pPr>
          </w:p>
        </w:tc>
        <w:tc>
          <w:tcPr>
            <w:tcW w:w="2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119,064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r>
      <w:tr>
        <w:trPr>
          <w:trHeight w:val="324"/>
        </w:trPr>
        <w:tc>
          <w:tcPr>
            <w:tcW w:w="4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secured notes (3)</w:t>
            </w:r>
          </w:p>
        </w:tc>
        <w:tc>
          <w:tcPr>
            <w:tcW w:w="2960" w:type="dxa"/>
            <w:vAlign w:val="bottom"/>
            <w:tcBorders>
              <w:bottom w:val="single" w:sz="8" w:color="EAF9E8"/>
            </w:tcBorders>
            <w:shd w:val="clear" w:color="auto" w:fill="EAF9E8"/>
          </w:tcPr>
          <w:p>
            <w:pPr>
              <w:jc w:val="center"/>
              <w:ind w:left="1310"/>
              <w:spacing w:after="0"/>
              <w:rPr>
                <w:sz w:val="20"/>
                <w:szCs w:val="20"/>
                <w:color w:val="auto"/>
              </w:rPr>
            </w:pPr>
            <w:r>
              <w:rPr>
                <w:rFonts w:ascii="Arial" w:cs="Arial" w:eastAsia="Arial" w:hAnsi="Arial"/>
                <w:sz w:val="18"/>
                <w:szCs w:val="18"/>
                <w:color w:val="auto"/>
                <w:w w:val="91"/>
              </w:rPr>
              <w:t>8.375%</w:t>
            </w:r>
          </w:p>
        </w:tc>
        <w:tc>
          <w:tcPr>
            <w:tcW w:w="13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Nov. 2022</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330,878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346,878</w:t>
            </w:r>
          </w:p>
        </w:tc>
      </w:tr>
      <w:tr>
        <w:trPr>
          <w:trHeight w:val="237"/>
        </w:trPr>
        <w:tc>
          <w:tcPr>
            <w:tcW w:w="4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449,942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40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Unamortized debt issuance costs</w:t>
            </w:r>
          </w:p>
        </w:tc>
        <w:tc>
          <w:tcPr>
            <w:tcW w:w="2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(2,662)</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Fair value adjustments (2)</w:t>
            </w:r>
          </w:p>
        </w:tc>
        <w:tc>
          <w:tcPr>
            <w:tcW w:w="2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Borders>
              <w:bottom w:val="single" w:sz="8" w:color="EAF9E8"/>
            </w:tcBorders>
          </w:tcPr>
          <w:p>
            <w:pPr>
              <w:spacing w:after="0"/>
              <w:rPr>
                <w:sz w:val="2"/>
                <w:szCs w:val="2"/>
                <w:color w:val="auto"/>
              </w:rPr>
            </w:pPr>
          </w:p>
        </w:tc>
        <w:tc>
          <w:tcPr>
            <w:tcW w:w="2960" w:type="dxa"/>
            <w:vAlign w:val="bottom"/>
            <w:tcBorders>
              <w:bottom w:val="single" w:sz="8" w:color="EAF9E8"/>
            </w:tcBorders>
          </w:tcPr>
          <w:p>
            <w:pPr>
              <w:spacing w:after="0"/>
              <w:rPr>
                <w:sz w:val="2"/>
                <w:szCs w:val="2"/>
                <w:color w:val="auto"/>
              </w:rPr>
            </w:pPr>
          </w:p>
        </w:tc>
        <w:tc>
          <w:tcPr>
            <w:tcW w:w="1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EAF9E8"/>
            </w:tcBorders>
            <w:shd w:val="clear" w:color="auto" w:fill="EAF9E8"/>
          </w:tcPr>
          <w:p>
            <w:pPr>
              <w:spacing w:after="0"/>
              <w:rPr>
                <w:sz w:val="22"/>
                <w:szCs w:val="22"/>
                <w:color w:val="auto"/>
              </w:rPr>
            </w:pPr>
          </w:p>
        </w:tc>
        <w:tc>
          <w:tcPr>
            <w:tcW w:w="296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448,727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r>
      <w:tr>
        <w:trPr>
          <w:trHeight w:val="20"/>
        </w:trPr>
        <w:tc>
          <w:tcPr>
            <w:tcW w:w="4060" w:type="dxa"/>
            <w:vAlign w:val="bottom"/>
            <w:tcBorders>
              <w:top w:val="single" w:sz="8" w:color="EAF9E8"/>
            </w:tcBorders>
          </w:tcPr>
          <w:p>
            <w:pPr>
              <w:spacing w:after="0" w:line="20" w:lineRule="exact"/>
              <w:rPr>
                <w:sz w:val="1"/>
                <w:szCs w:val="1"/>
                <w:color w:val="auto"/>
              </w:rPr>
            </w:pPr>
          </w:p>
        </w:tc>
        <w:tc>
          <w:tcPr>
            <w:tcW w:w="2960" w:type="dxa"/>
            <w:vAlign w:val="bottom"/>
            <w:tcBorders>
              <w:top w:val="single" w:sz="8" w:color="EAF9E8"/>
            </w:tcBorders>
          </w:tcPr>
          <w:p>
            <w:pPr>
              <w:spacing w:after="0" w:line="20" w:lineRule="exact"/>
              <w:rPr>
                <w:sz w:val="1"/>
                <w:szCs w:val="1"/>
                <w:color w:val="auto"/>
              </w:rPr>
            </w:pPr>
          </w:p>
        </w:tc>
        <w:tc>
          <w:tcPr>
            <w:tcW w:w="1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480" w:hanging="492"/>
        <w:spacing w:after="0" w:line="255"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December 21, 2018, we redeemed all of the remaining Senior unsecured notes due in May 2019, at a redemption price of 100.0% of the outstanding principal balance plus accrued and unpaid interest.</w:t>
      </w:r>
    </w:p>
    <w:p>
      <w:pPr>
        <w:spacing w:after="0" w:line="1" w:lineRule="exact"/>
        <w:rPr>
          <w:rFonts w:ascii="Arial" w:cs="Arial" w:eastAsia="Arial" w:hAnsi="Arial"/>
          <w:sz w:val="16"/>
          <w:szCs w:val="16"/>
          <w:color w:val="auto"/>
        </w:rPr>
      </w:pPr>
    </w:p>
    <w:p>
      <w:pPr>
        <w:ind w:left="500" w:right="80" w:hanging="492"/>
        <w:spacing w:after="0" w:line="246"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These notes were originally issued by PHH and subsequently assumed by Ocwen in connection with its acquisition of PHH. We recorded the notes at their respective fair values on the date of acquisition, and we are amortizing the resulting fair value adjustments over the remaining term of the notes. We have the option to redeem the notes due in August 2021, in whole or in part, on or after January 1, 2019 at a redemption price equal to 100.0% of the principal amount plus any accrued and unpaid interest.</w:t>
      </w:r>
    </w:p>
    <w:p>
      <w:pPr>
        <w:spacing w:after="0" w:line="1" w:lineRule="exact"/>
        <w:rPr>
          <w:rFonts w:ascii="Arial" w:cs="Arial" w:eastAsia="Arial" w:hAnsi="Arial"/>
          <w:sz w:val="16"/>
          <w:szCs w:val="16"/>
          <w:color w:val="auto"/>
        </w:rPr>
      </w:pPr>
    </w:p>
    <w:p>
      <w:pPr>
        <w:ind w:left="500" w:right="100" w:hanging="492"/>
        <w:spacing w:after="0" w:line="250" w:lineRule="auto"/>
        <w:tabs>
          <w:tab w:leader="none" w:pos="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2016, OLS completed a debt-for-debt exchange offer whereby OLS issued $346.9 million aggregate principal amount of 8.375% Senior Secured Second Lien Notes that mature November 15, 2022 (Senior Secured Notes) in exchange for $346.9 million aggregate principal amount (or 99.1%) of Ocwen’s Senior Unsecured Notes. Interest is payable semiannually on each May 15 and November 15, and commenced on May 15, 2017. In December 2018, Ocwen repurchased $16.0 million of the Senior Secured Notes at a price of 96.0%.</w:t>
      </w:r>
    </w:p>
    <w:p>
      <w:pPr>
        <w:spacing w:after="0" w:line="7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At any time, OLS may redeem all or a part of the Senior Secured Notes, upon not less than 30 nor more than 60 days’ notice at a specified redemption price, plus accrued and unpaid interest to the date of redemption. OLS may redeem all or a part of the Senior Secured Notes at the redemption prices (expressed as percentages of principal amount) specified in the Indenture. The redemption prices during the twelve-month periods beginning on November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each year are as follows:</w:t>
      </w:r>
    </w:p>
    <w:p>
      <w:pPr>
        <w:spacing w:after="0" w:line="7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82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1920" w:type="dxa"/>
            <w:vAlign w:val="bottom"/>
          </w:tcPr>
          <w:p>
            <w:pPr>
              <w:ind w:left="260"/>
              <w:spacing w:after="0"/>
              <w:rPr>
                <w:sz w:val="20"/>
                <w:szCs w:val="20"/>
                <w:color w:val="auto"/>
              </w:rPr>
            </w:pPr>
            <w:r>
              <w:rPr>
                <w:rFonts w:ascii="Arial" w:cs="Arial" w:eastAsia="Arial" w:hAnsi="Arial"/>
                <w:sz w:val="18"/>
                <w:szCs w:val="18"/>
                <w:b w:val="1"/>
                <w:bCs w:val="1"/>
                <w:color w:val="auto"/>
              </w:rPr>
              <w:t>Redemption Price</w:t>
            </w:r>
          </w:p>
        </w:tc>
      </w:tr>
      <w:tr>
        <w:trPr>
          <w:trHeight w:val="27"/>
        </w:trPr>
        <w:tc>
          <w:tcPr>
            <w:tcW w:w="8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EAF9E8"/>
            </w:tcBorders>
            <w:shd w:val="clear" w:color="auto" w:fill="EAF9E8"/>
          </w:tcPr>
          <w:p>
            <w:pPr>
              <w:spacing w:after="0"/>
              <w:rPr>
                <w:sz w:val="21"/>
                <w:szCs w:val="21"/>
                <w:color w:val="auto"/>
              </w:rPr>
            </w:pPr>
          </w:p>
        </w:tc>
        <w:tc>
          <w:tcPr>
            <w:tcW w:w="1920" w:type="dxa"/>
            <w:vAlign w:val="bottom"/>
            <w:tcBorders>
              <w:bottom w:val="single" w:sz="8" w:color="EAF9E8"/>
            </w:tcBorders>
            <w:shd w:val="clear" w:color="auto" w:fill="EAF9E8"/>
          </w:tcPr>
          <w:p>
            <w:pPr>
              <w:ind w:left="1140"/>
              <w:spacing w:after="0"/>
              <w:rPr>
                <w:sz w:val="20"/>
                <w:szCs w:val="20"/>
                <w:color w:val="auto"/>
              </w:rPr>
            </w:pPr>
            <w:r>
              <w:rPr>
                <w:rFonts w:ascii="Arial" w:cs="Arial" w:eastAsia="Arial" w:hAnsi="Arial"/>
                <w:sz w:val="18"/>
                <w:szCs w:val="18"/>
                <w:color w:val="auto"/>
                <w:w w:val="93"/>
              </w:rPr>
              <w:t>106.281%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920" w:type="dxa"/>
            <w:vAlign w:val="bottom"/>
          </w:tcPr>
          <w:p>
            <w:pPr>
              <w:ind w:left="1140"/>
              <w:spacing w:after="0"/>
              <w:rPr>
                <w:sz w:val="20"/>
                <w:szCs w:val="20"/>
                <w:color w:val="auto"/>
              </w:rPr>
            </w:pPr>
            <w:r>
              <w:rPr>
                <w:rFonts w:ascii="Arial" w:cs="Arial" w:eastAsia="Arial" w:hAnsi="Arial"/>
                <w:sz w:val="18"/>
                <w:szCs w:val="18"/>
                <w:color w:val="auto"/>
              </w:rPr>
              <w:t>104.188</w:t>
            </w: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8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EAF9E8"/>
            </w:tcBorders>
            <w:shd w:val="clear" w:color="auto" w:fill="EAF9E8"/>
          </w:tcPr>
          <w:p>
            <w:pPr>
              <w:spacing w:after="0"/>
              <w:rPr>
                <w:sz w:val="21"/>
                <w:szCs w:val="21"/>
                <w:color w:val="auto"/>
              </w:rPr>
            </w:pPr>
          </w:p>
        </w:tc>
        <w:tc>
          <w:tcPr>
            <w:tcW w:w="1920" w:type="dxa"/>
            <w:vAlign w:val="bottom"/>
            <w:tcBorders>
              <w:bottom w:val="single" w:sz="8" w:color="EAF9E8"/>
            </w:tcBorders>
            <w:shd w:val="clear" w:color="auto" w:fill="EAF9E8"/>
          </w:tcPr>
          <w:p>
            <w:pPr>
              <w:ind w:left="1140"/>
              <w:spacing w:after="0"/>
              <w:rPr>
                <w:sz w:val="20"/>
                <w:szCs w:val="20"/>
                <w:color w:val="auto"/>
              </w:rPr>
            </w:pPr>
            <w:r>
              <w:rPr>
                <w:rFonts w:ascii="Arial" w:cs="Arial" w:eastAsia="Arial" w:hAnsi="Arial"/>
                <w:sz w:val="18"/>
                <w:szCs w:val="18"/>
                <w:color w:val="auto"/>
              </w:rPr>
              <w:t>102.094</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2021 and thereafter</w:t>
            </w:r>
          </w:p>
        </w:tc>
        <w:tc>
          <w:tcPr>
            <w:tcW w:w="1920" w:type="dxa"/>
            <w:vAlign w:val="bottom"/>
          </w:tcPr>
          <w:p>
            <w:pPr>
              <w:ind w:left="1140"/>
              <w:spacing w:after="0"/>
              <w:rPr>
                <w:sz w:val="20"/>
                <w:szCs w:val="20"/>
                <w:color w:val="auto"/>
              </w:rPr>
            </w:pPr>
            <w:r>
              <w:rPr>
                <w:rFonts w:ascii="Arial" w:cs="Arial" w:eastAsia="Arial" w:hAnsi="Arial"/>
                <w:sz w:val="18"/>
                <w:szCs w:val="18"/>
                <w:color w:val="auto"/>
              </w:rPr>
              <w:t>100.000</w:t>
            </w:r>
          </w:p>
        </w:tc>
      </w:tr>
    </w:tbl>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Upon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589" w:right="239" w:bottom="1440" w:gutter="0" w:footer="0" w:header="0"/>
        </w:sectPr>
      </w:pPr>
    </w:p>
    <w:bookmarkStart w:id="152" w:name="page153"/>
    <w:bookmarkEnd w:id="152"/>
    <w:p>
      <w:pPr>
        <w:ind w:right="80" w:firstLine="324"/>
        <w:spacing w:after="0" w:line="289" w:lineRule="auto"/>
        <w:rPr>
          <w:sz w:val="20"/>
          <w:szCs w:val="20"/>
          <w:color w:val="auto"/>
        </w:rPr>
      </w:pPr>
      <w:r>
        <w:rPr>
          <w:rFonts w:ascii="Arial" w:cs="Arial" w:eastAsia="Arial" w:hAnsi="Arial"/>
          <w:sz w:val="16"/>
          <w:szCs w:val="16"/>
          <w:color w:val="auto"/>
        </w:rPr>
        <w:t>The Indenture contains certain covenants, including, but not limited to, limitations and restrictions on Ocwen’s ability and the ability of its restricted subsidiaries (including OLS) to (i) incur additional debt or issue preferred stock; (ii) pay dividends or make distributions on or purchase equity interests of Ocwen (iii) repurchase or redeem subordinated debt prior to maturity; (iv) make investments or other restricted payments; (v) create liens on assets to secure debt of OLS or any Guarantor; (vi) sell or transfer assets; (vii) enter into transactions with affiliates; and (viii) enter into mergers, consolidations, or sales of all or substantially all of the assets of Ocwen and its restricted subsidiaries, taken as a whole. As of the date of the Indenture, all of Ocwen’s subsidiaries are restricted subsidiaries. The restrictive covenants set forth in the Indenture are subject to important exceptions and qualifications. Many of the restrictive covenants will be suspended if (i) the Senior Secured Notes achieve an investment grade rating from both Moody’s and S&amp;P and (ii) no default or event of default has occurred and is continuing under the Indenture. Covenants that are suspended as a result of achieving these ratings will again apply if one or both of Moody’s and S&amp;P withdraws its investment grade rating or downgrades the rating assigned to the Senior Secured Notes below an investment grade rating.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Credit ratings are intended to be an indicator of the creditworthiness of a company, security or obligation. At December 31, 2018, the S&amp;P long-term corporate rating was “B-”. On December 11, 2018, Moody’s affirmed the long-term corporate rating of “Caal” and revised the outlook to stable from negative. On July 25, 2018, Fitch affirmed the long-term issuer default rating of “B-” and withdrew all corporate ratings. It is possible that additional actions by credit rating agencies could have a material adverse impact on our liquidity and funding position, including materially changing the terms on which we may be able to borrow money.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300" w:hanging="328"/>
        <w:spacing w:after="0" w:line="265"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OLS or any Guarantor, entering into transactions with affiliates;</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80" w:hanging="328"/>
        <w:spacing w:after="0" w:line="261"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40% loan to collateral value ratio, as defined under our SSTL, as of the last date of any fiscal quarter;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OLS level.</w:t>
      </w:r>
    </w:p>
    <w:p>
      <w:pPr>
        <w:spacing w:after="0" w:line="10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As of December 31, 2018, the most restrictive consolidated tangible net worth requirements contained in our debt agreements were for a minimum of $275.0 million in consolidated tangible net worth, as defined, at Ocwen under our match funded debt and certain of our other debt agreements.</w:t>
      </w:r>
    </w:p>
    <w:p>
      <w:pPr>
        <w:spacing w:after="0" w:line="1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4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92" w:right="239" w:bottom="1440" w:gutter="0" w:footer="0" w:header="0"/>
        </w:sectPr>
      </w:pPr>
    </w:p>
    <w:bookmarkStart w:id="153" w:name="page154"/>
    <w:bookmarkEnd w:id="153"/>
    <w:p>
      <w:pPr>
        <w:ind w:right="380"/>
        <w:spacing w:after="0" w:line="286" w:lineRule="auto"/>
        <w:rPr>
          <w:sz w:val="20"/>
          <w:szCs w:val="20"/>
          <w:color w:val="auto"/>
        </w:rPr>
      </w:pPr>
      <w:r>
        <w:rPr>
          <w:rFonts w:ascii="Arial" w:cs="Arial" w:eastAsia="Arial" w:hAnsi="Arial"/>
          <w:sz w:val="17"/>
          <w:szCs w:val="17"/>
          <w:color w:val="auto"/>
        </w:rPr>
        <w:t>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secured liens under the SSTL and Senior Secured Notes are as follows at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0"/>
              </w:rPr>
              <w:t>Collateral for Secured Borrowings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Mortgage Loan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Match Funded</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Financing</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Warehouse</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Sales and Other</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Facilities</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Commitments (1)</w:t>
            </w:r>
          </w:p>
        </w:tc>
        <w:tc>
          <w:tcPr>
            <w:tcW w:w="2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Other (2)</w:t>
            </w:r>
          </w:p>
        </w:tc>
      </w:tr>
      <w:tr>
        <w:trPr>
          <w:trHeight w:val="27"/>
        </w:trPr>
        <w:tc>
          <w:tcPr>
            <w:tcW w:w="25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329,132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329,132</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67,878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20,968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41,252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servicing rights</w:t>
            </w:r>
          </w:p>
        </w:tc>
        <w:tc>
          <w:tcPr>
            <w:tcW w:w="1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1,457,149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985,576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9,867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461,706</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249,382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31,216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207,004</w:t>
            </w: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assets</w:t>
            </w:r>
          </w:p>
        </w:tc>
        <w:tc>
          <w:tcPr>
            <w:tcW w:w="1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937,294</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937,294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242,622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98,918</w:t>
            </w: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w:t>
            </w:r>
          </w:p>
        </w:tc>
        <w:tc>
          <w:tcPr>
            <w:tcW w:w="1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5,498,719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5,406,968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33,567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58,184</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198,262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198,262</w:t>
            </w: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Premises and equipment, net</w:t>
            </w:r>
          </w:p>
        </w:tc>
        <w:tc>
          <w:tcPr>
            <w:tcW w:w="1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33,417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33,417</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379,567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320,032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59,535</w:t>
            </w: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rPr>
              <w:t>Assets related to discontinued</w:t>
            </w:r>
          </w:p>
        </w:tc>
        <w:tc>
          <w:tcPr>
            <w:tcW w:w="1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5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794</w:t>
            </w: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9,394,216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958,262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6,403,706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182,929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402,367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1,446,952</w:t>
            </w: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40" w:hanging="492"/>
        <w:spacing w:after="0" w:line="252" w:lineRule="auto"/>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Sales and Other Commitments include MSRs and related advances committed under sale agreements, Restricted cash and deposits held as collateral to support certain contractual obligations, and Contingent loan repurchase assets related to the Ginnie Mae early buyout program for which a corresponding liability is recognized in Other liabilities.</w:t>
      </w:r>
    </w:p>
    <w:p>
      <w:pPr>
        <w:spacing w:after="0" w:line="1" w:lineRule="exact"/>
        <w:rPr>
          <w:rFonts w:ascii="Arial" w:cs="Arial" w:eastAsia="Arial" w:hAnsi="Arial"/>
          <w:sz w:val="16"/>
          <w:szCs w:val="16"/>
          <w:color w:val="auto"/>
        </w:rPr>
      </w:pPr>
    </w:p>
    <w:p>
      <w:pPr>
        <w:ind w:left="500" w:right="20" w:hanging="492"/>
        <w:spacing w:after="0" w:line="266" w:lineRule="auto"/>
        <w:tabs>
          <w:tab w:leader="none" w:pos="5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borrowings under the SSTL are secured by a first priority security interest in substantially all of the assets of Ocwen, OLS,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Agency MSRs with respect to which an acknowledgment agreement acknowledging such security interest has not been obtained,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Security interests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693"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Maturities of Borrowings and Management’s Plans to Address Maturing Borrowings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Certain of our borrowings mature within one year of the date of issuance of these financial statements. Based on management’s evaluation, we expect to renew, replace or extend all such borrowings to the extent necessary to finance our business on or prior to their respective maturities consistent with our historical experience.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Expected Maturity Date (1) (2) (3)</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2"/>
                <w:szCs w:val="2"/>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26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628,284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778,284</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776,485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172,463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214,750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387,213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383,162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notes</w:t>
            </w:r>
          </w:p>
        </w:tc>
        <w:tc>
          <w:tcPr>
            <w:tcW w:w="3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97,521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21,543</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330,878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449,942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426,147</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898,268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364,750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330,878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1,615,439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1,585,794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Amounts are exclusive of any related discount, unamortized debt issuance costs or fair value adjustment.</w:t>
      </w:r>
    </w:p>
    <w:p>
      <w:pPr>
        <w:spacing w:after="0" w:line="19"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match funded liabilities, the Expected Maturity Date is the date on which the revolving period ends for each advance financing facility note and repayment of the outstanding balance must begin if the note is not renewed or extended.</w:t>
      </w:r>
    </w:p>
    <w:p>
      <w:pPr>
        <w:jc w:val="both"/>
        <w:ind w:left="500" w:hanging="492"/>
        <w:spacing w:after="0" w:line="252"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Excludes financing liabilities recognized in connection with asset sales transactions accounted for as financings, including $1.0 billion recorded in connection with sales of Rights to MSRs and MSRs and $5.4 billion recorded in connection with the securitizations of HMBS. These financing liabilities have no contractual maturity and are amortized over the life of the underlying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Liabilities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302,581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99,739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75,088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Accrued legal fees and settlements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62,763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NRZ - Advance collections and servicing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53,001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98,493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51,574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Servicing-related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41,922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36,296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20,686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unfunded pension obligation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12,683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5,172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mortgage insurance contingency</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15,054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703,636</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769,410</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Accrued Legal Fees and Settlements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51,057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93,797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74,922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Accrual for probable losses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74,943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Payments (2)</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(174,941)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(47,754)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Assumed in connection with the acquisition of PHH</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Issuance of common stock in settlement of litigation (3)</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increase (decrease) in accrued legal fees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62,763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51,057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93,797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9"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420"/>
          </w:cols>
          <w:pgMar w:left="240" w:top="689" w:right="239" w:bottom="1440" w:gutter="0" w:footer="0" w:header="0"/>
          <w:type w:val="continuous"/>
        </w:sectPr>
      </w:pPr>
    </w:p>
    <w:bookmarkStart w:id="155" w:name="page156"/>
    <w:bookmarkEnd w:id="155"/>
    <w:p>
      <w:pPr>
        <w:ind w:left="500" w:right="80" w:hanging="492"/>
        <w:spacing w:after="0" w:line="255"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consolidated statements of operations.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8" w:lineRule="exact"/>
        <w:rPr>
          <w:rFonts w:ascii="Arial" w:cs="Arial" w:eastAsia="Arial" w:hAnsi="Arial"/>
          <w:sz w:val="16"/>
          <w:szCs w:val="16"/>
          <w:color w:val="auto"/>
        </w:rPr>
      </w:pPr>
    </w:p>
    <w:p>
      <w:pPr>
        <w:ind w:left="500" w:hanging="492"/>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See Note 15 — Equity </w:t>
      </w:r>
      <w:r>
        <w:rPr>
          <w:rFonts w:ascii="Arial" w:cs="Arial" w:eastAsia="Arial" w:hAnsi="Arial"/>
          <w:sz w:val="18"/>
          <w:szCs w:val="18"/>
          <w:color w:val="auto"/>
        </w:rPr>
        <w:t>for</w:t>
      </w:r>
      <w:r>
        <w:rPr>
          <w:rFonts w:ascii="Arial" w:cs="Arial" w:eastAsia="Arial" w:hAnsi="Arial"/>
          <w:sz w:val="16"/>
          <w:szCs w:val="16"/>
          <w:color w:val="auto"/>
        </w:rPr>
        <w:t xml:space="preserve">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2016, we completed the repurchase of 991,985 shares of common stock in the open market for a total purchase price of $5.9 million under a program authorized by Ocwen’s Board of Directors in October 2013 for the repurchase of up to an aggregate of $500.0 million of Ocwen’s issued and outstanding shares of common stock. From inception of this program through its expiration in July 2016, we completed the repurchase of 13,163,793 shares for an aggregate purchase price of $380.3 million.</w:t>
      </w:r>
    </w:p>
    <w:p>
      <w:pPr>
        <w:spacing w:after="0" w:line="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2017, Ocwen and NRZ entered into a share purchase agreement pursuant to which Ocwen sold NRZ 6,075,510 shares of newly-issued Ocwen common stock for $13.9 million. Ocwen received the sales proceeds from NRZ on July 24, 2017 and issued the shares. The shares have not been registered under the Securities Act of 1933 and were issued and sold in reliance upon the exemption from registration contained in Section 4(a)(2) of the Act and Rule 506(b) promulgated thereunder.</w:t>
      </w:r>
    </w:p>
    <w:p>
      <w:pPr>
        <w:spacing w:after="0" w:line="7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In 2017, Ocwen agreed to issue an aggregate of 2,500,000 shares of common stock in connection with a mediated settlement of litigation. Ocwen issued 625,000 of the shares in December 2017 and the remaining 1,875,000 shares in January 2018. The shares have not been registered under the Securities Act of 1933 and were issued in reliance upon the exemption from registration set forth in Section 3(a)(10) of the Act.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w w:val="94"/>
              </w:rPr>
              <w:t>The components of accumulated other comprehensive loss (AOCL), net of income taxes, were as follows: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Unfunded pension plan obligation</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3,347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losses on cash flow hedges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34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4,257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1,249</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Financial Instruments and Hedging Activities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Certain of our current derivative agreements are not exchange-traded, exposing us to credit loss in the event of nonperformance by the counterparty to the agreements. We manage counterparty credit risk by entering into financial instrument transactions through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6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summarizes derivative activity, including the derivatives used in each of our identified hedging programs. None of the derivatives was designated as a hedge for accounting purposes at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Interest Rate Risk</w:t>
            </w: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IRLCs and Loans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4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Held for Sale</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Borrowings</w:t>
            </w: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Forward MBS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47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IRLCs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Trades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Caps</w:t>
            </w:r>
          </w:p>
        </w:tc>
      </w:tr>
      <w:tr>
        <w:trPr>
          <w:trHeight w:val="27"/>
        </w:trPr>
        <w:tc>
          <w:tcPr>
            <w:tcW w:w="4740" w:type="dxa"/>
            <w:vAlign w:val="bottom"/>
            <w:tcBorders>
              <w:bottom w:val="single" w:sz="8" w:color="EAF9E8"/>
            </w:tcBorders>
          </w:tcPr>
          <w:p>
            <w:pPr>
              <w:spacing w:after="0"/>
              <w:rPr>
                <w:sz w:val="2"/>
                <w:szCs w:val="2"/>
                <w:color w:val="auto"/>
              </w:rPr>
            </w:pPr>
          </w:p>
        </w:tc>
        <w:tc>
          <w:tcPr>
            <w:tcW w:w="2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Notional balance at December 31, 2017</w:t>
            </w:r>
          </w:p>
        </w:tc>
        <w:tc>
          <w:tcPr>
            <w:tcW w:w="2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96,339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240,823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375,000</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1,288,938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404,162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173,750</w:t>
            </w: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Assumed in connection with the acquisition of PHH</w:t>
            </w:r>
          </w:p>
        </w:tc>
        <w:tc>
          <w:tcPr>
            <w:tcW w:w="20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50,731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(288,750)</w:t>
            </w: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Maturities</w:t>
            </w:r>
          </w:p>
        </w:tc>
        <w:tc>
          <w:tcPr>
            <w:tcW w:w="20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(1,014,466)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(479,622)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Terminations</w:t>
            </w: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Borders>
              <w:bottom w:val="single" w:sz="8" w:color="EAF9E8"/>
            </w:tcBorders>
          </w:tcPr>
          <w:p>
            <w:pPr>
              <w:spacing w:after="0"/>
              <w:rPr>
                <w:sz w:val="2"/>
                <w:szCs w:val="2"/>
                <w:color w:val="auto"/>
              </w:rPr>
            </w:pPr>
          </w:p>
        </w:tc>
        <w:tc>
          <w:tcPr>
            <w:tcW w:w="2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7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Notional balance at December 31, 2018</w:t>
            </w:r>
          </w:p>
        </w:tc>
        <w:tc>
          <w:tcPr>
            <w:tcW w:w="2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150,175</w:t>
            </w: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165,363</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260,000</w:t>
            </w:r>
          </w:p>
        </w:tc>
      </w:tr>
      <w:tr>
        <w:trPr>
          <w:trHeight w:val="20"/>
        </w:trPr>
        <w:tc>
          <w:tcPr>
            <w:tcW w:w="4740" w:type="dxa"/>
            <w:vAlign w:val="bottom"/>
            <w:tcBorders>
              <w:top w:val="single" w:sz="8" w:color="EAF9E8"/>
            </w:tcBorders>
          </w:tcPr>
          <w:p>
            <w:pPr>
              <w:spacing w:after="0" w:line="20" w:lineRule="exact"/>
              <w:rPr>
                <w:sz w:val="1"/>
                <w:szCs w:val="1"/>
                <w:color w:val="auto"/>
              </w:rPr>
            </w:pPr>
          </w:p>
        </w:tc>
        <w:tc>
          <w:tcPr>
            <w:tcW w:w="20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740" w:type="dxa"/>
            <w:vAlign w:val="bottom"/>
          </w:tcPr>
          <w:p>
            <w:pPr>
              <w:spacing w:after="0"/>
              <w:rPr>
                <w:sz w:val="24"/>
                <w:szCs w:val="24"/>
                <w:color w:val="auto"/>
              </w:rPr>
            </w:pPr>
          </w:p>
        </w:tc>
        <w:tc>
          <w:tcPr>
            <w:tcW w:w="2320" w:type="dxa"/>
            <w:vAlign w:val="bottom"/>
            <w:gridSpan w:val="2"/>
          </w:tcPr>
          <w:p>
            <w:pPr>
              <w:jc w:val="right"/>
              <w:ind w:right="1180"/>
              <w:spacing w:after="0"/>
              <w:rPr>
                <w:sz w:val="20"/>
                <w:szCs w:val="20"/>
                <w:color w:val="auto"/>
              </w:rPr>
            </w:pPr>
            <w:r>
              <w:rPr>
                <w:rFonts w:ascii="Arial" w:cs="Arial" w:eastAsia="Arial" w:hAnsi="Arial"/>
                <w:sz w:val="18"/>
                <w:szCs w:val="18"/>
                <w:color w:val="auto"/>
              </w:rPr>
              <w:t>F-53</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Maturity</w:t>
            </w:r>
          </w:p>
        </w:tc>
        <w:tc>
          <w:tcPr>
            <w:tcW w:w="140" w:type="dxa"/>
            <w:vAlign w:val="bottom"/>
            <w:shd w:val="clear" w:color="auto" w:fill="EAF9E8"/>
          </w:tcPr>
          <w:p>
            <w:pPr>
              <w:spacing w:after="0"/>
              <w:rPr>
                <w:sz w:val="19"/>
                <w:szCs w:val="19"/>
                <w:color w:val="auto"/>
              </w:rPr>
            </w:pPr>
          </w:p>
        </w:tc>
        <w:tc>
          <w:tcPr>
            <w:tcW w:w="142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88"/>
              </w:rPr>
              <w:t>Jan. 2019 to Mar.</w:t>
            </w:r>
          </w:p>
        </w:tc>
        <w:tc>
          <w:tcPr>
            <w:tcW w:w="3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4"/>
              </w:rPr>
              <w:t>May 2019 to May</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EAF9E8"/>
            </w:tcBorders>
            <w:vMerge w:val="continue"/>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shd w:val="clear" w:color="auto" w:fill="EAF9E8"/>
          </w:tcPr>
          <w:p>
            <w:pPr>
              <w:jc w:val="right"/>
              <w:ind w:right="5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Mar. 2019</w:t>
            </w:r>
          </w:p>
        </w:tc>
        <w:tc>
          <w:tcPr>
            <w:tcW w:w="2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center"/>
              <w:ind w:right="15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Fair value of derivative assets (liabilities) (1) at:</w:t>
            </w: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3,871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December 31, 2017</w:t>
            </w: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3,283</w:t>
            </w:r>
          </w:p>
        </w:tc>
        <w:tc>
          <w:tcPr>
            <w:tcW w:w="3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Gains (losses) on derivatives during the years ended:</w:t>
            </w:r>
          </w:p>
        </w:tc>
        <w:tc>
          <w:tcPr>
            <w:tcW w:w="140" w:type="dxa"/>
            <w:vAlign w:val="bottom"/>
            <w:tcBorders>
              <w:bottom w:val="single" w:sz="8" w:color="EAF9E8"/>
            </w:tcBorders>
            <w:shd w:val="clear" w:color="auto" w:fill="EAF9E8"/>
          </w:tcPr>
          <w:p>
            <w:pPr>
              <w:spacing w:after="0"/>
              <w:rPr>
                <w:sz w:val="23"/>
                <w:szCs w:val="23"/>
                <w:color w:val="auto"/>
              </w:rPr>
            </w:pPr>
          </w:p>
        </w:tc>
        <w:tc>
          <w:tcPr>
            <w:tcW w:w="3060" w:type="dxa"/>
            <w:vAlign w:val="bottom"/>
            <w:tcBorders>
              <w:bottom w:val="single" w:sz="8" w:color="EAF9E8"/>
            </w:tcBorders>
            <w:gridSpan w:val="4"/>
            <w:shd w:val="clear" w:color="auto" w:fill="EAF9E8"/>
          </w:tcPr>
          <w:p>
            <w:pPr>
              <w:ind w:left="240"/>
              <w:spacing w:after="0"/>
              <w:rPr>
                <w:sz w:val="20"/>
                <w:szCs w:val="20"/>
                <w:color w:val="auto"/>
              </w:rPr>
            </w:pPr>
            <w:r>
              <w:rPr>
                <w:rFonts w:ascii="Arial" w:cs="Arial" w:eastAsia="Arial" w:hAnsi="Arial"/>
                <w:sz w:val="18"/>
                <w:szCs w:val="18"/>
                <w:b w:val="1"/>
                <w:bCs w:val="1"/>
                <w:color w:val="auto"/>
              </w:rPr>
              <w:t>Gain on loans held for sale, net</w:t>
            </w: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center"/>
              <w:ind w:right="130"/>
              <w:spacing w:after="0"/>
              <w:rPr>
                <w:sz w:val="20"/>
                <w:szCs w:val="20"/>
                <w:color w:val="auto"/>
              </w:rPr>
            </w:pPr>
            <w:r>
              <w:rPr>
                <w:rFonts w:ascii="Arial" w:cs="Arial" w:eastAsia="Arial" w:hAnsi="Arial"/>
                <w:sz w:val="18"/>
                <w:szCs w:val="18"/>
                <w:b w:val="1"/>
                <w:bCs w:val="1"/>
                <w:color w:val="auto"/>
                <w:w w:val="91"/>
              </w:rPr>
              <w:t>Other, net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3,809</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EAF9E8"/>
          </w:tcPr>
          <w:p>
            <w:pPr>
              <w:spacing w:after="0"/>
              <w:rPr>
                <w:sz w:val="21"/>
                <w:szCs w:val="21"/>
                <w:color w:val="auto"/>
              </w:rPr>
            </w:pPr>
          </w:p>
        </w:tc>
        <w:tc>
          <w:tcPr>
            <w:tcW w:w="14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(3,089)</w:t>
            </w:r>
          </w:p>
        </w:tc>
        <w:tc>
          <w:tcPr>
            <w:tcW w:w="300" w:type="dxa"/>
            <w:vAlign w:val="bottom"/>
            <w:shd w:val="clear" w:color="auto" w:fill="EAF9E8"/>
          </w:tcPr>
          <w:p>
            <w:pPr>
              <w:spacing w:after="0"/>
              <w:rPr>
                <w:sz w:val="21"/>
                <w:szCs w:val="21"/>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consolidated balance sheets.</w:t>
      </w:r>
    </w:p>
    <w:p>
      <w:pPr>
        <w:spacing w:after="0" w:line="2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operations in India and the Philippines expose us to foreign currency exchange rate risk to the extent that our foreign exchange positions remain unhedged. We have not entered into any forward exchange contracts during the reported periods to hedge against the effect of changes in the value of the India Rupee or Philippine Peso. Foreign currency remeasurement exchange gains (losses) were $(3.2) million, $1.7 million and $0.2 million during the years ended December 31, 2018, 2017 and 2016, respectively, and are reported in Other, net in the consolidated statements of operations. The losses in 2018 are primarily attributed to depreciation of the India Rupee against the U.S. Dollar.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pacing w:after="0" w:line="7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Included in AOCL at December 31, 2018 and 2017, respectively, were $1.1 million and $1.2 million of deferred unrealized losses, before taxes of $0.1 million and $0.1 million, respectively, on interest rate swaps that we had designated as cash flow hedges. These deferred losses in AOCL are amortized to Other, net in the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963"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17 — Interest Income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15,774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Automotive dealer financing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Interest earning cash deposits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15,965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19,083</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Note 18 — Interest Expense</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NRZ</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171,670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236,311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234,401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financing liabilities</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5,013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6,203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176,683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242,514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248,834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47,624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66,879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39,531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60,469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275,041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363,238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412,583</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(Tax Act), which made broad and complex changes to the U.S. federal corporate income tax rules. The Tax Act amends the Internal Revenue Code to reduce tax rates, requires companies to pay a one-time transition tax on earnings of certain foreign subsidiaries that were previously tax deferred and creates new taxes on certain foreign-sourced earnings, among other provisions. For businesses, the Tax Act reduces the corporate federal tax rate from a maximum of 35% to a flat 21% rate. The rate reduction took effect on January 1, 2018.</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reduction in the statutory U.S. federal rate is expected to positively impact our future U.S. after-tax earnings. However, the ultimate impact is subject to the effect of other complex provisions in the Tax Act (including the BEAT, Global Intangible Low-Taxed Income (GILTI), and revised interest deductibility limitations). We are continuing to evaluate the impact of the new U.S. tax legislation and guiding regulations (which are still being promulgated and finalized) on our global tax position. It is possible that any impact of these provisions could significantly reduce the benefit of the reduction in the statutory U.S. federal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 118 Measurement Period</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We applied the guidance in SAB 118 when accounting for the enactment date effects of the Tax Act in 2017 and throughout 2018. At December 31, 2017, we had not completed our accounting for all of the enactment-date income tax effects of the Tax Act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therefore, we recorded provisional amounts related to the one-time deemed repatriation tax (Transition Tax) liability related to the undistributed earnings of certain foreign subsidiaries that were not previously taxed and adjusted deferred tax assets and liabilities to account for the reduction in the statutory U.S. federal rate. At December 31, 2018, we have now completed our accounting for all of the enactment-date income tax effects of the Tax Act. As further discussed below, during 2018, we recognized adjustments to the provisional amounts recorded at December 31, 2017, which produced changes in the amount of deferred tax assets recorded in the U.S. and USVI jurisdictions. As the net deferred tax assets in these jurisdictions have full valuation allowances, the adjustments to the provisional amounts recorded under SAB 118 do not have an impact on our consolidated statements of financial position or consolidated statements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Transition Tax</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Tax Act, the transition to a new territorial tax system caused Ocwen to incur a Transition Tax on our total post-1986 undistributed earnings and profits (E&amp;P) of our non-U.S. subsidiaries, the tax on which we previously deferred from U.S. income taxes under U.S. law. The amount of the Transition Tax was dependent upon many factors, including the accumulated E&amp;P of Ocwen’s non-U.S. subsidiaries, our ability and willingness to utilize foreign tax credits and/or net operating loss (NOL) carryforwards, and 2017 taxable income or loss amounts in the U.S. and non-U.S. jurisdictions. We recorded a provisional amount for our one-time Transition Tax liability in our December 31, 2017 financial statements as a reduction to the U.S. federal NOL carryforward of $16.9 million. The reduction of the NOL deferred tax asset resulted in an offsetting release of the valuation allowance.</w:t>
      </w:r>
    </w:p>
    <w:p>
      <w:pPr>
        <w:spacing w:after="0" w:line="165"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Due to the various factors affecting the calculation, our decision regarding how best to utilize the foreign tax credits and/or NOL carryforwards was subject to change as we continued to wait for further guidance and analyze additional information necessary to finalize the calculations and maximize the long-term value to Ocwen. Upon further analysis of the Tax Act as well as notices and regulations issued and proposed by the U.S. Department of the Treasury and the Internal Revenue Service, we finalized our calculations of the Transition Tax liability in 2018. We increased our December 31, 2017 provisional amount by increasing foreign tax credits by $19.9 million and further reducing the U.S. federal NOL carryforward by $51.7 million. As the</w:t>
      </w:r>
    </w:p>
    <w:p>
      <w:pPr>
        <w:sectPr>
          <w:pgSz w:w="11900" w:h="16838" w:orient="portrait"/>
          <w:cols w:equalWidth="0" w:num="1">
            <w:col w:w="11420"/>
          </w:cols>
          <w:pgMar w:left="240" w:top="796" w:right="239" w:bottom="501"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1420"/>
          </w:cols>
          <w:pgMar w:left="240" w:top="796" w:right="239" w:bottom="501" w:gutter="0" w:footer="0" w:header="0"/>
          <w:type w:val="continuous"/>
        </w:sectPr>
      </w:pPr>
    </w:p>
    <w:bookmarkStart w:id="158" w:name="page159"/>
    <w:bookmarkEnd w:id="158"/>
    <w:p>
      <w:pPr>
        <w:ind w:right="120"/>
        <w:spacing w:after="0" w:line="277" w:lineRule="auto"/>
        <w:rPr>
          <w:sz w:val="20"/>
          <w:szCs w:val="20"/>
          <w:color w:val="auto"/>
        </w:rPr>
      </w:pPr>
      <w:r>
        <w:rPr>
          <w:rFonts w:ascii="Arial" w:cs="Arial" w:eastAsia="Arial" w:hAnsi="Arial"/>
          <w:sz w:val="18"/>
          <w:szCs w:val="18"/>
          <w:color w:val="auto"/>
        </w:rPr>
        <w:t>net deferred tax asset in the U.S. jurisdiction has a full valuation allowance, the recording of the changes to these deferred tax assets does not have an impact on our consolidated balance sheets or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&amp; Liabilities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a result of the reduction in the corporate income tax rate, we revalued our U.S. and USVI net deferred tax assets at December 31, 2017. We recorded a provisional decrease to our net deferred tax assets in the U.S. and USVI jurisdictions of $36.1 million and $26.6 million, respectively, due to the change in the corporate tax rate. Upon further analysis of certain aspects of the Tax Act as well as notices and regulations issued and proposed by the U.S. Department of the Treasury and the Internal Revenue Service and refinement of our calculations during the 12 months ended December 31, 2018, we adjusted our provisional amount by recording an increase to our net deferred tax assets in the U.S. and USVI jurisdictions of $6.0 million and $4.6 million, respectively. This increase resulted in a net decrease to the deferred tax assets in the U.S. and USVI jurisdictions of $30.1 million and $22.0 million, respectively. As the net deferred tax assets in these jurisdictions have full valuation allowances, the revaluation of our net deferred tax assets does not have an impact on our consolidated balance sheets or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Intangible Low-Taxed Income (GILTI)</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 xml:space="preserve">The Tax Act subjects a U.S. shareholder to tax on GILTI earned by certain foreign subsidiaries. The FASB Staff Q&amp;A, Topic 740, No. 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Global Intangible Low-Taxed Income</w:t>
      </w:r>
      <w:r>
        <w:rPr>
          <w:rFonts w:ascii="Arial" w:cs="Arial" w:eastAsia="Arial" w:hAnsi="Arial"/>
          <w:sz w:val="17"/>
          <w:szCs w:val="17"/>
          <w:color w:val="auto"/>
        </w:rPr>
        <w:t>, states that an entity can make an accounting policy election to either recognize deferred taxes for temporary basis</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expected to reverse as GILTI in future years or to provide for the tax expense related to GILTI in the year the tax is incurred as a period expense only. Because we were evaluating the provision of GILTI at December 31, 2017, we recorded no GILTI-related deferred taxes in 2017. After further consideration in the current year, we have elected to account for GILTI in the year the tax is incurred.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income tax purposes, the components of loss from continuing operations before taxes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11,477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(75,143)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(130,920)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(75,441)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(71,476)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(143,973)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(206,361)</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bottom w:val="single" w:sz="8" w:color="EAF9E8"/>
            </w:tcBorders>
            <w:vMerge w:val="restart"/>
          </w:tcPr>
          <w:p>
            <w:pPr>
              <w:ind w:left="180"/>
              <w:spacing w:after="0"/>
              <w:rPr>
                <w:sz w:val="20"/>
                <w:szCs w:val="20"/>
                <w:color w:val="auto"/>
              </w:rPr>
            </w:pPr>
            <w:r>
              <w:rPr>
                <w:rFonts w:ascii="Arial" w:cs="Arial" w:eastAsia="Arial" w:hAnsi="Arial"/>
                <w:sz w:val="18"/>
                <w:szCs w:val="18"/>
                <w:color w:val="auto"/>
              </w:rPr>
              <w:t>The components of income tax benefit were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(21,859)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(16,247)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27,289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Ocwen is a global company with operations in the USVI, India and the Philippines, among other jurisdictions. In the effective tax rate reconciliation, we first calculate income tax expense attributable to worldwide continuing operations at the U.S. statutory tax rate. The foreign tax rate differential therefore represents the difference in tax expense between jurisdictional income taxed at the U.S. statutory rate and each respective jurisdictional statutory rate. As a majority of our income is subject to tax in the USVI at a significantly lower tax rate, the foreign tax rate differential component of our effective tax rate reconciliation is often the most significant adjusting item to our global rate.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693" w:right="239" w:bottom="1440" w:gutter="0" w:footer="0" w:header="0"/>
        </w:sectPr>
      </w:pPr>
    </w:p>
    <w:bookmarkStart w:id="159" w:name="page160"/>
    <w:bookmarkEnd w:id="159"/>
    <w:p>
      <w:pPr>
        <w:ind w:left="340"/>
        <w:spacing w:after="0"/>
        <w:rPr>
          <w:sz w:val="20"/>
          <w:szCs w:val="20"/>
          <w:color w:val="auto"/>
        </w:rPr>
      </w:pPr>
      <w:r>
        <w:rPr>
          <w:rFonts w:ascii="Arial" w:cs="Arial" w:eastAsia="Arial" w:hAnsi="Arial"/>
          <w:sz w:val="18"/>
          <w:szCs w:val="18"/>
          <w:color w:val="auto"/>
        </w:rPr>
        <w:t>Income tax expense differs from the amounts computed by applying the U.S. Federal corporate income tax rate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(benefit) at statutory rate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(72,225)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between expected and actual income tax expense (2):</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Bargain purchase gain disallowance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Reduction in tax attributes for Section 382 &amp; 383 limitations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Tax Reform - Change in Federal rate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62,758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U.S. Tax Reform - Transition Tax</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34,846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Tax Reform - BEAT Tax</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tax differential including effectively connected income (3)</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Provision for (reversal of) liability for uncertain tax positions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(reversal of) valuation allowance on deferred tax assets (4)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Provision for liability for intra-entity transactions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tax, after Federal tax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Excess tax benefits from share-based compensation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Foreign tax credit (generation) utilization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Executive compensation disallowance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Subpart F income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provision to return differences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2,113</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Actual income tax expense (benefit)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U.S. Federal corporate income tax rate is 21% beginning January 1, 2018 and was 35% until December 31, 2017.</w:t>
      </w:r>
    </w:p>
    <w:p>
      <w:pPr>
        <w:spacing w:after="0" w:line="19" w:lineRule="exact"/>
        <w:rPr>
          <w:rFonts w:ascii="Arial" w:cs="Arial" w:eastAsia="Arial" w:hAnsi="Arial"/>
          <w:sz w:val="16"/>
          <w:szCs w:val="16"/>
          <w:color w:val="auto"/>
        </w:rPr>
      </w:pPr>
    </w:p>
    <w:p>
      <w:pPr>
        <w:ind w:left="500" w:right="120" w:hanging="492"/>
        <w:spacing w:after="0" w:line="246"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ASC 740-10-50 and SEC Regulation S-X, Rule 4-08(h) require the disclosure of significant reconciling items in the effective tax rate reconciliation schedule. We have prepared the 2018 effective tax rate reconciliation consistent with prior years, taking into account the materiality of reconciling items, comparability with prior years and the usefulness of the information.</w:t>
      </w:r>
    </w:p>
    <w:p>
      <w:pPr>
        <w:spacing w:after="0" w:line="1" w:lineRule="exact"/>
        <w:rPr>
          <w:rFonts w:ascii="Arial" w:cs="Arial" w:eastAsia="Arial" w:hAnsi="Arial"/>
          <w:sz w:val="16"/>
          <w:szCs w:val="16"/>
          <w:color w:val="auto"/>
        </w:rPr>
      </w:pPr>
    </w:p>
    <w:p>
      <w:pPr>
        <w:ind w:left="500" w:right="600" w:hanging="492"/>
        <w:spacing w:after="0" w:line="281" w:lineRule="auto"/>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foreign tax differential includes a benefit recognized in 2018, 2017 and 2016 for taxable losses earned by OMS which are taxable in the U.S. as effectively connected income (ECI). The impact of ECI to income tax benefit for 2018, 20176 and 2016 was $3.3 million, $28.5 million and $7.4 million, respectively.</w:t>
      </w:r>
    </w:p>
    <w:p>
      <w:pPr>
        <w:spacing w:after="0" w:line="1" w:lineRule="exact"/>
        <w:rPr>
          <w:rFonts w:ascii="Arial" w:cs="Arial" w:eastAsia="Arial" w:hAnsi="Arial"/>
          <w:sz w:val="14"/>
          <w:szCs w:val="14"/>
          <w:color w:val="auto"/>
        </w:rPr>
      </w:pPr>
    </w:p>
    <w:p>
      <w:pPr>
        <w:ind w:left="500" w:right="100" w:hanging="492"/>
        <w:spacing w:after="0" w:line="250" w:lineRule="auto"/>
        <w:tabs>
          <w:tab w:leader="none" w:pos="5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benefit recorded for the provision for valuation allowance in 2017 relates primarily to the reduction in the valuation allowance necessary as a result of revaluing our deferred tax assets due to U.S. tax reform and the reduction in the corporate tax rate. This benefit is partially offset by an increase in valuation allowance necessary for current year losses. The provision for valuation allowance in 2016 primarily relates to the recording of the valuation allowance on both the U.S. and USVI net deferred tax assets as of December 31, 2016.</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017"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31,587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59,271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Reserve for servicing exposure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10,331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3,239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Foreign deferred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7,142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Partnership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expense disallowance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incentive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4,798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Accrued legal settlements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Bad debt and allowance for loan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 residuals and deferred income on tax residuals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tax credit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4,262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4,951</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104,138</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113,955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27,860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undistributed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30,723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73,415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109,048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(107,048)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2,000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we had a U.S. net deferred tax asset of $46.3 million and a USVI net deferred tax asset of $21.3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Both the U.S. and USVI jurisdictions are in a three-year cumulative loss position as of December 31, 2018. Other factors considered in these evaluations are estimates of future taxable income, future reversals of temporary differences, taxable income in prior carryback years, tax character and the impact of tax planning strategies that may be implemented, if warranted.</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evaluations, we recorded a valuation allowance of $46.3 million and $62.9 million on our U.S. net deferred tax assets 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2017, respectively, and a valuation allowance of $21.3 million and $43.9 million on our USVI net deferred tax assets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and 2017, respectively. These U.S. and USVI jurisdictional deferred tax assets are not considered to be more likely than not realizable based 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positive and negative evidence. We intend to continue maintaining a full valuation allowance on our deferred tax assets in both the U.S. and USVI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until there is sufficient evidence to support the reversal of all or some portion of these allowances.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121"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At December 31, 2018, we had U.S. NOL carryforwards and USVI NOL carryforwards of $133.0 million and $134.2 million. These carryforwards will expire beginning 2020 through 2037 with NOLs generated in 2018 never expiring. We believe that it is more likely than not that the benefit from certain U.S. and USVI NOL carryforwards will not be realized. In recognition of this risk, we have provided a total valuation allowance of $27.9 million and $3.1 million on the deferred tax assets relating to these U.S. and USVI NOL carryforwards, respectively. If our assumptions change and we determine we 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693" w:right="239" w:bottom="1440" w:gutter="0" w:footer="0" w:header="0"/>
        </w:sectPr>
      </w:pPr>
    </w:p>
    <w:bookmarkStart w:id="161" w:name="page162"/>
    <w:bookmarkEnd w:id="161"/>
    <w:p>
      <w:pPr>
        <w:ind w:right="160"/>
        <w:spacing w:after="0" w:line="302" w:lineRule="auto"/>
        <w:rPr>
          <w:sz w:val="20"/>
          <w:szCs w:val="20"/>
          <w:color w:val="auto"/>
        </w:rPr>
      </w:pPr>
      <w:r>
        <w:rPr>
          <w:rFonts w:ascii="Arial" w:cs="Arial" w:eastAsia="Arial" w:hAnsi="Arial"/>
          <w:sz w:val="16"/>
          <w:szCs w:val="16"/>
          <w:color w:val="auto"/>
        </w:rPr>
        <w:t>be able to realize these NOLs, the tax benefits relating to any reversal of the valuation allowance on deferred tax assets as of December 31, 2018 will be accounted for as a reduction of income tax expense. Additionally, $334.5 million of USVI NOLs have been carried back to offset prior period tax due in the USVI and we have, therefore, reflected the tax-effect of this attribute as a component of income taxes receivable. We also have U.S. and USVI capital loss carryforwards of $0.7 million and $0.2 million, respectively, at December 31, 2018 against which a valuation allowance has been recorded.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Annual Limitations on Utilization of Tax Attributes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that would limit our ability to utilize a portion of our NOL and tax credit carryforwards. If it is determined that an ownership change(s) has occurred, there may be annual limitations on the use of these NOL and tax credit carryforwards under Section 382 (or comparable provisions of foreign or state law).</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Generally, a Section 382 ownership change occurs if, over a rolling three-year period, there has been an aggregate increase of 50 percentage points or more in the percentage of our stock owned by one or more “5-percent shareholders.” Ownership for Section 382 purposes is determined primarily by an economic test, while the SEC definition of beneficial ownership focuses generally on the right to vote or control disposition of the shares. In general, the Section 382 economic test looks to who has the right to receive dividends paid with respect to shares, and who has the right to receive proceeds from the sale or other disposition of shares. Section 382 also contains certain constructive ownership rules, which generally attribute ownership of stock held by estates, trusts, corporations, partnerships or other entities to the ultimate indirect individual owner of the shares, or to related individuals. Generally, a person’s direct or indirect economic ownership interest in shares (rather than record title, voting control or other factors) is taken into account for Section 382 purposes.</w:t>
      </w:r>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purposes of determining the existence and identity of, and the amount of stock owned by any shareholder, the Internal Revenue Service permits us to rely on the existence or absence of filings with the SEC of Schedules 13D, 13F and 13G (or similar filings) as of any date, subject to our actual knowledge of the ownership of our common stock. Investors who file a Schedule 13G or Schedule 13D (or list our common stock in their Schedules 13F) may beneficially own 5% or more of our common stock for SEC reporting purposes but nonetheless may not be Section 382 “5-percent shareholders” and therefore their beneficial ownership will not result in a Section 382 ownership change.</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evaluated whether we experienced an ownership change, as defined under Section 382, and determined that an ownership change did occur in the U.S. jurisdiction in January 2015 and in December 2017, which also results in an ownership change under Section 382 in the USVI jurisdiction. This determination was made based on information available as of the date of our Form 10-K filing for the fiscal year ended December 31, 2018. Due to the Section 382 and 383 limitations and the maximum carryforward period for our NOLs and tax credits, we will be unable to fully recognize certain deferred tax assets. Accordingly, as of December 31, 2018, we have reduced our gross deferred tax asset related to our NOLs by $160.9 million, our foreign tax credit deferred tax asset by $29.5 million, and corresponding valuation allowance by $55.7 million. The realization of all or a portion of our remaining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 Our inability to utilize our pre-ownership change NOL carryforwards, any future recognized built-in losses or deductions, and tax credit carryforwards could have an adverse effect on our financial condition, results of operations and cash flows.</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part of our Section 382 evaluation and consistent with the rules provided within Section 382, Ocwen relies strictly on the existence or absence, as well as the information contained in certain publicly available documents (</w:t>
      </w:r>
      <w:r>
        <w:rPr>
          <w:rFonts w:ascii="Arial" w:cs="Arial" w:eastAsia="Arial" w:hAnsi="Arial"/>
          <w:sz w:val="16"/>
          <w:szCs w:val="16"/>
          <w:i w:val="1"/>
          <w:iCs w:val="1"/>
          <w:color w:val="auto"/>
        </w:rPr>
        <w:t>e.g.</w:t>
      </w:r>
      <w:r>
        <w:rPr>
          <w:rFonts w:ascii="Arial" w:cs="Arial" w:eastAsia="Arial" w:hAnsi="Arial"/>
          <w:sz w:val="16"/>
          <w:szCs w:val="16"/>
          <w:color w:val="auto"/>
        </w:rPr>
        <w:t>, Schedule 13D, Schedule 13G or other documents filed with the SEC) to identify shareholders that own a 5-percent or greater interest in Ocwen 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692" w:right="2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is received, Section 382 requires the inclusion of such actual knowledge, even if such inclusion is detrimental to the conclusion reached.</w:t>
      </w:r>
    </w:p>
    <w:p>
      <w:pPr>
        <w:spacing w:after="0" w:line="2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 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10-K, Ocwen has not received all requested responses from selected shareholders, and will continue to consider such shareholders as economic owners of Ocwen’s stock until actual knowledge is otherwise received.</w:t>
      </w:r>
    </w:p>
    <w:p>
      <w:pPr>
        <w:spacing w:after="0" w:line="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Ocwen is continuing to monitor the ownership in its stock to evaluate information that will become available later in 2019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2014 through the present, our USVI corporate tax return for the years ended December 31, 2013 through the present, and our India corporate tax returns for the years ended March 31, 2010 through the present. We are currently under audit in the USVI jurisdiction for tax years 2013 - 2016 due to the carryback of losses generated in 2015 and 2016 to tax years 2013 and 2014,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the total liability for uncertain tax positions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32,548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 PHH acquisition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for tax positions of current year</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Reductions for settlements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Lapses in statute of limitations</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(16,607)</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16,994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recognized total interest and penalties of $2.9 million, $5.1 million and $1.0 million as income tax benefit in 2018, 2017 and 2016, respectively. At December 31, 2018 and 2017, accruals for interest and penalties were $4.1 million and $1.0 million, respectively. As of December 31, 2018 and 2017, we had a liability for uncertain tax positions of $9.6 million and $2.3 million, respectively, all of which if recognized would affect the effective tax rate.</w:t>
      </w:r>
    </w:p>
    <w:p>
      <w:pPr>
        <w:spacing w:after="0" w:line="3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We believe that it is reasonably possible that a decrease of up to $9.6 million in unrecognized tax benefits may be necessary within the next 12 months.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Foreign Earnings and Non-U.S. Jurisdictions</w:t>
      </w:r>
    </w:p>
    <w:p>
      <w:pPr>
        <w:spacing w:after="0" w:line="12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 of December 31, 2018, we have recognized a deferred tax liability of $2.1 million for India and Philippines subsidiary undistributed earnings of $11.7 million. With the exception of India and Philippines subsidiary earnings, we consider the remainder of our foreign subsidiary undistributed earnings to be indefinitely invested outside the U.S. based on our specific plans for reinvestment. Should we decide to repatriate the foreign earnings, we would need to adjust our income tax provision in the period we determined that the earnings will no longer be indefinitely reinvested. Federal income tax expense has been recognized on these reinvested foreign earnings as a result of the Tax Act. Determination of the amount of unrecognized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693" w:right="239" w:bottom="1440" w:gutter="0" w:footer="0" w:header="0"/>
        </w:sectPr>
      </w:pPr>
    </w:p>
    <w:bookmarkStart w:id="163" w:name="page164"/>
    <w:bookmarkEnd w:id="163"/>
    <w:p>
      <w:pPr>
        <w:ind w:right="280"/>
        <w:spacing w:after="0" w:line="277" w:lineRule="auto"/>
        <w:rPr>
          <w:sz w:val="20"/>
          <w:szCs w:val="20"/>
          <w:color w:val="auto"/>
        </w:rPr>
      </w:pPr>
      <w:r>
        <w:rPr>
          <w:rFonts w:ascii="Arial" w:cs="Arial" w:eastAsia="Arial" w:hAnsi="Arial"/>
          <w:sz w:val="18"/>
          <w:szCs w:val="18"/>
          <w:color w:val="auto"/>
        </w:rPr>
        <w:t>deferred tax liability with respect to items such as foreign withholding taxes, state income tax expense or foreign exchange gain or loss on these reinvested foreign earnings is not practicable.</w:t>
      </w:r>
    </w:p>
    <w:p>
      <w:pPr>
        <w:spacing w:after="0" w:line="17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OMS is headquartered in Christiansted,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may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EDC benefits had no impact on our current foreign tax benefit in 2018 and 2017 because we are incurring current losses in the USVI and do not have carryback potential for these losses. As a result, no current benefit can be recognized for these losses. The impact of these EDC benefits decreased our current foreign tax benefit by $62.7 million related to 2016 USVI losses. The detriment of these EDC benefits on diluted earnings per share was $(0.51) for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Basic and Diluted Earnings (Loss) per Share</w:t>
      </w:r>
    </w:p>
    <w:p>
      <w:pPr>
        <w:spacing w:after="0" w:line="12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Basic earnings or loss per share excludes common stock equivalents and is calculated by dividing net income or loss attributable to Ocwen common stockholders by the weighted average number of common shares outstanding during the year. We calculate diluted earnings or loss per share by dividing net income or loss attributable to Ocwen by the weighted average number of common shares outstanding including the potential dilutive common shares related to outstanding stock options and restricted stock awards. For 2018, 2017 and 2016, we have excluded the effect of stock options and common stock awards from the computation of diluted loss per share because of the anti-dilutive effect of our reported net loss.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6"/>
              </w:rPr>
              <w:t>Loss from continuing operations, net of tax attributable to Ocwen common stockholders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loss attributable to Ocwen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(70,772)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(127,966)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(199,762)</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shares of common stock outstanding - Basic and Diluted</w:t>
            </w:r>
          </w:p>
        </w:tc>
        <w:tc>
          <w:tcPr>
            <w:tcW w:w="32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133,703,359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127,082,058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123,990,700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Earnings (loss) per share - Basic and Diluted</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Total attributable to Ocwen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17"/>
        </w:trPr>
        <w:tc>
          <w:tcPr>
            <w:tcW w:w="67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r>
      <w:tr>
        <w:trPr>
          <w:trHeight w:val="22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w w:val="93"/>
              </w:rPr>
              <w:t>Stock options and common stock awards excluded from the computation of diluted</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6740" w:type="dxa"/>
            <w:vAlign w:val="bottom"/>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Anti-dilutive (1)</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4,989,725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5,487,164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7,176,089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Market-based (2)</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670,829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862,446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795,456</w:t>
            </w:r>
          </w:p>
        </w:tc>
      </w:tr>
    </w:tbl>
    <w:p>
      <w:pPr>
        <w:spacing w:after="0" w:line="341" w:lineRule="exact"/>
        <w:rPr>
          <w:sz w:val="20"/>
          <w:szCs w:val="20"/>
          <w:color w:val="auto"/>
        </w:rPr>
      </w:pPr>
    </w:p>
    <w:p>
      <w:pPr>
        <w:ind w:left="500" w:right="340" w:hanging="492"/>
        <w:spacing w:after="0" w:line="255" w:lineRule="auto"/>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Employee Compensation and Benefit Plans</w:t>
      </w:r>
    </w:p>
    <w:p>
      <w:pPr>
        <w:spacing w:after="0" w:line="121"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We maintain defined contribution plans to provide post-retirement benefits to our eligible employees and non-contributory defined benefit pension plans which are frozen and cover certain former eligible employees. We also maintain additional incentive compensation plans for certain employees. We designed these plans to facilitate a pay-for-performance culture, further align the interests of our officers and key employees with the interests of our shareholders and to assist in attracting and retaining employees vital to our long-term success. These plans are summarized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Plans</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maintain defined contribution savings plans for employees in the U.S (401(k) plans) and India (Provident Fund). We sponsor separate defined contribution plans for Ocwen, PHH Corporation and PHH Home Loans that provide certain eligible employees an opportunity to accumulate funds for retirement. Contributions of participating employees are matched on the basis specified by these plans. The employee match percentage ranges from 50% of each employee’s contributions, limited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693" w:right="239" w:bottom="1440" w:gutter="0" w:footer="0" w:header="0"/>
        </w:sectPr>
      </w:pPr>
    </w:p>
    <w:bookmarkStart w:id="164" w:name="page165"/>
    <w:bookmarkEnd w:id="164"/>
    <w:p>
      <w:pPr>
        <w:ind w:right="300"/>
        <w:spacing w:after="0" w:line="312" w:lineRule="auto"/>
        <w:rPr>
          <w:sz w:val="20"/>
          <w:szCs w:val="20"/>
          <w:color w:val="auto"/>
        </w:rPr>
      </w:pPr>
      <w:r>
        <w:rPr>
          <w:rFonts w:ascii="Arial" w:cs="Arial" w:eastAsia="Arial" w:hAnsi="Arial"/>
          <w:sz w:val="16"/>
          <w:szCs w:val="16"/>
          <w:color w:val="auto"/>
        </w:rPr>
        <w:t>2%, to 100% of each eligible participant’s salary deferred up to 4% of such participant’s eligible compensation per pay period with maximum aggregate matching of $10,800 for 2018. For the Provident Fund, both the employee and the employer are required to make minimum contributions to the fund at a predetermined rate (currently 12%) applied to a portion of the employee's salary. Employers are not required to make contributions beyond this minimum.</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contributions to these plans were $4.8 million, $5.3 million and $4.9 million for the years ended December 31, 2018, 2017 and 2016,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Ocwen and PHH sponsor non-contributory defined benefit pension plan for which benefits are based on an employee’s years of credited service and a percentage of final average compensation, or as otherwise described by the plan. Both defined benefit pension plans are frozen, wherein the plans only accrue additional benefits for a limited number of employees and no additional employees are eligible for participation in the plans. On October 4, 2018, Ocwen assumed all benefit obligations associated with PHH’s defined benefit pension plan as a result of its completed acquisition of PHH.</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340"/>
              <w:spacing w:after="0"/>
              <w:rPr>
                <w:sz w:val="20"/>
                <w:szCs w:val="20"/>
                <w:color w:val="auto"/>
              </w:rPr>
            </w:pPr>
            <w:r>
              <w:rPr>
                <w:rFonts w:ascii="Arial" w:cs="Arial" w:eastAsia="Arial" w:hAnsi="Arial"/>
                <w:sz w:val="18"/>
                <w:szCs w:val="18"/>
                <w:color w:val="auto"/>
                <w:w w:val="98"/>
              </w:rPr>
              <w:t>The following table shows the total change in the benefit obligation, plan assets and funded status for the pension plans:</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98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982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Benefit obligation</w:t>
            </w:r>
          </w:p>
        </w:tc>
        <w:tc>
          <w:tcPr>
            <w:tcW w:w="54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49,122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36,439</w:t>
            </w:r>
          </w:p>
        </w:tc>
      </w:tr>
      <w:tr>
        <w:trPr>
          <w:trHeight w:val="27"/>
        </w:trPr>
        <w:tc>
          <w:tcPr>
            <w:tcW w:w="982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Unfunded status recognized in Other liabilities</w:t>
            </w:r>
          </w:p>
        </w:tc>
        <w:tc>
          <w:tcPr>
            <w:tcW w:w="54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(12,683)</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1"/>
        </w:trPr>
        <w:tc>
          <w:tcPr>
            <w:tcW w:w="9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4"/>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Amounts recognized in Accumulated other comprehensive income</w:t>
            </w:r>
          </w:p>
        </w:tc>
        <w:tc>
          <w:tcPr>
            <w:tcW w:w="540" w:type="dxa"/>
            <w:vAlign w:val="bottom"/>
            <w:tcBorders>
              <w:bottom w:val="single" w:sz="8" w:color="auto"/>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3,422</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net periodic benefit cost related to the defined benefit pension plans is $0.4 million for the year ended December 31, 2018 and not significant for the years ended December 31, 2017 and 2016, respectively and is included in Other expenses.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December 31, 2018, future expected benefit payments to be made from the defined benefit pension plan’s assets, which reflect expected future service, is $2.7 million for the year ending December 31, 2019, $2.8 million for the years ending December 31, 2020 through 2021 and $2.7 million for the years ending December 31, 2022 through 2023. The expected benefit payments to be made for the subsequent five years ending December 31, 2024 through 2028 are $15.4 million.</w:t>
      </w:r>
    </w:p>
    <w:p>
      <w:pPr>
        <w:spacing w:after="0" w:line="187"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Both Ocwen and PHH’s policy is to contribute amounts to the defined benefit pension plans sufficient to meet minimum funding requirements as set forth in employee benefit and tax laws and additional amounts at their discretion. Our contributions to the Ocwen plan were $0.2 million, $0.1 million and $0.1 million for the years ended December 31, 2018, 2017 and 2016, respectively. No contributions were required to be made to the PHH plan during the post-acquisition period ended December 31, 2018, and contributions are not expected to be significant for the year ended December 31,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Ocwen Financial Corporation Amended 1998 Annual Incentive Plan and the 2017 Performance Incentive Plan (the 2017 Equity Plan) are our primary incentive compensation plans for executives and other eligible employees. Previously issued equity awards remain outstanding under the 2007 Equity Incentive Plan (the 2007 Equity Plan). Under the terms of these plans, participants can earn cash and equity-based awards as determined by the Compensation Committee of the Board of Directors (the Committee). The awards are based on objective and subjective performance criteria established by the Committee. The Committee may at its discretion adjust performance measurements to reflect significant unforeseen events. We recognized $20.5 million, $24.5 million and $25.5 million of compensation expense during 2018, 2017 and 2016, respectively, related to annual incentive compensation awarded in cash.</w:t>
      </w:r>
    </w:p>
    <w:p>
      <w:pPr>
        <w:spacing w:after="0" w:line="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2007 Equity Plan and the 2017 Equity Plan authorize the grant of stock options, restricted stock, stock units or other equity-based awards to employees. Effective with the approval of the 2017 Equity Plan by Ocwen shareholders on May 24, 2017, no new awards will be granted under the 2007 Equity Plan. The number of remaining shares available for award grants under the 2007 Equity Plan became available for award grants under the 2017 Equity Plan effective upon shareholder approval. At December 31, 2018, there were 7,917,804 shares of common stock remaining available for future issuance under these plans.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these plans had the following characteristics in common: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692"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Total Equity</w:t>
            </w:r>
          </w:p>
        </w:tc>
        <w:tc>
          <w:tcPr>
            <w:tcW w:w="12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34"/>
        </w:trPr>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c>
          <w:tcPr>
            <w:tcW w:w="120" w:type="dxa"/>
            <w:vAlign w:val="bottom"/>
          </w:tcPr>
          <w:p>
            <w:pPr>
              <w:spacing w:after="0"/>
              <w:rPr>
                <w:sz w:val="20"/>
                <w:szCs w:val="20"/>
                <w:color w:val="auto"/>
              </w:rPr>
            </w:pPr>
          </w:p>
        </w:tc>
        <w:tc>
          <w:tcPr>
            <w:tcW w:w="7600" w:type="dxa"/>
            <w:vAlign w:val="bottom"/>
          </w:tcPr>
          <w:p>
            <w:pPr>
              <w:ind w:left="324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2008 - 2014 Awards: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Ratably over four years (25% on each of the four anniversaries of the grant date)</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280"/>
              <w:spacing w:after="0"/>
              <w:rPr>
                <w:sz w:val="20"/>
                <w:szCs w:val="20"/>
                <w:color w:val="auto"/>
              </w:rPr>
            </w:pPr>
            <w:r>
              <w:rPr>
                <w:rFonts w:ascii="Arial" w:cs="Arial" w:eastAsia="Arial" w:hAnsi="Arial"/>
                <w:sz w:val="18"/>
                <w:szCs w:val="18"/>
                <w:color w:val="auto"/>
              </w:rPr>
              <w:t>Market performance-based</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Over three years beginning with 25% vesting on the date that the stock price has at least doubled over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4"/>
              </w:rPr>
              <w:t>the exercise price and the compounded annual gain over the exercise price is at least 20% and then</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2"/>
              </w:rPr>
              <w:t>ratably over three years (25% on each of the next three anniversaries of the achievement of the market</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condition)</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29"/>
        </w:trPr>
        <w:tc>
          <w:tcPr>
            <w:tcW w:w="25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Extraordinary market</w:t>
            </w:r>
          </w:p>
        </w:tc>
        <w:tc>
          <w:tcPr>
            <w:tcW w:w="12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EAF9E8"/>
          </w:tcPr>
          <w:p>
            <w:pPr>
              <w:spacing w:after="0"/>
              <w:rPr>
                <w:sz w:val="19"/>
                <w:szCs w:val="19"/>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1"/>
              </w:rPr>
              <w:t>Over three years beginning with 25% vesting on the date that the stock price has at least tripled over the</w:t>
            </w:r>
          </w:p>
        </w:tc>
      </w:tr>
      <w:tr>
        <w:trPr>
          <w:trHeight w:val="216"/>
        </w:trPr>
        <w:tc>
          <w:tcPr>
            <w:tcW w:w="25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performance-based</w:t>
            </w: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1"/>
              </w:rPr>
              <w:t>exercise price and the compounded annual gain over the exercise price is at least 25% and then ratably</w:t>
            </w:r>
          </w:p>
        </w:tc>
      </w:tr>
      <w:tr>
        <w:trPr>
          <w:trHeight w:val="216"/>
        </w:trPr>
        <w:tc>
          <w:tcPr>
            <w:tcW w:w="2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over three years (25% on each of the next three anniversaries of the achievement of the market</w:t>
            </w:r>
          </w:p>
        </w:tc>
      </w:tr>
      <w:tr>
        <w:trPr>
          <w:trHeight w:val="257"/>
        </w:trPr>
        <w:tc>
          <w:tcPr>
            <w:tcW w:w="23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condition)</w:t>
            </w:r>
          </w:p>
        </w:tc>
      </w:tr>
      <w:tr>
        <w:trPr>
          <w:trHeight w:val="237"/>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67"/>
        </w:trPr>
        <w:tc>
          <w:tcPr>
            <w:tcW w:w="238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7600" w:type="dxa"/>
            <w:vAlign w:val="bottom"/>
            <w:tcBorders>
              <w:bottom w:val="single" w:sz="8" w:color="EAF9E8"/>
            </w:tcBorders>
          </w:tcPr>
          <w:p>
            <w:pPr>
              <w:spacing w:after="0"/>
              <w:rPr>
                <w:sz w:val="5"/>
                <w:szCs w:val="5"/>
                <w:color w:val="auto"/>
              </w:rPr>
            </w:pPr>
          </w:p>
        </w:tc>
      </w:tr>
      <w:tr>
        <w:trPr>
          <w:trHeight w:val="102"/>
        </w:trPr>
        <w:tc>
          <w:tcPr>
            <w:tcW w:w="2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7600" w:type="dxa"/>
            <w:vAlign w:val="bottom"/>
            <w:shd w:val="clear" w:color="auto" w:fill="EAF9E8"/>
          </w:tcPr>
          <w:p>
            <w:pPr>
              <w:spacing w:after="0"/>
              <w:rPr>
                <w:sz w:val="8"/>
                <w:szCs w:val="8"/>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 Awards: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Ratably over four years (25% vesting on each of the first four anniversaries of the grant date.)</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Units: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7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7600" w:type="dxa"/>
            <w:vAlign w:val="bottom"/>
          </w:tcPr>
          <w:p>
            <w:pPr>
              <w:ind w:left="20"/>
              <w:spacing w:after="0" w:line="270" w:lineRule="exact"/>
              <w:rPr>
                <w:sz w:val="20"/>
                <w:szCs w:val="20"/>
                <w:color w:val="auto"/>
              </w:rPr>
            </w:pPr>
            <w:r>
              <w:rPr>
                <w:rFonts w:ascii="Arial" w:cs="Arial" w:eastAsia="Arial" w:hAnsi="Arial"/>
                <w:sz w:val="18"/>
                <w:szCs w:val="18"/>
                <w:color w:val="auto"/>
                <w:w w:val="99"/>
              </w:rPr>
              <w:t>Over four years with 1/3 vesting on each of the 2</w:t>
            </w:r>
            <w:r>
              <w:rPr>
                <w:rFonts w:ascii="Arial" w:cs="Arial" w:eastAsia="Arial" w:hAnsi="Arial"/>
                <w:sz w:val="25"/>
                <w:szCs w:val="25"/>
                <w:color w:val="auto"/>
                <w:w w:val="99"/>
                <w:vertAlign w:val="superscript"/>
              </w:rPr>
              <w:t>nd</w:t>
            </w:r>
            <w:r>
              <w:rPr>
                <w:rFonts w:ascii="Arial" w:cs="Arial" w:eastAsia="Arial" w:hAnsi="Arial"/>
                <w:sz w:val="18"/>
                <w:szCs w:val="18"/>
                <w:color w:val="auto"/>
                <w:w w:val="99"/>
              </w:rPr>
              <w:t>, 3</w:t>
            </w:r>
            <w:r>
              <w:rPr>
                <w:rFonts w:ascii="Arial" w:cs="Arial" w:eastAsia="Arial" w:hAnsi="Arial"/>
                <w:sz w:val="25"/>
                <w:szCs w:val="25"/>
                <w:color w:val="auto"/>
                <w:w w:val="99"/>
                <w:vertAlign w:val="superscript"/>
              </w:rPr>
              <w:t>rd</w:t>
            </w:r>
            <w:r>
              <w:rPr>
                <w:rFonts w:ascii="Arial" w:cs="Arial" w:eastAsia="Arial" w:hAnsi="Arial"/>
                <w:sz w:val="18"/>
                <w:szCs w:val="18"/>
                <w:color w:val="auto"/>
                <w:w w:val="99"/>
              </w:rPr>
              <w:t xml:space="preserve"> and 4</w:t>
            </w:r>
            <w:r>
              <w:rPr>
                <w:rFonts w:ascii="Arial" w:cs="Arial" w:eastAsia="Arial" w:hAnsi="Arial"/>
                <w:sz w:val="25"/>
                <w:szCs w:val="25"/>
                <w:color w:val="auto"/>
                <w:w w:val="99"/>
                <w:vertAlign w:val="superscript"/>
              </w:rPr>
              <w:t>th</w:t>
            </w:r>
            <w:r>
              <w:rPr>
                <w:rFonts w:ascii="Arial" w:cs="Arial" w:eastAsia="Arial" w:hAnsi="Arial"/>
                <w:sz w:val="18"/>
                <w:szCs w:val="18"/>
                <w:color w:val="auto"/>
                <w:w w:val="99"/>
              </w:rPr>
              <w:t xml:space="preserve"> anniversaries of the grant date.</w:t>
            </w: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29"/>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8"/>
              </w:rPr>
              <w:t>Time-based vesting schedule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Vest over four years with 25% vesting on each of the four anniversaries of the grant date. However,</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and Market performance-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line="216" w:lineRule="exact"/>
              <w:rPr>
                <w:sz w:val="20"/>
                <w:szCs w:val="20"/>
                <w:color w:val="auto"/>
              </w:rPr>
            </w:pPr>
            <w:r>
              <w:rPr>
                <w:rFonts w:ascii="Arial" w:cs="Arial" w:eastAsia="Arial" w:hAnsi="Arial"/>
                <w:sz w:val="18"/>
                <w:szCs w:val="18"/>
                <w:color w:val="auto"/>
                <w:w w:val="96"/>
              </w:rPr>
              <w:t>none are considered vested until the first trading day (if any) on or before the 4</w:t>
            </w:r>
            <w:r>
              <w:rPr>
                <w:rFonts w:ascii="Arial" w:cs="Arial" w:eastAsia="Arial" w:hAnsi="Arial"/>
                <w:sz w:val="25"/>
                <w:szCs w:val="25"/>
                <w:color w:val="auto"/>
                <w:w w:val="96"/>
                <w:vertAlign w:val="superscript"/>
              </w:rPr>
              <w:t>th</w:t>
            </w:r>
            <w:r>
              <w:rPr>
                <w:rFonts w:ascii="Arial" w:cs="Arial" w:eastAsia="Arial" w:hAnsi="Arial"/>
                <w:sz w:val="18"/>
                <w:szCs w:val="18"/>
                <w:color w:val="auto"/>
                <w:w w:val="96"/>
              </w:rPr>
              <w:t xml:space="preserve"> anniversary of the</w:t>
            </w:r>
          </w:p>
        </w:tc>
      </w:tr>
      <w:tr>
        <w:trPr>
          <w:trHeight w:val="216"/>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based vesting date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5"/>
              </w:rPr>
              <w:t>award date on which the average stock price equals or exceeds the price set in the individual award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1"/>
              </w:rPr>
              <w:t>agreement, at which time all units that have met their time-based vesting schedule vest immediately with</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the remainder vesting in accordance with their time-based schedule.</w:t>
            </w:r>
          </w:p>
        </w:tc>
      </w:tr>
      <w:tr>
        <w:trPr>
          <w:trHeight w:val="27"/>
        </w:trPr>
        <w:tc>
          <w:tcPr>
            <w:tcW w:w="23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00" w:type="dxa"/>
            <w:vAlign w:val="bottom"/>
            <w:tcBorders>
              <w:bottom w:val="single" w:sz="8" w:color="EAF9E8"/>
            </w:tcBorders>
          </w:tcPr>
          <w:p>
            <w:pPr>
              <w:spacing w:after="0"/>
              <w:rPr>
                <w:sz w:val="2"/>
                <w:szCs w:val="2"/>
                <w:color w:val="auto"/>
              </w:rPr>
            </w:pPr>
          </w:p>
        </w:tc>
      </w:tr>
      <w:tr>
        <w:trPr>
          <w:trHeight w:val="257"/>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AF9E8"/>
            </w:tcBorders>
            <w:shd w:val="clear" w:color="auto" w:fill="EAF9E8"/>
          </w:tcPr>
          <w:p>
            <w:pPr>
              <w:spacing w:after="0"/>
              <w:rPr>
                <w:sz w:val="22"/>
                <w:szCs w:val="22"/>
                <w:color w:val="auto"/>
              </w:rPr>
            </w:pPr>
          </w:p>
        </w:tc>
        <w:tc>
          <w:tcPr>
            <w:tcW w:w="7600" w:type="dxa"/>
            <w:vAlign w:val="bottom"/>
            <w:tcBorders>
              <w:bottom w:val="single" w:sz="8" w:color="EAF9E8"/>
            </w:tcBorders>
            <w:shd w:val="clear" w:color="auto" w:fill="EAF9E8"/>
          </w:tcPr>
          <w:p>
            <w:pPr>
              <w:spacing w:after="0"/>
              <w:rPr>
                <w:sz w:val="22"/>
                <w:szCs w:val="22"/>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109"/>
        </w:trPr>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0" w:type="dxa"/>
            <w:vAlign w:val="bottom"/>
          </w:tcPr>
          <w:p>
            <w:pPr>
              <w:spacing w:after="0"/>
              <w:rPr>
                <w:sz w:val="9"/>
                <w:szCs w:val="9"/>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2016 - 2018 Awards: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Ratably over three years (1/3 vesting on each of the first three anniversaries of the grant date).</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Stock Units:</w:t>
            </w: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spacing w:after="0"/>
              <w:rPr>
                <w:sz w:val="21"/>
                <w:szCs w:val="21"/>
                <w:color w:val="auto"/>
              </w:rPr>
            </w:pP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 Condition:</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5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Time-based</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EAF9E8"/>
            </w:tcBorders>
            <w:shd w:val="clear" w:color="auto" w:fill="EAF9E8"/>
          </w:tcPr>
          <w:p>
            <w:pPr>
              <w:spacing w:after="0"/>
              <w:rPr>
                <w:sz w:val="21"/>
                <w:szCs w:val="21"/>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Over three years with 1/3 vesting on each of the first three anniversaries of the grant date.</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Market Condition:</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29"/>
        </w:trPr>
        <w:tc>
          <w:tcPr>
            <w:tcW w:w="25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8"/>
              </w:rPr>
              <w:t>Time-based vesting schedule</w:t>
            </w:r>
          </w:p>
        </w:tc>
        <w:tc>
          <w:tcPr>
            <w:tcW w:w="12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EAF9E8"/>
          </w:tcPr>
          <w:p>
            <w:pPr>
              <w:spacing w:after="0"/>
              <w:rPr>
                <w:sz w:val="19"/>
                <w:szCs w:val="19"/>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5"/>
              </w:rPr>
              <w:t>Vest over four years with 25% vesting on each of the four anniversaries of the grant date. However,</w:t>
            </w:r>
          </w:p>
        </w:tc>
      </w:tr>
      <w:tr>
        <w:trPr>
          <w:trHeight w:val="216"/>
        </w:trPr>
        <w:tc>
          <w:tcPr>
            <w:tcW w:w="25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and Market performance-</w:t>
            </w: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line="216" w:lineRule="exact"/>
              <w:rPr>
                <w:sz w:val="20"/>
                <w:szCs w:val="20"/>
                <w:color w:val="auto"/>
              </w:rPr>
            </w:pPr>
            <w:r>
              <w:rPr>
                <w:rFonts w:ascii="Arial" w:cs="Arial" w:eastAsia="Arial" w:hAnsi="Arial"/>
                <w:sz w:val="18"/>
                <w:szCs w:val="18"/>
                <w:color w:val="auto"/>
                <w:w w:val="96"/>
              </w:rPr>
              <w:t>none are considered vested until the first trading day (if any) on or before the 4</w:t>
            </w:r>
            <w:r>
              <w:rPr>
                <w:rFonts w:ascii="Arial" w:cs="Arial" w:eastAsia="Arial" w:hAnsi="Arial"/>
                <w:sz w:val="25"/>
                <w:szCs w:val="25"/>
                <w:color w:val="auto"/>
                <w:w w:val="96"/>
                <w:vertAlign w:val="superscript"/>
              </w:rPr>
              <w:t>th</w:t>
            </w:r>
            <w:r>
              <w:rPr>
                <w:rFonts w:ascii="Arial" w:cs="Arial" w:eastAsia="Arial" w:hAnsi="Arial"/>
                <w:sz w:val="18"/>
                <w:szCs w:val="18"/>
                <w:color w:val="auto"/>
                <w:w w:val="96"/>
              </w:rPr>
              <w:t xml:space="preserve"> anniversary of the</w:t>
            </w:r>
          </w:p>
        </w:tc>
      </w:tr>
      <w:tr>
        <w:trPr>
          <w:trHeight w:val="216"/>
        </w:trPr>
        <w:tc>
          <w:tcPr>
            <w:tcW w:w="25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based vesting date</w:t>
            </w: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5"/>
              </w:rPr>
              <w:t>award date on which the average stock price equals or exceeds the price set in the individual award</w:t>
            </w:r>
          </w:p>
        </w:tc>
      </w:tr>
      <w:tr>
        <w:trPr>
          <w:trHeight w:val="216"/>
        </w:trPr>
        <w:tc>
          <w:tcPr>
            <w:tcW w:w="2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0" w:type="dxa"/>
            <w:vAlign w:val="bottom"/>
            <w:shd w:val="clear" w:color="auto" w:fill="EAF9E8"/>
          </w:tcPr>
          <w:p>
            <w:pPr>
              <w:ind w:left="20"/>
              <w:spacing w:after="0"/>
              <w:rPr>
                <w:sz w:val="20"/>
                <w:szCs w:val="20"/>
                <w:color w:val="auto"/>
              </w:rPr>
            </w:pPr>
            <w:r>
              <w:rPr>
                <w:rFonts w:ascii="Arial" w:cs="Arial" w:eastAsia="Arial" w:hAnsi="Arial"/>
                <w:sz w:val="18"/>
                <w:szCs w:val="18"/>
                <w:color w:val="auto"/>
                <w:w w:val="91"/>
              </w:rPr>
              <w:t>agreement, at which time all units that have met their time-based vesting schedule vest immediately with</w:t>
            </w:r>
          </w:p>
        </w:tc>
      </w:tr>
      <w:tr>
        <w:trPr>
          <w:trHeight w:val="257"/>
        </w:trPr>
        <w:tc>
          <w:tcPr>
            <w:tcW w:w="23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the remainder vesting in accordance with their time-based schedule.</w:t>
            </w:r>
          </w:p>
        </w:tc>
      </w:tr>
      <w:tr>
        <w:trPr>
          <w:trHeight w:val="257"/>
        </w:trPr>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7600" w:type="dxa"/>
            <w:vAlign w:val="bottom"/>
          </w:tcPr>
          <w:p>
            <w:pPr>
              <w:spacing w:after="0"/>
              <w:rPr>
                <w:sz w:val="22"/>
                <w:szCs w:val="22"/>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pacing w:after="0" w:line="9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death, disability or retirement, in which case, the agreement may provide for an earlier termination of the options. The terms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743" w:right="239" w:bottom="1440" w:gutter="0" w:footer="0" w:header="0"/>
        </w:sectPr>
      </w:pPr>
    </w:p>
    <w:bookmarkStart w:id="166" w:name="page167"/>
    <w:bookmarkEnd w:id="166"/>
    <w:p>
      <w:pPr>
        <w:ind w:right="560"/>
        <w:spacing w:after="0" w:line="277" w:lineRule="auto"/>
        <w:rPr>
          <w:sz w:val="20"/>
          <w:szCs w:val="20"/>
          <w:color w:val="auto"/>
        </w:rPr>
      </w:pPr>
      <w:r>
        <w:rPr>
          <w:rFonts w:ascii="Arial" w:cs="Arial" w:eastAsia="Arial" w:hAnsi="Arial"/>
          <w:sz w:val="18"/>
          <w:szCs w:val="18"/>
          <w:color w:val="auto"/>
        </w:rPr>
        <w:t>of the market-based options do not include a retirement provision. Stock units have a four-year term. If the market conditions are not met by the fourth anniversary of the award of stock units, those units terminate on that date.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6"/>
          </w:tcPr>
          <w:p>
            <w:pPr>
              <w:ind w:left="26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14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2018</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2017</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34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6,708,655</w:t>
            </w:r>
          </w:p>
        </w:tc>
        <w:tc>
          <w:tcPr>
            <w:tcW w:w="440" w:type="dxa"/>
            <w:vAlign w:val="bottom"/>
            <w:tcBorders>
              <w:bottom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6,926,634</w:t>
            </w:r>
          </w:p>
        </w:tc>
        <w:tc>
          <w:tcPr>
            <w:tcW w:w="420" w:type="dxa"/>
            <w:vAlign w:val="bottom"/>
            <w:tcBorders>
              <w:bottom w:val="single" w:sz="8" w:color="EAF9E8"/>
            </w:tcBorders>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7,151,225</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Granted (1)</w:t>
            </w:r>
          </w:p>
        </w:tc>
        <w:tc>
          <w:tcPr>
            <w:tcW w:w="1140" w:type="dxa"/>
            <w:vAlign w:val="bottom"/>
          </w:tcPr>
          <w:p>
            <w:pPr>
              <w:jc w:val="right"/>
              <w:spacing w:after="0"/>
              <w:rPr>
                <w:sz w:val="20"/>
                <w:szCs w:val="20"/>
                <w:color w:val="auto"/>
              </w:rPr>
            </w:pPr>
            <w:r>
              <w:rPr>
                <w:rFonts w:ascii="Arial" w:cs="Arial" w:eastAsia="Arial" w:hAnsi="Arial"/>
                <w:sz w:val="18"/>
                <w:szCs w:val="18"/>
                <w:color w:val="auto"/>
              </w:rPr>
              <w:t>348,385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Exercised (2)</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(69,805)</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Forfeited / Expired (4)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(4,964,441)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(217,979)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(154,786)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21.80</w:t>
            </w:r>
          </w:p>
        </w:tc>
      </w:tr>
      <w:tr>
        <w:trPr>
          <w:trHeight w:val="27"/>
        </w:trPr>
        <w:tc>
          <w:tcPr>
            <w:tcW w:w="334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r>
      <w:tr>
        <w:trPr>
          <w:trHeight w:val="257"/>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(5)(6)</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2,092,599</w:t>
            </w:r>
          </w:p>
        </w:tc>
        <w:tc>
          <w:tcPr>
            <w:tcW w:w="4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19.22</w:t>
            </w:r>
          </w:p>
        </w:tc>
        <w:tc>
          <w:tcPr>
            <w:tcW w:w="100" w:type="dxa"/>
            <w:vAlign w:val="bottom"/>
            <w:shd w:val="clear" w:color="auto" w:fill="EAF9E8"/>
          </w:tcPr>
          <w:p>
            <w:pPr>
              <w:spacing w:after="0"/>
              <w:rPr>
                <w:sz w:val="22"/>
                <w:szCs w:val="22"/>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6,708,655</w:t>
            </w:r>
          </w:p>
        </w:tc>
        <w:tc>
          <w:tcPr>
            <w:tcW w:w="42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6,926,634</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9.88</w:t>
            </w:r>
          </w:p>
        </w:tc>
      </w:tr>
      <w:tr>
        <w:trPr>
          <w:trHeight w:val="20"/>
        </w:trPr>
        <w:tc>
          <w:tcPr>
            <w:tcW w:w="334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60" w:type="dxa"/>
            <w:vAlign w:val="bottom"/>
            <w:tcBorders>
              <w:top w:val="single" w:sz="8" w:color="EAF9E8"/>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Exercisable at end of year (5)(6)(7)</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1,520,039</w:t>
            </w:r>
          </w:p>
        </w:tc>
        <w:tc>
          <w:tcPr>
            <w:tcW w:w="44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EAF9E8"/>
          </w:tcPr>
          <w:p>
            <w:pPr>
              <w:spacing w:after="0"/>
              <w:rPr>
                <w:sz w:val="22"/>
                <w:szCs w:val="22"/>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6,234,830</w:t>
            </w:r>
          </w:p>
        </w:tc>
        <w:tc>
          <w:tcPr>
            <w:tcW w:w="42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6,344,958</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8.71</w:t>
            </w:r>
          </w:p>
        </w:tc>
      </w:tr>
      <w:tr>
        <w:trPr>
          <w:trHeight w:val="20"/>
        </w:trPr>
        <w:tc>
          <w:tcPr>
            <w:tcW w:w="334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060" w:type="dxa"/>
            <w:vAlign w:val="bottom"/>
            <w:tcBorders>
              <w:top w:val="single" w:sz="8" w:color="EAF9E8"/>
            </w:tcBorders>
          </w:tcPr>
          <w:p>
            <w:pPr>
              <w:spacing w:after="0" w:line="20" w:lineRule="exact"/>
              <w:rPr>
                <w:sz w:val="1"/>
                <w:szCs w:val="1"/>
                <w:color w:val="auto"/>
              </w:rPr>
            </w:pPr>
          </w:p>
        </w:tc>
      </w:tr>
    </w:tbl>
    <w:p>
      <w:pPr>
        <w:spacing w:after="0" w:line="314" w:lineRule="exact"/>
        <w:rPr>
          <w:sz w:val="20"/>
          <w:szCs w:val="20"/>
          <w:color w:val="auto"/>
        </w:rPr>
      </w:pPr>
    </w:p>
    <w:p>
      <w:pPr>
        <w:ind w:left="500" w:right="200" w:hanging="492"/>
        <w:spacing w:after="0" w:line="255"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Stock options granted in 2018 include 266,990 options awarded to Ocwen’s current Chief Executive Officer at an exercise price of $4.12 equal to the closing price of our common stock on the effective date of his employment, which was the closing date of the PHH acquisition.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weighted average grant date fair value of stock options granted in 2018 was $2.63.</w:t>
      </w:r>
    </w:p>
    <w:p>
      <w:pPr>
        <w:spacing w:after="0" w:line="5" w:lineRule="exact"/>
        <w:rPr>
          <w:rFonts w:ascii="Arial" w:cs="Arial" w:eastAsia="Arial" w:hAnsi="Arial"/>
          <w:sz w:val="16"/>
          <w:szCs w:val="16"/>
          <w:color w:val="auto"/>
        </w:rPr>
      </w:pPr>
    </w:p>
    <w:p>
      <w:pPr>
        <w:ind w:left="500" w:right="140" w:hanging="492"/>
        <w:spacing w:after="0" w:line="246"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total intrinsic value of stock options exercised, which is defined as the amount by which the market value of the stock on the date of exercise exceeds the exercise price was $0.1 million in 2016.</w:t>
      </w:r>
    </w:p>
    <w:p>
      <w:pPr>
        <w:ind w:left="500" w:hanging="492"/>
        <w:spacing w:after="0"/>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Includes 4,719,750 options which expired unexercised in 2018 because their exercise price was greater than the market price of Ocwen’s stock.</w:t>
      </w:r>
    </w:p>
    <w:p>
      <w:pPr>
        <w:spacing w:after="0" w:line="5" w:lineRule="exact"/>
        <w:rPr>
          <w:rFonts w:ascii="Arial" w:cs="Arial" w:eastAsia="Arial" w:hAnsi="Arial"/>
          <w:sz w:val="16"/>
          <w:szCs w:val="16"/>
          <w:color w:val="auto"/>
        </w:rPr>
      </w:pPr>
    </w:p>
    <w:p>
      <w:pPr>
        <w:ind w:left="500" w:right="100" w:hanging="492"/>
        <w:spacing w:after="0" w:line="246"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December 31, 2018, 160,000 options with a market condition for vesting based on an average common stock trading price of $38.94, had not met their performance criteria. Outstanding and exercisable stock options at December 31, 2018 have a net aggregate intrinsic value of $0. A total of 870,939 market-based options were outstanding at December 31, 2018, of which 710,939 were exercisable.</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At December 31, 2018, the weighted average remaining contractual term of options outstanding and options exercisable was 5.02 years and 3.87 years, respectively.</w:t>
      </w:r>
    </w:p>
    <w:p>
      <w:pPr>
        <w:spacing w:after="0" w:line="28" w:lineRule="exact"/>
        <w:rPr>
          <w:rFonts w:ascii="Arial" w:cs="Arial" w:eastAsia="Arial" w:hAnsi="Arial"/>
          <w:sz w:val="14"/>
          <w:szCs w:val="14"/>
          <w:color w:val="auto"/>
        </w:rPr>
      </w:pPr>
    </w:p>
    <w:p>
      <w:pPr>
        <w:ind w:left="500" w:right="100" w:hanging="492"/>
        <w:spacing w:after="0" w:line="257" w:lineRule="auto"/>
        <w:tabs>
          <w:tab w:leader="none" w:pos="5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total fair value of stock options that vested and became exercisable during 2018, 2017 and 2016, based on grant-date fair value, was $0.6 million, $0.7 million and $1.1 million, respectively.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Stock Units</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2,753,918</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2,752,054</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835,730</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Granted (1)(2)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1,809,373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971,761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2,184,100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Vested (3)(4)</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(796,856)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(896,272)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(26,666)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32.56</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Forfeited/Cancelled (1)</w:t>
            </w:r>
          </w:p>
        </w:tc>
        <w:tc>
          <w:tcPr>
            <w:tcW w:w="1260" w:type="dxa"/>
            <w:vAlign w:val="bottom"/>
          </w:tcPr>
          <w:p>
            <w:pPr>
              <w:jc w:val="right"/>
              <w:spacing w:after="0"/>
              <w:rPr>
                <w:sz w:val="20"/>
                <w:szCs w:val="20"/>
                <w:color w:val="auto"/>
              </w:rPr>
            </w:pPr>
            <w:r>
              <w:rPr>
                <w:rFonts w:ascii="Arial" w:cs="Arial" w:eastAsia="Arial" w:hAnsi="Arial"/>
                <w:sz w:val="18"/>
                <w:szCs w:val="18"/>
                <w:color w:val="auto"/>
              </w:rPr>
              <w:t>(819,635)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6.17</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Unvested at end of year (5)(6)</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2,946,800</w:t>
            </w:r>
          </w:p>
        </w:tc>
        <w:tc>
          <w:tcPr>
            <w:tcW w:w="2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2,753,918</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2,752,054</w:t>
            </w:r>
          </w:p>
        </w:tc>
        <w:tc>
          <w:tcPr>
            <w:tcW w:w="280" w:type="dxa"/>
            <w:vAlign w:val="bottom"/>
            <w:tcBorders>
              <w:bottom w:val="single" w:sz="8" w:color="EAF9E8"/>
            </w:tcBorders>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87" w:lineRule="exact"/>
        <w:rPr>
          <w:sz w:val="20"/>
          <w:szCs w:val="20"/>
          <w:color w:val="auto"/>
        </w:rPr>
      </w:pPr>
    </w:p>
    <w:p>
      <w:pPr>
        <w:ind w:left="500" w:right="220" w:hanging="492"/>
        <w:spacing w:after="0" w:line="292" w:lineRule="auto"/>
        <w:tabs>
          <w:tab w:leader="none" w:pos="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Upon the resignation of Ocwen’s former Chief Executive Officer on June 30, 2018, 377,525 unvested stock units which would have been forfeited immediately were modified to allow continued vesting in accordance with the original terms. This had the equivalent effect of canceling the original award and granting a new award.</w:t>
      </w:r>
    </w:p>
    <w:p>
      <w:pPr>
        <w:ind w:left="500" w:right="180" w:hanging="492"/>
        <w:spacing w:after="0" w:line="246"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Stock units granted in 2018 include 983,010 units granted to Ocwen’s current Chief Executive Officer on the effective date of his employment, which was the closing date of the PHH acquisition.</w:t>
      </w:r>
    </w:p>
    <w:p>
      <w:pPr>
        <w:ind w:left="500" w:right="180" w:hanging="492"/>
        <w:spacing w:after="0" w:line="246"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total intrinsic value of stock units vested, which is defined as the market value of the stock on the date of vesting, was $3.3 million, $4.6 million and $0.1 million for 2018, 2017 and 2016, respectively.</w:t>
      </w:r>
    </w:p>
    <w:p>
      <w:pPr>
        <w:ind w:left="500" w:right="740" w:hanging="492"/>
        <w:spacing w:after="0" w:line="246"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total fair value of the stock units that vested during 2018, 2017 and 2016, based on grant-date fair value, was $2.2 million, $2.9 million and $0.9 million, respectively.</w:t>
      </w:r>
    </w:p>
    <w:p>
      <w:pPr>
        <w:ind w:left="500" w:right="640" w:hanging="492"/>
        <w:spacing w:after="0" w:line="257" w:lineRule="auto"/>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Excluding the 510,829 market-based stock awards that have not met their performance criteria, the net aggregate intrinsic value of stock awards outstanding at December 31, 2018 was $3.3 million. At December 31, 2018, 377,806, 40,000 and 93,023 stock units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692" w:right="239" w:bottom="1440" w:gutter="0" w:footer="0" w:header="0"/>
        </w:sectPr>
      </w:pPr>
    </w:p>
    <w:bookmarkStart w:id="167" w:name="page168"/>
    <w:bookmarkEnd w:id="167"/>
    <w:p>
      <w:pPr>
        <w:spacing w:after="0" w:line="3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with a market condition for vesting based on an average common stock trading price of $16.26, $11.72 and $5.80 respectively, had not yet met the market condition.</w:t>
      </w:r>
    </w:p>
    <w:p>
      <w:pPr>
        <w:spacing w:after="0" w:line="57" w:lineRule="exact"/>
        <w:rPr>
          <w:sz w:val="20"/>
          <w:szCs w:val="20"/>
          <w:color w:val="auto"/>
        </w:rPr>
      </w:pPr>
    </w:p>
    <w:p>
      <w:pPr>
        <w:ind w:left="500" w:hanging="492"/>
        <w:spacing w:after="0"/>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At December 31, 2018, the weighted average remaining contractual term of share units outstanding was 2.46 years.</w:t>
      </w:r>
    </w:p>
    <w:p>
      <w:pPr>
        <w:spacing w:after="0" w:line="10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Compensation expense related to equity-based awards is measured based on the grant-date fair value of the awards using an appropriate valuation model based on the vesting conditions of the awards.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The following assumptions were used to value awards:</w:t>
            </w:r>
          </w:p>
        </w:tc>
        <w:tc>
          <w:tcPr>
            <w:tcW w:w="1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4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50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Black-Scholes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Monte Carlo</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Monte Carlo</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6"/>
              </w:rPr>
              <w:t>Monte Carlo</w:t>
            </w:r>
          </w:p>
        </w:tc>
      </w:tr>
      <w:tr>
        <w:trPr>
          <w:trHeight w:val="27"/>
        </w:trPr>
        <w:tc>
          <w:tcPr>
            <w:tcW w:w="5040" w:type="dxa"/>
            <w:vAlign w:val="bottom"/>
            <w:tcBorders>
              <w:bottom w:val="single" w:sz="8" w:color="EAF9E8"/>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900" w:type="dxa"/>
            <w:vAlign w:val="bottom"/>
            <w:tcBorders>
              <w:bottom w:val="single" w:sz="8" w:color="EAF9E8"/>
            </w:tcBorders>
            <w:shd w:val="clear" w:color="auto" w:fill="EAF9E8"/>
          </w:tcPr>
          <w:p>
            <w:pPr>
              <w:jc w:val="center"/>
              <w:ind w:right="110"/>
              <w:spacing w:after="0"/>
              <w:rPr>
                <w:sz w:val="20"/>
                <w:szCs w:val="20"/>
                <w:color w:val="auto"/>
              </w:rPr>
            </w:pPr>
            <w:r>
              <w:rPr>
                <w:rFonts w:ascii="Arial" w:cs="Arial" w:eastAsia="Arial" w:hAnsi="Arial"/>
                <w:sz w:val="18"/>
                <w:szCs w:val="18"/>
                <w:color w:val="auto"/>
                <w:w w:val="90"/>
              </w:rPr>
              <w:t>2.79% – 3.14%</w:t>
            </w:r>
          </w:p>
        </w:tc>
        <w:tc>
          <w:tcPr>
            <w:tcW w:w="1540" w:type="dxa"/>
            <w:vAlign w:val="bottom"/>
            <w:tcBorders>
              <w:bottom w:val="single" w:sz="8" w:color="EAF9E8"/>
            </w:tcBorders>
            <w:gridSpan w:val="2"/>
            <w:shd w:val="clear" w:color="auto" w:fill="EAF9E8"/>
          </w:tcPr>
          <w:p>
            <w:pPr>
              <w:jc w:val="center"/>
              <w:ind w:right="320"/>
              <w:spacing w:after="0"/>
              <w:rPr>
                <w:sz w:val="20"/>
                <w:szCs w:val="20"/>
                <w:color w:val="auto"/>
              </w:rPr>
            </w:pPr>
            <w:r>
              <w:rPr>
                <w:rFonts w:ascii="Arial" w:cs="Arial" w:eastAsia="Arial" w:hAnsi="Arial"/>
                <w:sz w:val="18"/>
                <w:szCs w:val="18"/>
                <w:color w:val="auto"/>
                <w:w w:val="90"/>
              </w:rPr>
              <w:t>1.15% – 1.18%</w:t>
            </w: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1.12% – 1.18%</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1.12%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stock price volatility (1)</w:t>
            </w:r>
          </w:p>
        </w:tc>
        <w:tc>
          <w:tcPr>
            <w:tcW w:w="1900" w:type="dxa"/>
            <w:vAlign w:val="bottom"/>
          </w:tcPr>
          <w:p>
            <w:pPr>
              <w:jc w:val="center"/>
              <w:ind w:right="110"/>
              <w:spacing w:after="0"/>
              <w:rPr>
                <w:sz w:val="20"/>
                <w:szCs w:val="20"/>
                <w:color w:val="auto"/>
              </w:rPr>
            </w:pPr>
            <w:r>
              <w:rPr>
                <w:rFonts w:ascii="Arial" w:cs="Arial" w:eastAsia="Arial" w:hAnsi="Arial"/>
                <w:sz w:val="18"/>
                <w:szCs w:val="18"/>
                <w:color w:val="auto"/>
                <w:w w:val="94"/>
              </w:rPr>
              <w:t>67%</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3"/>
              </w:rPr>
              <w:t>71% - 74%</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71% - 77%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77%</w:t>
            </w:r>
          </w:p>
        </w:tc>
      </w:tr>
      <w:tr>
        <w:trPr>
          <w:trHeight w:val="27"/>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900" w:type="dxa"/>
            <w:vAlign w:val="bottom"/>
            <w:tcBorders>
              <w:bottom w:val="single" w:sz="8" w:color="EAF9E8"/>
            </w:tcBorders>
            <w:shd w:val="clear" w:color="auto" w:fill="EAF9E8"/>
          </w:tcPr>
          <w:p>
            <w:pPr>
              <w:jc w:val="center"/>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EAF9E8"/>
            </w:tcBorders>
            <w:gridSpan w:val="2"/>
            <w:shd w:val="clear" w:color="auto" w:fill="EAF9E8"/>
          </w:tcPr>
          <w:p>
            <w:pPr>
              <w:jc w:val="center"/>
              <w:ind w:right="3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life (in years) (2)</w:t>
            </w:r>
          </w:p>
        </w:tc>
        <w:tc>
          <w:tcPr>
            <w:tcW w:w="1900" w:type="dxa"/>
            <w:vAlign w:val="bottom"/>
          </w:tcPr>
          <w:p>
            <w:pPr>
              <w:jc w:val="center"/>
              <w:ind w:right="110"/>
              <w:spacing w:after="0"/>
              <w:rPr>
                <w:sz w:val="20"/>
                <w:szCs w:val="20"/>
                <w:color w:val="auto"/>
              </w:rPr>
            </w:pPr>
            <w:r>
              <w:rPr>
                <w:rFonts w:ascii="Arial" w:cs="Arial" w:eastAsia="Arial" w:hAnsi="Arial"/>
                <w:sz w:val="18"/>
                <w:szCs w:val="18"/>
                <w:color w:val="auto"/>
                <w:w w:val="87"/>
              </w:rPr>
              <w:t>8.5</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7"/>
        </w:trPr>
        <w:tc>
          <w:tcPr>
            <w:tcW w:w="5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900" w:type="dxa"/>
            <w:vAlign w:val="bottom"/>
            <w:tcBorders>
              <w:bottom w:val="single" w:sz="8" w:color="EAF9E8"/>
            </w:tcBorders>
            <w:shd w:val="clear" w:color="auto" w:fill="EAF9E8"/>
          </w:tcPr>
          <w:p>
            <w:pPr>
              <w:jc w:val="center"/>
              <w:ind w:right="110"/>
              <w:spacing w:after="0"/>
              <w:rPr>
                <w:sz w:val="20"/>
                <w:szCs w:val="20"/>
                <w:color w:val="auto"/>
              </w:rPr>
            </w:pPr>
            <w:r>
              <w:rPr>
                <w:rFonts w:ascii="Arial" w:cs="Arial" w:eastAsia="Arial" w:hAnsi="Arial"/>
                <w:sz w:val="18"/>
                <w:szCs w:val="18"/>
                <w:color w:val="auto"/>
                <w:w w:val="99"/>
              </w:rPr>
              <w:t>N/A</w:t>
            </w:r>
          </w:p>
        </w:tc>
        <w:tc>
          <w:tcPr>
            <w:tcW w:w="1540" w:type="dxa"/>
            <w:vAlign w:val="bottom"/>
            <w:tcBorders>
              <w:bottom w:val="single" w:sz="8" w:color="EAF9E8"/>
            </w:tcBorders>
            <w:gridSpan w:val="2"/>
            <w:shd w:val="clear" w:color="auto" w:fill="EAF9E8"/>
          </w:tcPr>
          <w:p>
            <w:pPr>
              <w:jc w:val="center"/>
              <w:ind w:right="320"/>
              <w:spacing w:after="0"/>
              <w:rPr>
                <w:sz w:val="20"/>
                <w:szCs w:val="20"/>
                <w:color w:val="auto"/>
              </w:rPr>
            </w:pPr>
            <w:r>
              <w:rPr>
                <w:rFonts w:ascii="Arial" w:cs="Arial" w:eastAsia="Arial" w:hAnsi="Arial"/>
                <w:sz w:val="18"/>
                <w:szCs w:val="18"/>
                <w:color w:val="auto"/>
                <w:w w:val="99"/>
              </w:rPr>
              <w:t>N/A</w:t>
            </w:r>
          </w:p>
        </w:tc>
        <w:tc>
          <w:tcPr>
            <w:tcW w:w="17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N/A</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900" w:type="dxa"/>
            <w:vAlign w:val="bottom"/>
          </w:tcPr>
          <w:p>
            <w:pPr>
              <w:jc w:val="center"/>
              <w:ind w:right="130"/>
              <w:spacing w:after="0"/>
              <w:rPr>
                <w:sz w:val="20"/>
                <w:szCs w:val="20"/>
                <w:color w:val="auto"/>
              </w:rPr>
            </w:pPr>
            <w:r>
              <w:rPr>
                <w:rFonts w:ascii="Arial" w:cs="Arial" w:eastAsia="Arial" w:hAnsi="Arial"/>
                <w:sz w:val="18"/>
                <w:szCs w:val="18"/>
                <w:color w:val="auto"/>
                <w:w w:val="90"/>
              </w:rPr>
              <w:t>$1.53 - $2.96</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0"/>
              </w:rPr>
              <w:t>$1.84 - $4.80</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$2.00 - $4.80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$2.00</w:t>
            </w:r>
          </w:p>
        </w:tc>
      </w:tr>
    </w:tbl>
    <w:p>
      <w:pPr>
        <w:spacing w:after="0" w:line="125" w:lineRule="exact"/>
        <w:rPr>
          <w:sz w:val="20"/>
          <w:szCs w:val="20"/>
          <w:color w:val="auto"/>
        </w:rPr>
      </w:pPr>
    </w:p>
    <w:p>
      <w:pPr>
        <w:ind w:left="500" w:right="200" w:hanging="492"/>
        <w:spacing w:after="0" w:line="252"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generally estimate volatility based on the historical volatility of Ocwen’s common stock over the most recent period that corresponds with the estimated expected life of the option. For stock awards valued using a Monte Carlo simulation, volatility is computed as a blend of historical volatility and implied volatility based on traded options on Ocwen’s common stock.</w:t>
      </w:r>
    </w:p>
    <w:p>
      <w:pPr>
        <w:spacing w:after="0" w:line="1" w:lineRule="exact"/>
        <w:rPr>
          <w:rFonts w:ascii="Arial" w:cs="Arial" w:eastAsia="Arial" w:hAnsi="Arial"/>
          <w:sz w:val="16"/>
          <w:szCs w:val="16"/>
          <w:color w:val="auto"/>
        </w:rPr>
      </w:pPr>
    </w:p>
    <w:p>
      <w:pPr>
        <w:ind w:left="500" w:right="40" w:hanging="492"/>
        <w:spacing w:after="0" w:line="246"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1" w:lineRule="exact"/>
        <w:rPr>
          <w:rFonts w:ascii="Arial" w:cs="Arial" w:eastAsia="Arial" w:hAnsi="Arial"/>
          <w:sz w:val="16"/>
          <w:szCs w:val="16"/>
          <w:color w:val="auto"/>
        </w:rPr>
      </w:pPr>
    </w:p>
    <w:p>
      <w:pPr>
        <w:ind w:left="500" w:right="100" w:hanging="492"/>
        <w:spacing w:after="0" w:line="250" w:lineRule="auto"/>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equity-based compensation related to stock options and stock awards and the related excess tax benefit: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 option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Stock awards</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3"/>
              </w:rPr>
              <w:t>2,734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686</w:t>
            </w:r>
          </w:p>
        </w:tc>
      </w:tr>
    </w:tbl>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December 31, 2018, unrecognized compensation costs related to non-vested stock options amounted to $0.9 million, which will be recognized over a weighted-average remaining requisite service period of 2.56 years. Unrecognized compensation costs related to non-vested stock units as of December 31, 2018 amounted to $5.0 million, which will be recognized over a weighted-average remaining life of 2.46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 xml:space="preserve">Servicing. </w:t>
      </w:r>
      <w:r>
        <w:rPr>
          <w:rFonts w:ascii="Arial" w:cs="Arial" w:eastAsia="Arial" w:hAnsi="Arial"/>
          <w:sz w:val="16"/>
          <w:szCs w:val="16"/>
          <w:color w:val="auto"/>
        </w:rPr>
        <w:t>This segment is primarily comprised of our core residential mortgage servicing business and currently accounts for most of our total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5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Lending. </w:t>
      </w:r>
      <w:r>
        <w:rPr>
          <w:rFonts w:ascii="Arial" w:cs="Arial" w:eastAsia="Arial" w:hAnsi="Arial"/>
          <w:sz w:val="17"/>
          <w:szCs w:val="17"/>
          <w:color w:val="auto"/>
        </w:rPr>
        <w:t>The Lending segment originates conventional and government-insured residential forward and reverse mortgage loans. The loans are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sold shortly after origination into a liquid market on a servicing retained (securitization) or servicing released (sale to a third party) basis. We originate loans directly with customers (retail channel) in forward lending as well as through our correspondent lending arrangements, broker relationships (wholesale) and retail channels of reverse mortgage lending. In 2017, we closed our forward correspondent lending channel and exited the forward wholesale lending business due to higher liquidity and capital requirements versus the available liquidity at the time. We wrote off the capitalized balance of software developed internally for the forward wholesale lending business and recorded a loss of $6.8 million in Other expenses in 2017. We continue to originate loans through our forward retail lending channel as well as through all three channels of reverse mortgage lending.</w:t>
      </w:r>
    </w:p>
    <w:p>
      <w:pPr>
        <w:spacing w:after="0" w:line="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corporate debt. Our cash balances are included in Corporate Items and Other. CRL provides re-insurance related to coverage on foreclosed real estate properties owned or serviced by us. In January 2018, we decided to exit the ACS business and have liquidated our portfolio of inventory-secured loans to independent used car dealers.</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allocate a portion of interest income to each business segment, including interest earned on cash balances and short-term investments. We also allocate expenses incurred by corporate support services to each business segment.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ectPr>
          <w:pgSz w:w="11900" w:h="16874" w:orient="portrait"/>
          <w:cols w:equalWidth="0" w:num="1">
            <w:col w:w="11420"/>
          </w:cols>
          <w:pgMar w:left="240" w:top="616" w:right="239" w:bottom="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color w:val="auto"/>
        </w:rPr>
        <w:t>F-65</w:t>
      </w:r>
    </w:p>
    <w:p>
      <w:pPr>
        <w:sectPr>
          <w:pgSz w:w="11900" w:h="16838" w:orient="portrait"/>
          <w:cols w:equalWidth="0" w:num="1">
            <w:col w:w="9019"/>
          </w:cols>
          <w:pgMar w:left="1440" w:top="368" w:right="1440"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Revenue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951,224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93,672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1,063,045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Expenses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772,467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932,496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(214,172)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(275,041)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Bargain purchase gain</w:t>
            </w:r>
          </w:p>
        </w:tc>
        <w:tc>
          <w:tcPr>
            <w:tcW w:w="26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64,036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80"/>
              <w:spacing w:after="0"/>
              <w:rPr>
                <w:sz w:val="20"/>
                <w:szCs w:val="20"/>
                <w:color w:val="auto"/>
              </w:rPr>
            </w:pPr>
            <w:r>
              <w:rPr>
                <w:rFonts w:ascii="Arial" w:cs="Arial" w:eastAsia="Arial" w:hAnsi="Arial"/>
                <w:sz w:val="18"/>
                <w:szCs w:val="18"/>
                <w:color w:val="auto"/>
                <w:w w:val="98"/>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44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(3,241)</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(210,705)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(202,025)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(31,948)</w:t>
            </w:r>
          </w:p>
        </w:tc>
        <w:tc>
          <w:tcPr>
            <w:tcW w:w="1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11,154</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(50,682)</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(71,476)</w:t>
            </w:r>
          </w:p>
        </w:tc>
        <w:tc>
          <w:tcPr>
            <w:tcW w:w="0" w:type="dxa"/>
            <w:vAlign w:val="bottom"/>
          </w:tcPr>
          <w:p>
            <w:pPr>
              <w:spacing w:after="0"/>
              <w:rPr>
                <w:sz w:val="1"/>
                <w:szCs w:val="1"/>
                <w:color w:val="auto"/>
              </w:rPr>
            </w:pPr>
          </w:p>
        </w:tc>
      </w:tr>
      <w:tr>
        <w:trPr>
          <w:trHeight w:val="277"/>
        </w:trPr>
        <w:tc>
          <w:tcPr>
            <w:tcW w:w="3560" w:type="dxa"/>
            <w:vAlign w:val="bottom"/>
            <w:gridSpan w:val="2"/>
          </w:tcPr>
          <w:p>
            <w:pPr>
              <w:ind w:left="340"/>
              <w:spacing w:after="0"/>
              <w:rPr>
                <w:sz w:val="20"/>
                <w:szCs w:val="20"/>
                <w:color w:val="auto"/>
              </w:rPr>
            </w:pPr>
            <w:r>
              <w:rPr>
                <w:rFonts w:ascii="Arial" w:cs="Arial" w:eastAsia="Arial" w:hAnsi="Arial"/>
                <w:sz w:val="18"/>
                <w:szCs w:val="18"/>
                <w:color w:val="auto"/>
              </w:rPr>
              <w:t>before income taxes</w:t>
            </w:r>
          </w:p>
        </w:tc>
        <w:tc>
          <w:tcPr>
            <w:tcW w:w="2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1,041,290</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127,475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25,811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1,194,576</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Expenses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716,384</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128,058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154,203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998,645</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15,965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(293,595)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(55,750)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(363,238)</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80"/>
              <w:spacing w:after="0"/>
              <w:rPr>
                <w:sz w:val="20"/>
                <w:szCs w:val="20"/>
                <w:color w:val="auto"/>
              </w:rPr>
            </w:pPr>
            <w:r>
              <w:rPr>
                <w:rFonts w:ascii="Arial" w:cs="Arial" w:eastAsia="Arial" w:hAnsi="Arial"/>
                <w:sz w:val="18"/>
                <w:szCs w:val="18"/>
                <w:color w:val="auto"/>
                <w:w w:val="98"/>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44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4,049</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(339,904)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46,680</w:t>
            </w:r>
          </w:p>
        </w:tc>
        <w:tc>
          <w:tcPr>
            <w:tcW w:w="1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(186,222)</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(143,973)</w:t>
            </w:r>
          </w:p>
        </w:tc>
        <w:tc>
          <w:tcPr>
            <w:tcW w:w="0" w:type="dxa"/>
            <w:vAlign w:val="bottom"/>
          </w:tcPr>
          <w:p>
            <w:pPr>
              <w:spacing w:after="0"/>
              <w:rPr>
                <w:sz w:val="1"/>
                <w:szCs w:val="1"/>
                <w:color w:val="auto"/>
              </w:rPr>
            </w:pPr>
          </w:p>
        </w:tc>
      </w:tr>
      <w:tr>
        <w:trPr>
          <w:trHeight w:val="277"/>
        </w:trPr>
        <w:tc>
          <w:tcPr>
            <w:tcW w:w="3560" w:type="dxa"/>
            <w:vAlign w:val="bottom"/>
            <w:gridSpan w:val="2"/>
          </w:tcPr>
          <w:p>
            <w:pPr>
              <w:ind w:left="340"/>
              <w:spacing w:after="0"/>
              <w:rPr>
                <w:sz w:val="20"/>
                <w:szCs w:val="20"/>
                <w:color w:val="auto"/>
              </w:rPr>
            </w:pPr>
            <w:r>
              <w:rPr>
                <w:rFonts w:ascii="Arial" w:cs="Arial" w:eastAsia="Arial" w:hAnsi="Arial"/>
                <w:sz w:val="18"/>
                <w:szCs w:val="18"/>
                <w:color w:val="auto"/>
              </w:rPr>
              <w:t>before income taxes</w:t>
            </w:r>
          </w:p>
        </w:tc>
        <w:tc>
          <w:tcPr>
            <w:tcW w:w="2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1,247,159</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112,363</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27,646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1,387,163</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Expenses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910,577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114,199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198,483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1,223,254</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19,083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(357,413)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(40,772)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(412,583)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w w:val="99"/>
              </w:rPr>
              <w:t>Gain on sale of mortgage servicing rights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15,812</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14,738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(333,218)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(370,270)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(209,856)</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(206,361)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40"/>
              <w:spacing w:after="0"/>
              <w:rPr>
                <w:sz w:val="20"/>
                <w:szCs w:val="20"/>
                <w:color w:val="auto"/>
              </w:rPr>
            </w:pPr>
            <w:r>
              <w:rPr>
                <w:rFonts w:ascii="Arial" w:cs="Arial" w:eastAsia="Arial" w:hAnsi="Arial"/>
                <w:sz w:val="18"/>
                <w:szCs w:val="18"/>
                <w:color w:val="auto"/>
              </w:rPr>
              <w:t>before income taxes</w:t>
            </w:r>
          </w:p>
        </w:tc>
        <w:tc>
          <w:tcPr>
            <w:tcW w:w="26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F-66</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Corporate</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Eliminations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3,306,208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5,603,481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484,527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EAF9E8"/>
            </w:tcBorders>
            <w:gridSpan w:val="3"/>
            <w:shd w:val="clear" w:color="auto" w:fill="EAF9E8"/>
          </w:tcPr>
          <w:p>
            <w:pPr>
              <w:ind w:left="102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9,394,216</w:t>
            </w: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3,033,243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4,945,456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424,465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gridSpan w:val="3"/>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December 31, 2016</w:t>
            </w:r>
          </w:p>
        </w:tc>
        <w:tc>
          <w:tcPr>
            <w:tcW w:w="260" w:type="dxa"/>
            <w:vAlign w:val="bottom"/>
            <w:shd w:val="clear" w:color="auto" w:fill="EAF9E8"/>
          </w:tcPr>
          <w:p>
            <w:pPr>
              <w:spacing w:after="0"/>
              <w:rPr>
                <w:sz w:val="21"/>
                <w:szCs w:val="21"/>
                <w:color w:val="auto"/>
              </w:rPr>
            </w:pP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3,312,371</w:t>
            </w:r>
          </w:p>
        </w:tc>
        <w:tc>
          <w:tcPr>
            <w:tcW w:w="12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3,863,862</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479,430</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580" w:type="dxa"/>
            <w:vAlign w:val="bottom"/>
            <w:gridSpan w:val="3"/>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180" w:hanging="492"/>
        <w:spacing w:after="0" w:line="275" w:lineRule="auto"/>
        <w:tabs>
          <w:tab w:leader="none" w:pos="5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Inter-segment billings for services rendered to other segments are recorded as revenues, as contra-expense or as other income, depending on the type of service that is rendered.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26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22,498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27,202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1,183</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2,921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5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Depreciation expense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5,797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26,886</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51,788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5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Depreciation expense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6,804</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18,306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25,338</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32,669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32,978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4,177</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13,455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25,662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Regulatory Requirements</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5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evolving regulatory environment in which we operate and to meet its requirements.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incur costs to comply with the terms of such resolutions, including, but not limited to, the costs of audits, reviews and third-party firms to monitor our compliance with such resolutions. We recognized $177.5 million in such third-party monitoring costs in connection with the 2013 Ocwen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743" w:right="239" w:bottom="1440" w:gutter="0" w:footer="0" w:header="0"/>
        </w:sectPr>
      </w:pPr>
    </w:p>
    <w:bookmarkStart w:id="171" w:name="page172"/>
    <w:bookmarkEnd w:id="171"/>
    <w:p>
      <w:pPr>
        <w:ind w:right="620"/>
        <w:spacing w:after="0" w:line="277" w:lineRule="auto"/>
        <w:rPr>
          <w:sz w:val="20"/>
          <w:szCs w:val="20"/>
          <w:color w:val="auto"/>
        </w:rPr>
      </w:pPr>
      <w:r>
        <w:rPr>
          <w:rFonts w:ascii="Arial" w:cs="Arial" w:eastAsia="Arial" w:hAnsi="Arial"/>
          <w:sz w:val="18"/>
          <w:szCs w:val="18"/>
          <w:color w:val="auto"/>
        </w:rPr>
        <w:t>National Mortgage Settlement, our 2014 settlement with the New York Department of Financial Services (NY DFS) and our 2015 settlement with the California Department of Business Oversight (CA DBO).</w:t>
      </w:r>
    </w:p>
    <w:p>
      <w:pPr>
        <w:spacing w:after="0" w:line="6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Dodd-Frank Wall Street Reform and Consumer Protection Act (the Dodd-Frank Act), the Telephone Consumer Protection Act (TCPA), the Gramm-Leach-Bliley Act, the Fair Debt Collection Practices Act,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In addition, the actions of legislative bodies and regulatory agencies relating to a particular matter or business practice may or may not be coordinated or consistent. As a result, ensuring ongoing compliance with applicable legal and regulatory requirements can be challenging. Over the past decade,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67"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As further described below and in Note 25 — Contingencies, in recent years Ocwen has entered into a number of significant settlements with federal and state regulators and state attorneys general that have imposed additional requirements on our business. For example, we have made various commitments relating to the process of moving loans off the REALServicing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servicing system and onto Black Knight MSP, we have engaged a third-party auditor to perform an analysis with respect to our compliance with certain federal and state laws relating to the escrow of mortgage loan payments, we have revised various aspects of our complaint handling processes and we have extensive review and reporting obligations to various regulatory bodies with respect to various matters, including our financial condition. We devote significant management time and resources to compliance with these additional requirements. These requirements are generally unique to Ocwen and, while certain of our competitors may have entered into regulatory-related settlements of their own, our competitors are generally not subject to either the same specific or the same breadth of additional requirements to which we are subject.</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 has various subsidiaries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December 31, 2018.</w:t>
      </w:r>
    </w:p>
    <w:p>
      <w:pPr>
        <w:spacing w:after="0" w:line="7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OLS, Homeward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See Note 25 — Contingencies for additional information relating to our recent interactions with Ginnie Mae as a result of the state regulatory actions discussed in that note. We believe we were in compliance with applicable net worth requirements at December 31, 2018. Our non-Agency servicing agreements also contain requirements regarding servicing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00"/>
          </w:cols>
          <w:pgMar w:left="240" w:top="692" w:right="2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practices and other matters, and a failure to comply with these requirements could have a material adverse impact on our business.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most restrictive of the various net worth requirements referenced above is based on the total assets of OLS, and the required net worth was $172.3 million at December 31, 2018.</w:t>
      </w:r>
    </w:p>
    <w:p>
      <w:pPr>
        <w:spacing w:after="0" w:line="6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a number of foreign laws and regulations apply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8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 xml:space="preserve">New York Department of Financial Services. </w:t>
      </w:r>
      <w:r>
        <w:rPr>
          <w:rFonts w:ascii="Arial" w:cs="Arial" w:eastAsia="Arial" w:hAnsi="Arial"/>
          <w:sz w:val="16"/>
          <w:szCs w:val="16"/>
          <w:color w:val="auto"/>
        </w:rPr>
        <w:t>In March 2017, we entered into a consent order with the NY DFS (the 2017 NY Consent Order) that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termination of the engagement of a monitor appointed pursuant to an earlier 2014 consent order and for us to address certain concerns raised by the NY DFS that primarily relate to our servicing operations, as well as for us to comply with certain reporting and other obligations. In addition, in connection with the NY DFS’ approval in September 2018, of our acquisition of PHH, we agreed to satisfy certain post-closing requirements, including reporting obligations and record retention and other requirements relating to the transfer of loans collateralized by New York property (New York loans) onto Black Knight MSP and certain requirements with respect to the evaluation and supervision of management of both Ocwen Financial Corporation and PHH Mortgage Corporation. In addition, we are prohibited from boarding any additional loans onto the current REALServicing system and we must transfer all New York loans off the REALServicing system by April 30, 2020. The conditional approval also modified a preexisting restriction on our ability to acquire MSRs such that the restriction applies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system have been successfully migrated to Black Knight MSP and that Ocwen has developed a satisfactory infrastructure to board sizable portfolios of MSRs.</w:t>
      </w:r>
    </w:p>
    <w:p>
      <w:pPr>
        <w:spacing w:after="0" w:line="16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17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i w:val="1"/>
          <w:iCs w:val="1"/>
          <w:color w:val="auto"/>
        </w:rPr>
        <w:t xml:space="preserve">California Department of Business Oversight. </w:t>
      </w:r>
      <w:r>
        <w:rPr>
          <w:rFonts w:ascii="Arial" w:cs="Arial" w:eastAsia="Arial" w:hAnsi="Arial"/>
          <w:sz w:val="16"/>
          <w:szCs w:val="16"/>
          <w:color w:val="auto"/>
        </w:rPr>
        <w:t>In January 2015, OLS entered into a consent order (the 2015 CA Consent Order) with the CA DBO</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believe that we have completed those obligations of the 2017 CA Consent Order that have already come due, and we have so notified the CA DBO.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Still outstanding, however, is our completion of $198.0 million in debt forgiveness for California borrowers by June 30, 2019. As of December 31, 2018, we estimate that we have approximately $15.0 million of debt forgiveness remaining to complete. Based on internal forecasting, we currently believe that we will be able to complete this requirement by June 30, 2019. However, if we are unable to complete this requirement by the deadline or obtain an extension, the 2017 CA Consent Order obligates us to pay the remaining amount to the CA DBO in cash. Our debt forgiveness activities take place as we modify loans - our loan modifications are designed to be sustainable for homeowners while providing a net present value for mortgage loan investors that is superior to that of foreclosure. Debt forgiveness as part of a loan modification is determined on a case-by-case basis in accordance with the applicable servicing agreement. Debt forgiveness does not involve an expense to Ocwen other than the operating expense incurred in arranging the modification, which is part of Ocwen’s role as loan servicer. If the CA DBO were to allege that we failed to comply with our obligations under the 2017 CA Consent Order or that we otherwise were in breach of applicable laws, regulations or licensing requirements, the CA DBO could also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67" w:lineRule="exact"/>
        <w:rPr>
          <w:sz w:val="20"/>
          <w:szCs w:val="20"/>
          <w:color w:val="auto"/>
        </w:rPr>
      </w:pPr>
    </w:p>
    <w:p>
      <w:pPr>
        <w:jc w:val="both"/>
        <w:ind w:right="500" w:firstLine="324"/>
        <w:spacing w:after="0" w:line="279" w:lineRule="auto"/>
        <w:rPr>
          <w:sz w:val="20"/>
          <w:szCs w:val="20"/>
          <w:color w:val="auto"/>
        </w:rPr>
      </w:pPr>
      <w:r>
        <w:rPr>
          <w:rFonts w:ascii="Arial" w:cs="Arial" w:eastAsia="Arial" w:hAnsi="Arial"/>
          <w:sz w:val="17"/>
          <w:szCs w:val="17"/>
          <w:color w:val="auto"/>
        </w:rPr>
        <w:t>Separately, in June 2018, we entered into a consent order with the CA DBO in order to resolve a finding stemming from a lending examination of Homeward. Pursuant to the consent order, we consented to a finding that certain records maintained by Homeward were not in compliance with certain California statutory requirements. Homeward cooperated in the examination, timely produced requested documents and records, and confirmed that no borrowers were overcharged as a result. No fines or penalties were payable under the consent order.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00"/>
          </w:cols>
          <w:pgMar w:left="240" w:top="693"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Note 24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$1.4 billion at December 31, 2018. This additional borrowing capacity is available on a scheduled or unscheduled payment basis. We also had short-term commitments to lend $132.1 million and $18.1 million in connection with our forward and reverse mortgage loan IRLCs, respectively, outstanding at December 31, 2018. We finance originated and purchased forward and reverse mortgage loans with repurchase and participation agreements, commonly referred to as warehouse lines.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HMBS Issuer Obligations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w:t>
      </w:r>
    </w:p>
    <w:p>
      <w:pPr>
        <w:spacing w:after="0" w:line="5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Active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5"/>
          </w:tcPr>
          <w:p>
            <w:pPr>
              <w:ind w:left="900"/>
              <w:spacing w:after="0"/>
              <w:rPr>
                <w:sz w:val="20"/>
                <w:szCs w:val="20"/>
                <w:color w:val="auto"/>
              </w:rPr>
            </w:pPr>
            <w:r>
              <w:rPr>
                <w:rFonts w:ascii="Arial" w:cs="Arial" w:eastAsia="Arial" w:hAnsi="Arial"/>
                <w:sz w:val="18"/>
                <w:szCs w:val="18"/>
                <w:b w:val="1"/>
                <w:bCs w:val="1"/>
                <w:color w:val="auto"/>
              </w:rPr>
              <w:t>Inactive</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Amount</w:t>
            </w:r>
          </w:p>
        </w:tc>
      </w:tr>
      <w:tr>
        <w:trPr>
          <w:trHeight w:val="27"/>
        </w:trPr>
        <w:tc>
          <w:tcPr>
            <w:tcW w:w="400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 December 31, 2017</w:t>
            </w: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9,141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Additions (1)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14,991</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Recoveries, net (2)</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(6,141)</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(6,637)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Transfers</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Changes in value</w:t>
            </w: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Ending balance, December 31, 2018</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14,833</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16,880</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Total repurchases during the year ended December 31, 2018, includes 59 loans totaling $11.4 million related to MCA repurchases.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Includes amounts received upon assignment of loan to HUD, loan payoff, REO liquidation and claim proceeds less any amounts charged off as unrecoverable.</w:t>
      </w:r>
    </w:p>
    <w:p>
      <w:pPr>
        <w:spacing w:after="0" w:line="10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Active loan repurchases are classified as Accounts receivable as reimbursement from HUD is generally received within 60 days and are initially recorded at fair value. Inactive loan repurchases are classified as Loans held for sale and are initially recorded at fair value. Loans are reclassified to REO in Other assets or Accounts receivable as the loans move through the resolution process and permissible claims are submitted to HUD for reimbursement. Loans held for sale repurchased prior to October 1, 2018 are carried at the lower of cost or fair value. Accounts receivable is valued at net realizable value. REO is valued at the estimated value of the underlying property less cost to sell.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business is currently dependent on many of the services and products provided by a subsidiary of Altisource Portfolio Solutions, S.A. (Altisource) under long-term agreements, many of which include renewal provisions.</w:t>
      </w:r>
    </w:p>
    <w:p>
      <w:pPr>
        <w:spacing w:after="0" w:line="6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in September 2017, as well as those subject to the New RMSR Agreements we entered into in January 2018, we are not entitled to REO referral commissions.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797" w:right="239" w:bottom="1440" w:gutter="0" w:footer="0" w:header="0"/>
        </w:sectPr>
      </w:pPr>
    </w:p>
    <w:bookmarkStart w:id="174" w:name="page175"/>
    <w:bookmarkEnd w:id="174"/>
    <w:p>
      <w:pPr>
        <w:ind w:right="100" w:firstLine="324"/>
        <w:spacing w:after="0" w:line="254" w:lineRule="auto"/>
        <w:rPr>
          <w:sz w:val="20"/>
          <w:szCs w:val="20"/>
          <w:color w:val="auto"/>
        </w:rPr>
      </w:pPr>
      <w:r>
        <w:rPr>
          <w:rFonts w:ascii="Arial" w:cs="Arial" w:eastAsia="Arial" w:hAnsi="Arial"/>
          <w:sz w:val="18"/>
          <w:szCs w:val="18"/>
          <w:color w:val="auto"/>
        </w:rPr>
        <w:t>Our servicing system runs on an information technology system that we license from Altisource pursuant to a statement of work under the Technology Products Services Agreements.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We are currently in the process of transitioning to Black Knight MSP from REALServicing. On February 22, 2019, Ocwen and Altisource S.à r.l (a subsidiary of Altisource) signed a Binding Term Sheet, which among other things, confirms Altisource’s cooperation with the de-boarding of loans from Altisource’s REALServicing servicing system to Black Knight’s MSP servicing system. The Binding Term Sheet also includes provisions regarding assuring that data is accurately transferred to Ocwen, including Ocwen having the ability to verify data accuracy and having continued access to the REALServicing system for an acceptable period of time.</w:t>
      </w:r>
    </w:p>
    <w:p>
      <w:pPr>
        <w:spacing w:after="0" w:line="8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Binding Term Sheet also amends certain provisions in the Services Agreements. After certain conditions have been met and where Ocwen has the right to select the services provider, Ocwen will use Altisource to provide the types of services that Altisource currently provides under the Services Agreements for at least 90% of services for all portfolios for which Ocwen is the servicer or subservicer, except that Altisource will be the provider for all such services for the portfolios: (i) acquired by Ocwen pursuant to loan servicing under agreements from Homeward (acquired in 2012) or assigned and assumed by Ocwen from Residential Capital, LLC, et al (assets acquired in 2013); and (ii) acquired from Ocwen, excluding certain portfolios in which PHH Corporation has an interest, by NRZ or its affiliates prior to the date of the Binding Term Sheet. Notwithstanding the foregoing, Altisource will be the provider of mortgage charge-off collections services under the Services Agreements. The Binding Term Sheet also sets forth a framework for negotiating additional service level changes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referrals received by Altisource after the effective date of the Binding Term Sheet, the provisions include reciprocal indemnification obligations in the event of negligence by either Party and Altisource’s indemnification obligations of Ocwen in the event of any breach by Altisource of its obligations under the Services Agreements. The limitations of liability provisions include an exception for losses either party suffers as a result of third party claims.</w:t>
      </w:r>
    </w:p>
    <w:p>
      <w:pPr>
        <w:spacing w:after="0" w:line="16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2025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8400" w:type="dxa"/>
            <w:vAlign w:val="bottom"/>
            <w:shd w:val="clear" w:color="auto" w:fill="EAF9E8"/>
          </w:tcPr>
          <w:p>
            <w:pPr>
              <w:ind w:left="20"/>
              <w:spacing w:after="0"/>
              <w:rPr>
                <w:sz w:val="20"/>
                <w:szCs w:val="20"/>
                <w:color w:val="auto"/>
              </w:rPr>
            </w:pPr>
            <w:r>
              <w:rPr>
                <w:rFonts w:ascii="Arial" w:cs="Arial" w:eastAsia="Arial" w:hAnsi="Arial"/>
                <w:sz w:val="18"/>
                <w:szCs w:val="18"/>
                <w:color w:val="auto"/>
              </w:rPr>
              <w:t>2019</w:t>
            </w:r>
          </w:p>
        </w:tc>
        <w:tc>
          <w:tcPr>
            <w:tcW w:w="4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17,808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16,674</w:t>
            </w: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15,787</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13,971</w:t>
            </w: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3,545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1,409</w:t>
            </w:r>
          </w:p>
        </w:tc>
      </w:tr>
      <w:tr>
        <w:trPr>
          <w:trHeight w:val="27"/>
        </w:trPr>
        <w:tc>
          <w:tcPr>
            <w:tcW w:w="84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69,194</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Less: Sublease income</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(4,744)</w:t>
            </w:r>
          </w:p>
        </w:tc>
      </w:tr>
      <w:tr>
        <w:trPr>
          <w:trHeight w:val="27"/>
        </w:trPr>
        <w:tc>
          <w:tcPr>
            <w:tcW w:w="84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Total minimum lease payments, net</w:t>
            </w: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64,450</w:t>
            </w:r>
          </w:p>
        </w:tc>
      </w:tr>
      <w:tr>
        <w:trPr>
          <w:trHeight w:val="20"/>
        </w:trPr>
        <w:tc>
          <w:tcPr>
            <w:tcW w:w="8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connection with business acquisitions we completed in prior years, we assumed the obligation for the lease agreements associated with certain facilities. The rental commitments in the table above for operating leases include the remaining amounts due through the earlier of the lease expiration date or the early termination date. In connection with PHH acquisition, we assumed the obligation for the lease agreements associated with certain facilities. The minimum rental commitments in the table above include facility lease obligations of $7.7 million, $7.1 million, $6.9 million and $6.6 million for the years 2019, 2020, 2021 and 2022, respectively, related to agreements assumed in connection with the acquisition of PHH.</w:t>
      </w:r>
    </w:p>
    <w:p>
      <w:pPr>
        <w:spacing w:after="0" w:line="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2018. Rent expense for 2018, 2017 and 2016 was $16.0 million, $17.9 million and $20.0 million,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693"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Note 25 — Contingencies</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w:t>
      </w:r>
    </w:p>
    <w:p>
      <w:pPr>
        <w:spacing w:after="0" w:line="57"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Fair Debt Collection Practices Act (FDCPA), the Real Estate Settlement Procedures Act, the Truth in Lending Act,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allegations of wrongdoing in connection with lender-placed 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Fair Debt Collection Practices Act (FDCPA), (2) we violated the Telephone Consumer Protection Act by using an automated telephone dialing system to call class members’ cell phones without their consent, (3) we committed securities fraud in connection with certain of our public disclosures, (4) certain fees we assess on borrowers are marked up improperly in violation of applicable state and federal law, (5) the solicitation and marketing to borrowers of certain ancillary products was unfair and deceptive and (6) that we breached fiduciary duties we purportedly owe to benefit plans due to the discretion we exercise in servicing certain securitized mortgage loans. In the future, we are likely to become subject to other private legal proceedings alleging failures to comply with applicable laws and regulations, including putative class actions, in the ordinary course of our business.</w:t>
      </w:r>
    </w:p>
    <w:p>
      <w:pPr>
        <w:spacing w:after="0" w:line="6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$62.8 million at December 31, 2018. We cannot currently estimate the amount, if any, of reasonably possible losses above amounts that have been recorded at December 31, 2018</w:t>
      </w:r>
      <w:r>
        <w:rPr>
          <w:rFonts w:ascii="Arial" w:cs="Arial" w:eastAsia="Arial" w:hAnsi="Arial"/>
          <w:sz w:val="14"/>
          <w:szCs w:val="14"/>
          <w:color w:val="auto"/>
        </w:rPr>
        <w:t>.</w:t>
      </w:r>
    </w:p>
    <w:p>
      <w:pPr>
        <w:spacing w:after="0" w:line="5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2014, plaintiffs filed a putative class action against Ocwen in the United States District Court for the Northern District of Alabama, alleging that Ocwen violated the FDCPA by charging borrowers a convenience fee for making certain loan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796" w:right="239" w:bottom="1440" w:gutter="0" w:footer="0" w:header="0"/>
        </w:sectPr>
      </w:pPr>
    </w:p>
    <w:bookmarkStart w:id="176" w:name="page177"/>
    <w:bookmarkEnd w:id="176"/>
    <w:p>
      <w:pPr>
        <w:ind w:right="140"/>
        <w:spacing w:after="0" w:line="290" w:lineRule="auto"/>
        <w:rPr>
          <w:sz w:val="20"/>
          <w:szCs w:val="20"/>
          <w:color w:val="auto"/>
        </w:rPr>
      </w:pPr>
      <w:r>
        <w:rPr>
          <w:rFonts w:ascii="Arial" w:cs="Arial" w:eastAsia="Arial" w:hAnsi="Arial"/>
          <w:sz w:val="16"/>
          <w:szCs w:val="16"/>
          <w:color w:val="auto"/>
        </w:rPr>
        <w:t xml:space="preserve">payments. See </w:t>
      </w:r>
      <w:r>
        <w:rPr>
          <w:rFonts w:ascii="Arial" w:cs="Arial" w:eastAsia="Arial" w:hAnsi="Arial"/>
          <w:sz w:val="16"/>
          <w:szCs w:val="16"/>
          <w:i w:val="1"/>
          <w:iCs w:val="1"/>
          <w:color w:val="auto"/>
        </w:rPr>
        <w:t>McWhorter et al. v. Ocwen Loan Servicing, LLC (N.D. Ala.)</w:t>
      </w:r>
      <w:r>
        <w:rPr>
          <w:rFonts w:ascii="Arial" w:cs="Arial" w:eastAsia="Arial" w:hAnsi="Arial"/>
          <w:sz w:val="16"/>
          <w:szCs w:val="16"/>
          <w:color w:val="auto"/>
        </w:rPr>
        <w:t>. The plaintiffs are seeking statutory damages under the FDCPA, compensatory damages and injunctive relief. The presiding court previously ruled on Ocwen’s motions to dismiss, and Ocwen answered the operative complaint. Ocwen subsequently entered into an agreement in principle to resolve this matter, and in January 2019, the presiding court granted preliminary approval of the parties’ proposed class settlement. While Ocwen believes that it has sound legal and factual defenses, we agreed to this settlement in principle in order to avoid the uncertain outcome of litigation and the additional expense and demands on the time of its senior management that such litigation would involve. There can be no assurance that the court will finally approve the settlement. In the event the settlement is not finally approved, the litigation would continue, and we would vigorously defend the allegations made against Ocwen. Our accrual with respect to this matter is included in the $62.8 million legal and regulatory accrual referenced above. We cannot currently estimate the amount, if any, of reasonably possible loss above the amount accrued.</w:t>
      </w:r>
    </w:p>
    <w:p>
      <w:pPr>
        <w:spacing w:after="0" w:line="166" w:lineRule="exact"/>
        <w:rPr>
          <w:sz w:val="20"/>
          <w:szCs w:val="20"/>
          <w:color w:val="auto"/>
        </w:rPr>
      </w:pPr>
    </w:p>
    <w:p>
      <w:pPr>
        <w:ind w:right="340" w:firstLine="324"/>
        <w:spacing w:after="0" w:line="273" w:lineRule="auto"/>
        <w:rPr>
          <w:sz w:val="20"/>
          <w:szCs w:val="20"/>
          <w:color w:val="auto"/>
        </w:rPr>
      </w:pPr>
      <w:r>
        <w:rPr>
          <w:rFonts w:ascii="Arial" w:cs="Arial" w:eastAsia="Arial" w:hAnsi="Arial"/>
          <w:sz w:val="17"/>
          <w:szCs w:val="17"/>
          <w:color w:val="auto"/>
        </w:rPr>
        <w:t xml:space="preserve">Ocwen has been named in putative class actions and individual actions related to its compliance with the TCPA. Generally, plaintiffs in these actions allege that Ocwen knowingly and willfully violated the TCPA by using an automated telephone dialing system to call class members’ cell phones without their consent. In July 2017, Ocwen entered into an agreement in principle to resolve two such putative class actions, which have been consolidated in the United States District Court for the Northern District of Illinois. See </w:t>
      </w:r>
      <w:r>
        <w:rPr>
          <w:rFonts w:ascii="Arial" w:cs="Arial" w:eastAsia="Arial" w:hAnsi="Arial"/>
          <w:sz w:val="17"/>
          <w:szCs w:val="17"/>
          <w:i w:val="1"/>
          <w:iCs w:val="1"/>
          <w:color w:val="auto"/>
        </w:rPr>
        <w:t>Snyder v. Ocwen Loan Servicing, LLC (N.D. Ill.); Beecroft v. Ocwen Loan Servicing,</w:t>
      </w:r>
      <w:r>
        <w:rPr>
          <w:rFonts w:ascii="Arial" w:cs="Arial" w:eastAsia="Arial" w:hAnsi="Arial"/>
          <w:sz w:val="17"/>
          <w:szCs w:val="17"/>
          <w:color w:val="auto"/>
        </w:rPr>
        <w:t xml:space="preserve"> </w:t>
      </w:r>
      <w:r>
        <w:rPr>
          <w:rFonts w:ascii="Arial" w:cs="Arial" w:eastAsia="Arial" w:hAnsi="Arial"/>
          <w:sz w:val="17"/>
          <w:szCs w:val="17"/>
          <w:i w:val="1"/>
          <w:iCs w:val="1"/>
          <w:color w:val="auto"/>
        </w:rPr>
        <w:t>LLC (N.D. Ill.)</w:t>
      </w:r>
      <w:r>
        <w:rPr>
          <w:rFonts w:ascii="Arial" w:cs="Arial" w:eastAsia="Arial" w:hAnsi="Arial"/>
          <w:sz w:val="17"/>
          <w:szCs w:val="17"/>
          <w:color w:val="auto"/>
        </w:rPr>
        <w:t>. Subject to final approval by the court, the settlement will include the establishment of a settlement fund to be distributed to impacted</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that submit claims for settlement benefits pursuant to a claims administration process.</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While Ocwen believes that it has sound legal and factual defenses, Ocwen agreed to this settlement in principle in order to avoid the uncertain outcome of litigation and the additional expense and demands on the time of its senior management that such litigation would involve. In October 2017, the court preliminarily approved the settlement and, thereafter, we paid the settlement amount into an escrow account held by the settlement administrator. However, in September 2018, the Court denied the motion for final approval. In November 2018, the parties engaged in mediation to address the issues raised by the Court in its denial order. The parties thereafter reached a revised agreement, and in January 2019, the Court indicated it intended to grant the parties’ renewed motion for final approval, but to date has not yet done so. Additional lawsuits may be filed against us in relation to these matters. At this time, Ocwen is unable to predict the outcome of these existing lawsuits or any additional lawsuits that may be filed, the possible loss or range of loss, if any, associated with the resolution of such lawsuits or the potential impact such lawsuits may have on us or our operations. Ocwen intends to vigorously defend against these lawsuits. If our efforts to defend these lawsuits are not successful, our business, financial condition liquidity and results of operations could be materially and adversely affected.</w:t>
      </w:r>
    </w:p>
    <w:p>
      <w:pPr>
        <w:spacing w:after="0" w:line="17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 xml:space="preserve">We have previously disclosed the settlement of the consolidated securities fraud class action lawsuit that contained allegations in connection with the restatements of our 2013 and first quarter 2014 financial statements, among other matters, in the United States District Court for the Southern District of Florida captioned </w:t>
      </w:r>
      <w:r>
        <w:rPr>
          <w:rFonts w:ascii="Arial" w:cs="Arial" w:eastAsia="Arial" w:hAnsi="Arial"/>
          <w:sz w:val="17"/>
          <w:szCs w:val="17"/>
          <w:i w:val="1"/>
          <w:iCs w:val="1"/>
          <w:color w:val="auto"/>
        </w:rPr>
        <w:t>In re Ocwen Financial Corporation Securities Litigation (S.D. Fla.)</w:t>
      </w:r>
      <w:r>
        <w:rPr>
          <w:rFonts w:ascii="Arial" w:cs="Arial" w:eastAsia="Arial" w:hAnsi="Arial"/>
          <w:sz w:val="17"/>
          <w:szCs w:val="17"/>
          <w:color w:val="auto"/>
        </w:rPr>
        <w:t xml:space="preserve"> (such consolidated lawsuit, the Securities Class Action). In December 2017, the Court approved our settlement of this matter. Pursuant to the settlement, we paid $49.0 million (of which $14.0 million was recovered from insurance proceeds) and agreed to issue an aggregate of 2,500,000 shares of our common stock to members of the class and their counsel. Ocwen issued 625,000 of the shares in December 2017, and the remaining 1,875,000 shares in January 2018.</w:t>
      </w:r>
    </w:p>
    <w:p>
      <w:pPr>
        <w:spacing w:after="0" w:line="70"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 xml:space="preserve">In March 2018 and April 2018, respectively, Ocwen was named as a defendant in two separate “opt-out” securities fraud actions brought on behalf of certain putative shareholders of Ocwen based on similar allegations to those contained in the Securities Class Action. </w:t>
      </w:r>
      <w:r>
        <w:rPr>
          <w:rFonts w:ascii="Arial" w:cs="Arial" w:eastAsia="Arial" w:hAnsi="Arial"/>
          <w:sz w:val="16"/>
          <w:szCs w:val="16"/>
          <w:i w:val="1"/>
          <w:iCs w:val="1"/>
          <w:color w:val="auto"/>
        </w:rPr>
        <w:t>See Brahman Partners et al. v. Ocwen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Corporation et al. (S.D. Fla.) </w:t>
      </w:r>
      <w:r>
        <w:rPr>
          <w:rFonts w:ascii="Arial" w:cs="Arial" w:eastAsia="Arial" w:hAnsi="Arial"/>
          <w:sz w:val="16"/>
          <w:szCs w:val="16"/>
          <w:color w:val="auto"/>
        </w:rPr>
        <w:t>and</w:t>
      </w:r>
      <w:r>
        <w:rPr>
          <w:rFonts w:ascii="Arial" w:cs="Arial" w:eastAsia="Arial" w:hAnsi="Arial"/>
          <w:sz w:val="16"/>
          <w:szCs w:val="16"/>
          <w:i w:val="1"/>
          <w:iCs w:val="1"/>
          <w:color w:val="auto"/>
        </w:rPr>
        <w:t xml:space="preserve"> Owl Creek et al. v. Ocwen Financial Corporation et al. (S.D. Fla.). </w:t>
      </w:r>
      <w:r>
        <w:rPr>
          <w:rFonts w:ascii="Arial" w:cs="Arial" w:eastAsia="Arial" w:hAnsi="Arial"/>
          <w:sz w:val="16"/>
          <w:szCs w:val="16"/>
          <w:color w:val="auto"/>
        </w:rPr>
        <w:t>In February 2019, the parties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definitive settlement agreements to resolve both “opt-out” matters. The parties have alerted the presiding courts in both matters of their settlements, and the cases have been dismissed with prejudice. Our accrual with respect to these matters is included in the $58.2 million legal and regulatory accrual referenced above. While Ocwen believes that it has sound legal and factual defenses, we agreed to these settlements in order to avoid the uncertain outcome of litigation and the additional expense and demands on the time of its senior management that such litigation would involve.</w:t>
      </w:r>
    </w:p>
    <w:p>
      <w:pPr>
        <w:spacing w:after="0" w:line="5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We have previously disclosed that as a result of the federal and state regulatory actions taken in April 2017 and shortly thereafter, which are described below under “Regulatory”, and the impact on our stock price, several putative securities fraud class action lawsuits were filed against Ocwen and certain of its officers that contain allegations in connection with Ocwen’s statements concerning its efforts to satisfy the evolving regulatory environment, and the resources it devoted to regulatory compliance, among other matters. Those lawsuits were consolidated in the United States District Court for the Southern District of Florida in the matter captioned </w:t>
      </w:r>
      <w:r>
        <w:rPr>
          <w:rFonts w:ascii="Arial" w:cs="Arial" w:eastAsia="Arial" w:hAnsi="Arial"/>
          <w:sz w:val="16"/>
          <w:szCs w:val="16"/>
          <w:i w:val="1"/>
          <w:iCs w:val="1"/>
          <w:color w:val="auto"/>
        </w:rPr>
        <w:t>Carvelli v. Ocwen Financial Corporation et al. (S.D. Fla.).</w:t>
      </w:r>
      <w:r>
        <w:rPr>
          <w:rFonts w:ascii="Arial" w:cs="Arial" w:eastAsia="Arial" w:hAnsi="Arial"/>
          <w:sz w:val="16"/>
          <w:szCs w:val="16"/>
          <w:color w:val="auto"/>
        </w:rPr>
        <w:t xml:space="preserve"> In April 2018, the court in Carvelli granted our motion to dismiss, and dismissed the consolidated case with prejudice. Plaintiffs thereafter filed a notice of appeal, and that appeal remains pending. Ocwen and the other defendants intend to defend themselves vigorously. Additional lawsuits may be filed against us in relation to these matters. At this time, Ocwen is unable to predict the outcome of this existing lawsuit or any additional lawsuits that may be filed, the possible loss or range of loss, if any, associated with the resolution of such lawsuits or the potential impact such lawsuits may have on us or our operations. If additional lawsuits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692" w:right="239" w:bottom="1440" w:gutter="0" w:footer="0" w:header="0"/>
        </w:sectPr>
      </w:pPr>
    </w:p>
    <w:bookmarkStart w:id="177" w:name="page178"/>
    <w:bookmarkEnd w:id="177"/>
    <w:p>
      <w:pPr>
        <w:ind w:right="20"/>
        <w:spacing w:after="0" w:line="277" w:lineRule="auto"/>
        <w:rPr>
          <w:sz w:val="20"/>
          <w:szCs w:val="20"/>
          <w:color w:val="auto"/>
        </w:rPr>
      </w:pPr>
      <w:r>
        <w:rPr>
          <w:rFonts w:ascii="Arial" w:cs="Arial" w:eastAsia="Arial" w:hAnsi="Arial"/>
          <w:sz w:val="18"/>
          <w:szCs w:val="18"/>
          <w:color w:val="auto"/>
        </w:rPr>
        <w:t>filed, Ocwen intends to vigorously defend itself against such lawsuits. If our efforts to defend the existing lawsuit or any future lawsuit are not successful, our business, financial condition, liquidity and results of operations could be materially and adversely affected.</w:t>
      </w:r>
    </w:p>
    <w:p>
      <w:pPr>
        <w:spacing w:after="0" w:line="6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several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Previously, one such group of affiliated RMBS investors sought to direct one trustee to bring suit against Ocwen. The trustee declined to bring suit, and the RMBS investors instead brought suit against Ocwen directly. The trial court dismissed the RMBS investors’ suit with prejudice in 2018. The RMBS investors thereafter appealed the court’s dismissal, and on February 13, 2019, the appellate court affirmed the trial court’s dismissal. It is unknown whether the RMBS investors will attempt to further appeal this matter; Ocwen will continue to vigorously defend itself.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00"/>
          </w:cols>
          <w:pgMar w:left="240" w:top="693" w:right="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Prior to the initiation of legal proceedings, we had been engaged with the CFPB in efforts to resolve the matter and recorded $12.5 million as of December 31, 2016 as a result of these discussions. Our accrual with respect to this matter is included in the $62.8 million legal and regulatory accrual referenced above. The outcome of the matters raised by the CFPB, whether through negotiated settlements, court rulings or otherwise, could have a material adverse impact on our business, reputation, financial condition, liquidity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State Attorneys General and Other Matters</w:t>
      </w:r>
    </w:p>
    <w:p>
      <w:pPr>
        <w:spacing w:after="0" w:line="12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7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Liberty, OFSPL and Ocwen Business Solutions, Inc. (OBS).</w:t>
      </w:r>
    </w:p>
    <w:p>
      <w:pPr>
        <w:spacing w:after="0" w:line="5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entered into agreements with all 29 states plus the District of Columbia to resolve these regulatory actions. These agreements generally contained the following key terms (the Multi-State Common Settlement Terms):</w:t>
      </w:r>
    </w:p>
    <w:p>
      <w:pPr>
        <w:spacing w:after="0" w:line="62"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Ocwen would not acquire any new residential MSRs until April 30, 2018.</w:t>
      </w:r>
    </w:p>
    <w:p>
      <w:pPr>
        <w:spacing w:after="0" w:line="23"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Ocwen would develop a plan of action and milestones regarding its transition from the REALServicing servicing system to an alternate servicing system and, with certain exceptions, would not board any new loans onto the REALServicing system.</w:t>
      </w:r>
    </w:p>
    <w:p>
      <w:pPr>
        <w:ind w:left="660" w:right="52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that Ocwen chose to merge with or acquire an unaffiliated company or its assets in order to effectuate a transfer of loans from the REALServicing system, Ocwen was required to comply with regulatory notice and waiting period requirements.</w:t>
      </w:r>
    </w:p>
    <w:p>
      <w:pPr>
        <w:ind w:left="660" w:right="20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Ocwen would engage a third-party auditor to perform an analysis with respect to our compliance with certain federal and state laws relating to escrow by testing approximately 9,000 loan files relating to residential real property in various states, and Ocwen would develop corrective action plans for any errors identified by the third-party auditor.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Ocwen would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Ocwen would provide financial condition reporting on a confidential basis as part of each state’s supervisory framework through September 2020.</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80"/>
          </w:cols>
          <w:pgMar w:left="240" w:top="689" w:right="279" w:bottom="1440" w:gutter="0" w:footer="0" w:header="0"/>
        </w:sectPr>
      </w:pPr>
    </w:p>
    <w:bookmarkStart w:id="179" w:name="page180"/>
    <w:bookmarkEnd w:id="179"/>
    <w:p>
      <w:pPr>
        <w:ind w:right="300" w:firstLine="324"/>
        <w:spacing w:after="0" w:line="264" w:lineRule="auto"/>
        <w:rPr>
          <w:sz w:val="20"/>
          <w:szCs w:val="20"/>
          <w:color w:val="auto"/>
        </w:rPr>
      </w:pPr>
      <w:r>
        <w:rPr>
          <w:rFonts w:ascii="Arial" w:cs="Arial" w:eastAsia="Arial" w:hAnsi="Arial"/>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the following additional terms:</w:t>
      </w:r>
    </w:p>
    <w:p>
      <w:pPr>
        <w:spacing w:after="0" w:line="181" w:lineRule="exact"/>
        <w:rPr>
          <w:sz w:val="20"/>
          <w:szCs w:val="20"/>
          <w:color w:val="auto"/>
        </w:rPr>
      </w:pPr>
    </w:p>
    <w:p>
      <w:pPr>
        <w:ind w:left="660" w:right="320" w:hanging="328"/>
        <w:spacing w:after="0" w:line="25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Ocwen agreed with the Connecticut Department of Banking to pay certain amounts only in the event we fail to comply with certain requirements under our agreement with Connecticut.</w:t>
      </w:r>
    </w:p>
    <w:p>
      <w:pPr>
        <w:spacing w:after="0" w:line="1"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its agreement with the Maryland Office of the Commissioner of Financial Regulation, Ocwen agreed to complete an independent management assessment and enterprise risk assessment and to a prohibition, with certain de minimis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spacing w:after="0" w:line="2" w:lineRule="exact"/>
        <w:rPr>
          <w:rFonts w:ascii="Arial" w:cs="Arial" w:eastAsia="Arial" w:hAnsi="Arial"/>
          <w:sz w:val="16"/>
          <w:szCs w:val="16"/>
          <w:color w:val="auto"/>
        </w:rPr>
      </w:pPr>
    </w:p>
    <w:p>
      <w:pPr>
        <w:ind w:left="660" w:right="180" w:hanging="328"/>
        <w:spacing w:after="0" w:line="281"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Ocwen agreed with the Massachusetts Division of Banks to pay $1.0 million to the Commonwealth of Massachusetts Mortgage Education Trust. Ocwen and the Massachusetts regulatory agency also agreed on a schedule pursuant to which we will regain eligibility to acquire residential MSRs on Massachusetts loans (including loans originated by Ocwen) as it meets certain thresholds in its transition to a new servicing system. All restrictions on Massachusetts MSR acquisitions will be lifted when Ocwen completes the second phase of a three-phase data integrity audit which will be conducted by an independent third-party following completion of Ocwen’s servicing system transition. The first phase of this audit, which was required to be completed prior to transitioning any Massachusetts loans to a new servicing system, has already been completed.</w:t>
      </w:r>
    </w:p>
    <w:p>
      <w:pPr>
        <w:spacing w:after="0" w:line="4" w:lineRule="exact"/>
        <w:rPr>
          <w:rFonts w:ascii="Arial" w:cs="Arial" w:eastAsia="Arial" w:hAnsi="Arial"/>
          <w:sz w:val="16"/>
          <w:szCs w:val="16"/>
          <w:color w:val="auto"/>
        </w:rPr>
      </w:pPr>
    </w:p>
    <w:p>
      <w:pPr>
        <w:ind w:left="660" w:right="300" w:hanging="328"/>
        <w:spacing w:after="0" w:line="255"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Ocwen agreed with the Nebraska Department of Banking and Finance until April 30, 2019, to limit its growth through acquisition from correspondent relationships to no more than ten percent per year for Nebraska loans (based on the total number of loans held at the prior calendar year-end).</w:t>
      </w:r>
    </w:p>
    <w:p>
      <w:pPr>
        <w:spacing w:after="0" w:line="19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Accordingly, we have now resolved all of the administrative actions (but not all of the legal actions, which are described below) taken by state regulators in April 2017.</w:t>
      </w:r>
    </w:p>
    <w:p>
      <w:pPr>
        <w:spacing w:after="0" w:line="6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have taken substantial steps toward fulfilling our commitments under the agreements described above, including transferring loans to Black Knight MSP, developing and implementing certain enhancements to our consumer complaint process, engaging a third-party auditor who is currently performing escrow-related testing, and complying with our other information sharing and reporting obligations.</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April 2017 and shortly thereafter,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w:t>
      </w:r>
    </w:p>
    <w:p>
      <w:pPr>
        <w:spacing w:after="0" w:line="158"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Previously, the Massachusetts Attorney General had sent us a civil investigative demand requesting information relating to various aspects of our servicing practices, including lender-placed insurance and property preservation fees. The Massachusetts Attorney General’s lawsuit seeks injunctive and equitable relief, costs, and civil money penalties of $5,000 per confirmed violation of the applicable statute.</w:t>
      </w:r>
    </w:p>
    <w:p>
      <w:pPr>
        <w:spacing w:after="0" w:line="1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 We cannot currently estimate the amount, if any, of reasonably possible loss related to these matters above amounts currently accrued.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accrual with respect to the administrative and legal actions initiated in April 2017 is included in the $62.8 million litigation and regulatory matters accrual referenced above. We will also incur costs complying with the terms of the settlements we have entered into, including in connection with the escrow review and transition to a new servicing system. For example, with respect to the escrow review, which is currently underway, we will incur remediation costs to the extent that errors are identified which require remediation. If we fail to comply with the terms of our settlements, additional administrative or legal regulatory actions could be taken against us. Such actions could have a materially adverse impact on our business, reputation, financial condition, liquidity and results of operations.</w:t>
      </w:r>
    </w:p>
    <w:p>
      <w:pPr>
        <w:spacing w:after="0" w:line="19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Certain of the state regulators’ cease and desist orders referenced a confidential supervisory memorandum of understanding (MOU) that we entered into with the Multistate Mortgage Committee (MMC), a multistate coalition of various mortgage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693" w:right="239" w:bottom="1440" w:gutter="0" w:footer="0" w:header="0"/>
        </w:sectPr>
      </w:pPr>
    </w:p>
    <w:bookmarkStart w:id="180" w:name="page181"/>
    <w:bookmarkEnd w:id="180"/>
    <w:p>
      <w:pPr>
        <w:ind w:right="120"/>
        <w:spacing w:after="0" w:line="271" w:lineRule="auto"/>
        <w:rPr>
          <w:sz w:val="20"/>
          <w:szCs w:val="20"/>
          <w:color w:val="auto"/>
        </w:rPr>
      </w:pPr>
      <w:r>
        <w:rPr>
          <w:rFonts w:ascii="Arial" w:cs="Arial" w:eastAsia="Arial" w:hAnsi="Arial"/>
          <w:sz w:val="17"/>
          <w:szCs w:val="17"/>
          <w:color w:val="auto"/>
        </w:rPr>
        <w:t>banking regulators, and six states relating to a servicing examination from 2013 to 2015. The MOU contained various provisions relating to servicing practices and safety and soundness aspects of the regulatory review, as a step toward closing the 2013 - 2015 examination. Ocwen responded to the MOU items and continues to provide certain reports and other information pursuant to the MOU. There were no monetary or other penalties imposed under the MOU. However, the MOU prohibited us from repurchasing stock during the development of a going forward plan and, thereafter, except as permitted by the plan. We prepared and submitted a plan that contained no stock repurchase restrictions and, therefore, we do not believe we are currently restricted from repurchasing stock. However, the MMC may not agree with our interpretation. For this reason, and on the basis of our progress to date responding to our obligations under the MOU, we have requested that the MOU be terminated. To the extent that we cannot terminate the MOU, we may remain subject to a share repurchase restriction and continued reporting obligations.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We continue to provide information to the Department of Justice and we are engaged in ongoing discussions with the Department of Justice relating to this inquiry.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18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2016, Ocwen received a subpoena from the Office of Inspector General of HUD requesting the production of documentation related to HECM loans originated by Liberty. We understand that other lenders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July 2017, we received a letter from Ginnie Mae in which Ginnie Mae informed us that the state regulators’ cease and desist orders discussed above create a material change in Ocwen’s business status under Chapter 3 of the Ginnie Mae MBS Guide, and that Ginnie Mae had accordingly declared an event of default under Guaranty Agreements between Ocwen and Ginnie Mae. In the letter, Ginnie Mae notified Ocwen that it would forbear from immediately exercising any rights relating to this matter. In a letter dated August 1, 2018, Ginnie Mae informed us that, based on Ocwen’s progress resolving its state regulatory matters, Ginnie Mae considered the matter satisfied, subject to our compliance with ongoing reporting requirements relating to our state regulatory settlements and transition to Black Knight MSP.</w:t>
      </w:r>
    </w:p>
    <w:p>
      <w:pPr>
        <w:spacing w:after="0" w:line="8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Adverse actions by Ginnie Mae could materially and adversely impact our business, reputation, financial condition, liquidity and results of operations, including if Ginnie Mae were to terminate us as an issuer or servicer of Ginnie Mae securities or otherwise take action indicating that such a termination was planned. For example, such actions could make financing our business more difficult, including by making future financing more expensive or if a lender were to allege a default under our debt agreements, which could trigger cross-defaults under all of our other material debt agreements.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692" w:right="259" w:bottom="1440" w:gutter="0" w:footer="0" w:header="0"/>
        </w:sectPr>
      </w:pPr>
    </w:p>
    <w:bookmarkStart w:id="181" w:name="page182"/>
    <w:bookmarkEnd w:id="181"/>
    <w:p>
      <w:pPr>
        <w:ind w:right="100" w:firstLine="324"/>
        <w:spacing w:after="0" w:line="302" w:lineRule="auto"/>
        <w:rPr>
          <w:sz w:val="20"/>
          <w:szCs w:val="20"/>
          <w:color w:val="auto"/>
        </w:rPr>
      </w:pPr>
      <w:r>
        <w:rPr>
          <w:rFonts w:ascii="Arial" w:cs="Arial" w:eastAsia="Arial" w:hAnsi="Arial"/>
          <w:sz w:val="16"/>
          <w:szCs w:val="16"/>
          <w:color w:val="auto"/>
        </w:rPr>
        <w:t>In our lending business, we have exposure to indemnification risks and repurchase requests.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At December 31, 2018 and 2017, we had outstanding representation and warranty repurchase demands of $51.3 million UPB (316 loans) and $30.8 million UPB (180 loans), respectively. Outstanding representation and warranty repurchase demands at December 31, 2018 include $32.3 million UPB (211 loans) assumed in connection with the acquisition of PHH. We review each demand and monitor through resolution, primarily through rescission, loan repurchase or make-whole payment.</w:t>
      </w:r>
    </w:p>
    <w:p>
      <w:pPr>
        <w:spacing w:after="0" w:line="7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similar indemnification obligations: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19,229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24,285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36,615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representation and warranty obligations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production reserves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Obligation assumed in connection with the acquisition of PHH</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Payments made in connection with sales of MSRs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Charge-offs and other (1)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49,267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19,229</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24,285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2018</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three mortgage insurers, and expects the ultimate outcome to result in recovery of additional unpaid claims, although we cannot quantify the likely amount at this time.</w:t>
      </w:r>
    </w:p>
    <w:p>
      <w:pPr>
        <w:spacing w:after="0" w:line="17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may, from time to time, have affirmative indemnification claims against parties from whom we acquired MSRs or other assets. We collected $29.9 million during the quarter ended December 31, 2017 under one such claim in connection with the acquisition of MSRs and advances in 2013. Although we pursue these claims, we cannot currently estimate the amount, if any, of further recoveries.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693"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Note 26 — Quarterly Results of Operations (Unaudited)</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2018</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310,929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238,278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253,581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260,257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302,819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217,526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206,501</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expense, net (2)</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(15,873)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(61,025)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(76,336)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(48,791)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4,965</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(4,012)</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2,348</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Income (loss) from continuing operations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2,617</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from discontinued operations, net of income taxes</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2,617</w:t>
            </w: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2,548</w:t>
            </w:r>
          </w:p>
        </w:tc>
      </w:tr>
      <w:tr>
        <w:trPr>
          <w:trHeight w:val="217"/>
        </w:trPr>
        <w:tc>
          <w:tcPr>
            <w:tcW w:w="5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2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5"/>
              </w:rPr>
              <w:t>Earnings (loss) per share attributable to Ocwen stockholders -</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5160" w:type="dxa"/>
            <w:vAlign w:val="bottom"/>
          </w:tcPr>
          <w:p>
            <w:pPr>
              <w:ind w:left="200"/>
              <w:spacing w:after="0"/>
              <w:rPr>
                <w:sz w:val="20"/>
                <w:szCs w:val="20"/>
                <w:color w:val="auto"/>
              </w:rPr>
            </w:pPr>
            <w:r>
              <w:rPr>
                <w:rFonts w:ascii="Arial" w:cs="Arial" w:eastAsia="Arial" w:hAnsi="Arial"/>
                <w:sz w:val="18"/>
                <w:szCs w:val="18"/>
                <w:b w:val="1"/>
                <w:bCs w:val="1"/>
                <w:color w:val="auto"/>
              </w:rPr>
              <w:t>Basic and Diluted</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Continuing operations</w:t>
            </w: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0.02</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quarter ended December 31, 2018 includes the results of operations of PHH from the acquisition date of October 4, 2018 through December 31, 2018. See Note 2</w:t>
      </w:r>
    </w:p>
    <w:p>
      <w:pPr>
        <w:spacing w:after="0" w:line="42"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6"/>
          <w:szCs w:val="16"/>
          <w:color w:val="auto"/>
        </w:rPr>
        <w:t>— Business Acquisition for additional information.</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Includes a bargain purchase gain, net of tax, of $64.0 million recognized during the quarter ended December 31, 2018 in connection with the acquisition of PHH.</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760"/>
              <w:spacing w:after="0"/>
              <w:rPr>
                <w:sz w:val="20"/>
                <w:szCs w:val="20"/>
                <w:color w:val="auto"/>
              </w:rPr>
            </w:pPr>
            <w:r>
              <w:rPr>
                <w:rFonts w:ascii="Arial" w:cs="Arial" w:eastAsia="Arial" w:hAnsi="Arial"/>
                <w:sz w:val="18"/>
                <w:szCs w:val="18"/>
                <w:b w:val="1"/>
                <w:bCs w:val="1"/>
                <w:color w:val="auto"/>
              </w:rPr>
              <w:t>Quarters Ended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276,770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284,642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311,300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 (1) (2)</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168,303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273,479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276,383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expense, net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(153,781)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(75,979)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(20,418)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2,125</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Net loss attributable to Ocwen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(44,483)</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(32,724)</w:t>
            </w:r>
          </w:p>
        </w:tc>
      </w:tr>
      <w:tr>
        <w:trPr>
          <w:trHeight w:val="217"/>
        </w:trPr>
        <w:tc>
          <w:tcPr>
            <w:tcW w:w="5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2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5"/>
              </w:rPr>
              <w:t>Loss per share attributable to Ocwen stockholders - Basic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5160" w:type="dxa"/>
            <w:vAlign w:val="bottom"/>
          </w:tcPr>
          <w:p>
            <w:pPr>
              <w:ind w:left="200"/>
              <w:spacing w:after="0"/>
              <w:rPr>
                <w:sz w:val="20"/>
                <w:szCs w:val="20"/>
                <w:color w:val="auto"/>
              </w:rPr>
            </w:pPr>
            <w:r>
              <w:rPr>
                <w:rFonts w:ascii="Arial" w:cs="Arial" w:eastAsia="Arial" w:hAnsi="Arial"/>
                <w:sz w:val="18"/>
                <w:szCs w:val="18"/>
                <w:b w:val="1"/>
                <w:bCs w:val="1"/>
                <w:color w:val="auto"/>
              </w:rPr>
              <w:t>Diluted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40" w:hanging="492"/>
        <w:spacing w:after="0" w:line="256"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benchmarking valuation assumption update related to our non-Agency MSRs carried at fair value resulted in an $84.4 million increase in value and reduction in related losses (reported in MSR valuation adjustments, net) during the quarter ended December 31, 2017. This reflected an upward trend in market pricing on non-Agency MSRs similar in profile to Ocwen’s portfolio. This valuation assumption update also resulted in a largely offsetting increase of $73.4 million in the value of the NRZ financing liability which was recognized as Interest expense.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797" w:right="239" w:bottom="1440" w:gutter="0" w:footer="0" w:header="0"/>
        </w:sectPr>
      </w:pPr>
    </w:p>
    <w:bookmarkStart w:id="183" w:name="page184"/>
    <w:bookmarkEnd w:id="183"/>
    <w:p>
      <w:pPr>
        <w:ind w:left="492" w:hanging="492"/>
        <w:spacing w:after="0" w:line="261" w:lineRule="auto"/>
        <w:tabs>
          <w:tab w:leader="none" w:pos="492"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Includes the recovery of $28.5 million of losses during the quarter ended December 31, 2017 related to a settlement of outstanding claims that arose from indemnification obligations in connection with our acquisition of MSRs and related servicing advances in 2013. We had recognized such losses on advances in prior periods and recorded the 2017 recovery in Servicing and origination expense.</w:t>
      </w:r>
    </w:p>
    <w:p>
      <w:pPr>
        <w:spacing w:after="0" w:line="314"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52"/>
          </w:cols>
          <w:pgMar w:left="248" w:top="589" w:right="49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As Amended and Restated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Effective February 21,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u w:val="single" w:color="auto"/>
          <w:color w:val="auto"/>
        </w:rPr>
        <w:t>Section 1.1 Annual Meeting</w:t>
      </w:r>
      <w:r>
        <w:rPr>
          <w:rFonts w:ascii="Arial" w:cs="Arial" w:eastAsia="Arial" w:hAnsi="Arial"/>
          <w:sz w:val="18"/>
          <w:szCs w:val="18"/>
          <w:color w:val="auto"/>
        </w:rPr>
        <w:t>. Except as otherwise provided in Section 1.9 of these Bylaws, an annual meeting of shareholders of the Corporation for the election of directors and for the transaction of any other proper business shall be held each year on such date, at such hour on said date and at such place within or without the State of Florida as may be fixed by the Board of Directors.</w:t>
      </w:r>
    </w:p>
    <w:p>
      <w:pPr>
        <w:spacing w:after="0" w:line="18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To be properly brought before the annual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shareholder of record. A motion related to business proposed to be brought before any shareholders’ meeting may be made by any shareholder entitled to vote if the business proposed is otherwise proper to be brought before the meeting. However, any such shareholder may propose business to be brought before a meeting only if such shareholder has given timely notice to the Secretary of the Corporation in proper written form of the shareholder’s intent to propose such business. To be timely, the shareholder’s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one hundred twenty days nor less than ninety days in advance of the anniversary of the date of the Corporation’s proxy statement provided in connection with the previous year’s annual meeting of shareholders;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no annual meeting was held in the previous year or the annual meeting is called for a date that is more than thirty days before or after the anniversary date of the previous year’s annual meeting, notice by the shareholder must be received by the Secretary of the Corporation not later than the close of business on the later of (x) the ninetieth day prior to such annual meeting and (y) the tenth day following the day on which public announcement of the date of such meeting is first made. For the purposes of these Bylaws, “public announcement” shall mean disclosure in a press release reported by the Dow Jones News Service, PR Newswire, Associated Press, Business Wire or a comparable national news service or in a document publicly filed by the Corporation with the Securities and Exchange Commission. In no event shall the public announcement of an adjournment or postponement of an annual meeting commence a new time period (or extend any time period) for the giving of a shareholder’s notice as described above. A shareholder’s notice to the Secretary shall set forth as to each matter the shareholder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 Bylaws of the Corporation, the language of the proposed amendment), and the reasons for conducting such business at the annual meeting; (ii) the name and record address of the shareholder proposing such business and the beneficial owner, if any, on whose behalf the proposal is made; (iii) the class, series and number of shares of the Corporation that are owned beneficially and of record by the shareholder and such beneficial owner; (iv) any material interest of the shareholder in such business; and (v) any other information that is required to be provided by the shareholder pursuant to the Securities Exchange Act of 1934 and the rules and regulations promulgated thereunder (collectively, the “Exchange Act”) in such shareholder’s capacity as a proponent of a shareholder proposal.</w:t>
      </w:r>
    </w:p>
    <w:p>
      <w:pPr>
        <w:spacing w:after="0" w:line="39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Notwithstanding anything in these Bylaws to the contrary, no business shall be conducted at the annual meeting except in accordance with the procedures set forth in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in this Section shall be deemed to preclude discussion by any shareholder of any business properly brought before the annual meeting.</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Chairman of the Board (or such other person presiding at the meeting in accordance with these Bylaws) shall, if the facts warrant, determine and declare to the meeting that business was not properly brought before the meeting in accordance with the provisions of this Section, and if he or she should so determine, he or she shall so declare to the meeting and any such business not properly brought before the meeting shall not be transacted.</w:t>
      </w:r>
    </w:p>
    <w:p>
      <w:pPr>
        <w:spacing w:after="0" w:line="14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u w:val="single" w:color="auto"/>
          <w:color w:val="auto"/>
        </w:rPr>
        <w:t>Section 1.2 Special Meetings</w:t>
      </w:r>
      <w:r>
        <w:rPr>
          <w:rFonts w:ascii="Arial" w:cs="Arial" w:eastAsia="Arial" w:hAnsi="Arial"/>
          <w:sz w:val="17"/>
          <w:szCs w:val="17"/>
          <w:color w:val="auto"/>
        </w:rPr>
        <w:t>. A special meeting of shareholders of the Corporation entitled to vote on any business to be considered at any such meeting may be called by the Chairman of the Board or the President, and shall be called by the Chairman of the Board, the President or the Secretary when directed to do so by resolution of the Board of Directors or at the written request of shareholders holding at least 10% of the Corporation’s stock entitled to vote at such meeting. Any such request shall state the purpose or purposes of the proposed meeting.</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u w:val="single" w:color="auto"/>
          <w:color w:val="auto"/>
        </w:rPr>
        <w:t>Section 1.3 Notice of Meetings</w:t>
      </w:r>
      <w:r>
        <w:rPr>
          <w:rFonts w:ascii="Arial" w:cs="Arial" w:eastAsia="Arial" w:hAnsi="Arial"/>
          <w:sz w:val="18"/>
          <w:szCs w:val="18"/>
          <w:color w:val="auto"/>
        </w:rPr>
        <w:t>. Whenever shareholders are required or permitted to take any action at a meeting, unless notice is waived as provided in Article VIII herein, a written notice of the meeting shall be given which shall state the place, date and hour of the meeting, and, in the case of a special meeting, the purpose or purposes for which the meeting is called.</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Unless otherwise provided by law, and except as to any shareholder duly waiving notice, the written notice of any meeting shall be given personally or by mail, not less than ten nor more than sixty days before the date of the meeting to each shareholder entitled to vote at such meeting. If mailed, notice shall be deemed given when deposited in the United States mail, postage prepaid, directed to the shareholder at his or her address as it appears on the records of the Corporation.</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When a meeting is adjourned to another date, time or place, notice need not be given of the new date, time or place if the new date, time and place thereof are announced at the meeting before the adjournment is taken. At the adjourned meeting the Corporation may transact any business that might have been transacted at the original meeting. If, however, the adjournment is for more than one hundred twenty days, or if after the adjournment a new record date is fixed for the adjourned meeting, a notice of the adjourned meeting shall be given to each shareholder of record entitled to vote at the meeting.</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u w:val="single" w:color="auto"/>
          <w:color w:val="auto"/>
        </w:rPr>
        <w:t>Section 1.4 Quorum</w:t>
      </w:r>
      <w:r>
        <w:rPr>
          <w:rFonts w:ascii="Arial" w:cs="Arial" w:eastAsia="Arial" w:hAnsi="Arial"/>
          <w:sz w:val="16"/>
          <w:szCs w:val="16"/>
          <w:color w:val="auto"/>
        </w:rPr>
        <w:t>. Except as otherwise provided by law, by the Articles of Incorporation or by these Bylaws in respect of the vote required for a specified action, at any meeting of shareholders the holders of a majority of the shares of stock entitled to vote thereat, either present or represented by proxy, shall constitute a quorum for the transaction of any business, but the shareholders present, although less than a quorum, may adjourn the meeting to another time or place and, except as provided in the last paragraph of Section 1.3 of these Bylaws, notice need not be given of the adjourned meeting.</w:t>
      </w:r>
    </w:p>
    <w:p>
      <w:pPr>
        <w:sectPr>
          <w:pgSz w:w="11900" w:h="16838" w:orient="portrait"/>
          <w:cols w:equalWidth="0" w:num="1">
            <w:col w:w="11420"/>
          </w:cols>
          <w:pgMar w:left="240" w:top="621" w:right="239" w:bottom="29" w:gutter="0" w:footer="0" w:header="0"/>
        </w:sectPr>
      </w:pPr>
    </w:p>
    <w:bookmarkStart w:id="185" w:name="page186"/>
    <w:bookmarkEnd w:id="185"/>
    <w:p>
      <w:pPr>
        <w:ind w:right="320" w:firstLine="648"/>
        <w:spacing w:after="0" w:line="302" w:lineRule="auto"/>
        <w:rPr>
          <w:sz w:val="20"/>
          <w:szCs w:val="20"/>
          <w:color w:val="auto"/>
        </w:rPr>
      </w:pPr>
      <w:r>
        <w:rPr>
          <w:rFonts w:ascii="Arial" w:cs="Arial" w:eastAsia="Arial" w:hAnsi="Arial"/>
          <w:sz w:val="16"/>
          <w:szCs w:val="16"/>
          <w:u w:val="single" w:color="auto"/>
          <w:color w:val="auto"/>
        </w:rPr>
        <w:t>Section 1.5 Voting</w:t>
      </w:r>
      <w:r>
        <w:rPr>
          <w:rFonts w:ascii="Arial" w:cs="Arial" w:eastAsia="Arial" w:hAnsi="Arial"/>
          <w:sz w:val="16"/>
          <w:szCs w:val="16"/>
          <w:color w:val="auto"/>
        </w:rPr>
        <w:t>. Whenever directors are to be elected at a meeting, they shall be elected by a plurality of the votes cast at the meeting by the holders of stock entitled to vote. Whenever any corporate action, other than the election of directors, is to be taken by vote of shareholders at a meeting, it shall, except as otherwise required by law, by the Articles of Incorporation or by these Bylaws, be approved if the votes cast by the holders of the shares represented at the meeting and entitled to vote on the subject matter favoring the action exceed the votes cast opposing the action.</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Except as otherwise provided by law or by the Articles of Incorporation, each holder of record of stock of the Corporation entitled to vote on any matter at any meeting of shareholders shall be entitled to one vote for each share of such stock standing in the name of such holder on the stock ledger of the Corporation on the record date for the determination of the shareholders entitled to vote at the meeting.</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Upon the demand of any shareholder entitled to vote, the vote for directors or the vote on any other matter at a meeting shall be by written ballot, but otherwise the method of voting and the manner in which votes are counted shall be discretionary with the presiding officer at the meeting.</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Section 1.6 Presiding Officer and Secretary</w:t>
      </w:r>
      <w:r>
        <w:rPr>
          <w:rFonts w:ascii="Arial" w:cs="Arial" w:eastAsia="Arial" w:hAnsi="Arial"/>
          <w:sz w:val="18"/>
          <w:szCs w:val="18"/>
          <w:color w:val="auto"/>
        </w:rPr>
        <w:t>. At every meeting of shareholders the Chairman of the Board, or in his or her absence the Chief Executive Officer, or in his or her absence the President, or in his or her absence a Senior Managing Director or Managing Director, or, if none be present, the appointee of the meeting, shall preside. The Secretary, or in his or her absence an Assistant Secretary, or if none be present, the appointee of the presiding officer of the meeting, shall act as secretary of the meeting.</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Section 1.7 Proxies</w:t>
      </w:r>
      <w:r>
        <w:rPr>
          <w:rFonts w:ascii="Arial" w:cs="Arial" w:eastAsia="Arial" w:hAnsi="Arial"/>
          <w:sz w:val="18"/>
          <w:szCs w:val="18"/>
          <w:color w:val="auto"/>
        </w:rPr>
        <w:t>. A shareholder entitled to vote at any meeting of shareholders or any adjournment thereof may vote in person or by proxy executed in writing and signed by the shareholder or the shareholder’s attorney-in-fact. The appointment of proxy will be effective when received by the Secretary or other officer or agent authorized to tabulate votes. If a proxy designates two or more persons to act as proxies, a majority of these persons present at the meeting, or if only one is present, that one, shall have all of the powers conferred by the instrument upon all the persons designated unless the instrument otherwise provides. No proxy shall be valid more than eleven (11) months after the date of its execution unless a longer term is expressly stated in the proxy.</w:t>
      </w:r>
    </w:p>
    <w:p>
      <w:pPr>
        <w:spacing w:after="0" w:line="19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u w:val="single" w:color="auto"/>
          <w:color w:val="auto"/>
        </w:rPr>
        <w:t>Section 1.8 List of Shareholders</w:t>
      </w:r>
      <w:r>
        <w:rPr>
          <w:rFonts w:ascii="Arial" w:cs="Arial" w:eastAsia="Arial" w:hAnsi="Arial"/>
          <w:sz w:val="17"/>
          <w:szCs w:val="17"/>
          <w:color w:val="auto"/>
        </w:rPr>
        <w:t>. The officer who has charge of the stock ledger of the Corporation shall prepare and make, at least ten days before every meeting of shareholders, a complete list of the shareholders entitled to vote at the meeting, arranged in alphabetical order, and showing the address of each shareholder and the number of shares registered in the name of each shareholder. Such list shall be open to the examination of any shareholder, for any purpose germane to the meeting, during ordinary business hours, for a period of at least ten days prior to the meeting, at the Corporation’s principal office, at the office of the Corporation’s transfer agent or registrar or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shareholder who is present.</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stock ledger shall be the only evidence as to who are the shareholders entitled to examine the stock ledger, the list required by this Section or the books of the Corporation, or to vote in person or by proxy at any meeting of shareholders.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u w:val="single" w:color="auto"/>
          <w:color w:val="auto"/>
        </w:rPr>
        <w:t>Section 1.9 Written Consent of Shareholders in Lieu of Meeting</w:t>
      </w:r>
      <w:r>
        <w:rPr>
          <w:rFonts w:ascii="Arial" w:cs="Arial" w:eastAsia="Arial" w:hAnsi="Arial"/>
          <w:sz w:val="17"/>
          <w:szCs w:val="17"/>
          <w:color w:val="auto"/>
        </w:rPr>
        <w:t>. Except as otherwise provided by law or by the Articles of Incorporation, any action required or permitted by statute to be taken at any annual or special meeting of shareholders of the Corporation may be taken without a meeting, without prior notice and without a vote, if a consent in writing, setting forth the action so taken, shall be dated and signed by the holders of outstanding stock having not less than the minimum number of votes that would be necessary to authorize or take such action at a meeting at which all shares entitled to vote thereon were present and voted. Any such written consent may be given by one or any number of substantially concurrent written instruments of substantially similar tenor dated and signed by such shareholders, in person or by attorney or proxy duly appointed in writing, and filed with the Secretary or an Assistant Secretary of the Corporation. Within ten days after obtaining such authorization by written consent, notice of the taking of the corporate action without a meeting by less than unanimous written consent shall be given to those shareholders who have not consented in writing or who are not entitled to vote on such action. The notice shall fairly summarize the material features of the authorized action. If the action creates dissenters’ rights, the notice shall contain a clear statement of the right of dissenting shareholders to be paid the fair value of their shares upon compliance with and as provided for by the Florida Business Corporation Act.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u w:val="single" w:color="auto"/>
          <w:color w:val="auto"/>
        </w:rPr>
        <w:t>Section 2.1 Number of Directors</w:t>
      </w:r>
      <w:r>
        <w:rPr>
          <w:rFonts w:ascii="Arial" w:cs="Arial" w:eastAsia="Arial" w:hAnsi="Arial"/>
          <w:sz w:val="18"/>
          <w:szCs w:val="18"/>
          <w:color w:val="auto"/>
        </w:rPr>
        <w:t>. The Board of Directors shall consist of not less than three directors and not more than eleven directors, with the exact number to be fixed by the Board of Directors. The number of directors may be fixed at any time and from time to time by a resolution of the Board of Directors passed by a majority of the whole Board of Directors or by a vote at a meeting or by written consent of the holders of stock entitled to vote on the election of directors, except that no decrease shall shorten the term of any incumbent director unless such director is specifically removed pursuant to Section 2.5 of these Bylaws at the time of such decrease.</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u w:val="single" w:color="auto"/>
          <w:color w:val="auto"/>
        </w:rPr>
        <w:t>Section 2.2 Election, Term and Eligibility of Directors</w:t>
      </w:r>
      <w:r>
        <w:rPr>
          <w:rFonts w:ascii="Arial" w:cs="Arial" w:eastAsia="Arial" w:hAnsi="Arial"/>
          <w:sz w:val="17"/>
          <w:szCs w:val="17"/>
          <w:color w:val="auto"/>
        </w:rPr>
        <w:t>. (a) Directors shall be elected annually, by election at the annual meeting of shareholders or by written consent of the holders of stock entitled to vote thereon in lieu of such meeting. If the annual election of directors is not held on the date designated therefor, the directors shall cause such election to be held as soon thereafter as convenient. Each director shall hold office from the time of his or her election and qualification until his or her successor is elected and qualified or until his or her earlier resignation or removal.</w:t>
      </w:r>
    </w:p>
    <w:p>
      <w:pPr>
        <w:spacing w:after="0" w:line="171" w:lineRule="exact"/>
        <w:rPr>
          <w:sz w:val="20"/>
          <w:szCs w:val="20"/>
          <w:color w:val="auto"/>
        </w:rPr>
      </w:pPr>
    </w:p>
    <w:p>
      <w:pPr>
        <w:ind w:firstLine="656"/>
        <w:spacing w:after="0" w:line="286" w:lineRule="auto"/>
        <w:tabs>
          <w:tab w:leader="none" w:pos="903"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Subject to the rights of holders of any class or series of stock having a preference over the common stock as to dividends or upon liquidation, nominations of persons for election to the Board of Directors must be (x) made by or at the direction of the Board of Directors (or any duly authorized committee thereof) or (y) made by any shareholder of record of the Corporation entitled to vote for the election of directors at the applicable meeting who complies with the notice procedures set forth in this Section 2.2. Directors need not be shareholders. Such nominations, other than those made by or at the direction of the Board of Directors, shall be made pursuant to timely notice in writing to the Secretary of the Corporation. To be timely, a shareholder’s notice shall be delivered by a nationally recognized courier service or mailed by first class United States mail, postage or delivery charges prepaid, and received at the principal executive offices of the Corporation addressed to the attention of the Secretary of the Corporation (i) in the case of an annual meeting of shareholders, not more than one hundred twenty days nor less than ninety days in advance of the anniversary of the date of the Corporation’s proxy statement provided in connection with the previous year’s annual meeting of shareholders;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no annual meeting was held in the previous year or the annual meeting is called for a date more than thirty days before or after the anniversary date of the previous year’s annual meeting, notice by the shareholder must be received by the Secretary of the Corporation not later than the close of business on the later of (A) the ninetieth day prior to such annual meeting and (B) the tenth day following the day on which public announcement of the date of such meeting is first made, and (ii) in the case of a special meeting of shareholders called for the purpose of electing directors, not later than the close of business on the tenth day following the day on which notice of the date of the special meeting was mailed or public disclosure of the date of the special meeting was made.</w:t>
      </w:r>
    </w:p>
    <w:p>
      <w:pPr>
        <w:sectPr>
          <w:pgSz w:w="11900" w:h="16838" w:orient="portrait"/>
          <w:cols w:equalWidth="0" w:num="1">
            <w:col w:w="11400"/>
          </w:cols>
          <w:pgMar w:left="240" w:top="125" w:right="259" w:bottom="0" w:gutter="0" w:footer="0" w:header="0"/>
        </w:sectPr>
      </w:pPr>
    </w:p>
    <w:bookmarkStart w:id="186" w:name="page187"/>
    <w:bookmarkEnd w:id="186"/>
    <w:p>
      <w:pPr>
        <w:ind w:firstLine="656"/>
        <w:spacing w:after="0" w:line="284" w:lineRule="auto"/>
        <w:tabs>
          <w:tab w:leader="none" w:pos="89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shareholder’s notice to the Secretary shall set forth (i) as to each person whom the shareholder proposes to nominate for election or re-election as a director, (A) the name, age, business address and residence address of the person, (B) the principal occupation or employment of the person, (C) the class, series and number of shares of capital stock of the Corporation that are owned beneficially by the person, (D) any other information relating to the person that is required to be disclosed in solicitations for proxies for election of directors pursuant to the Exchange Act, (E) the nominee’s signed written consent to serve as a director of the Corporation, if elected, (F) a completed and signed questionnaire, representation and agreement as described in clause (d) of this Section 2.2 (with any additional questions as may be appropriate in the circumstances), and (G) whether each nominee is eligible for consideration as an independent director under the relevant standards contemplated by Item 407(a) of Regulation S-K (or the corresponding provisions of any successor regulation); and (ii) as to the shareholder giving the notice, (A) whether the shareholder is providing the shareholder’s notice at the request of a beneficial holder of shares, whether the shareholder, any such beneficial holder or any nominee has any agreement, arrangement or understanding with, or has received any financial assistance, funding or other consideration from, any other person with respect to the investment by the shareholder or such beneficial holder in the Corporation or the matter such shareholder’s notice relates to, and the details thereof, including the name of such other person (the shareholder, any beneficial holder on whose behalf the notice is being delivered, any nominees listed in the notice and any persons with whom such agreement, arrangements or understandings arrangement or understanding exists or from whom such assistance has been obtained are hereinafter collectively referred to as “Interested Persons”), (B) the name and address of all Interested Persons, (C) a complete listing of the record and beneficial ownership positions (including number or amount) of all equity securities and debt instruments, whether held in the form of loans or capital market instruments, of the Corporation or any of its subsidiaries held by all Interested Persons, (D) whether and the extent to which any hedging, derivative or other transaction is in place or has been entered into within the prior six months preceding the date of delivery of the shareholder’s notice by or for the benefit of any Interested Person with respect to the Corporation or its subsidiaries or any of their respective securities, debt instruments or credit ratings, the effect or intent of which transaction is to give rise to gain or loss as a result of changes in the trading price of such securities or debt instruments or changes in the credit ratings for the Corporation, its subsidiaries or any of their respective securities or debt instruments (or, more generally, changes in the perceived creditworthiness of the Corporation or its subsidiaries), or to increase or decrease the voting power of such Interested Person, and if so, a summary of the material terms thereof, and (E) a representation that the shareholder is a holder of record of stock of the Corporation that would be entitled to vote at the meeting and intends to appear in person or by proxy at the meeting to nominate the person or persons specified in the notice. As used herein, “beneficially owned” has the meaning provided in Rules 13d-3 and 13d-5 under the Exchange Act. The Corporation may require any shareholder nominating persons for election to the Board of Directors and any proposed nominee to furnish such other information as may reasonably be required by the Corporation or any governmental or regulatory body to determine the eligibility of such proposed nominee to serve as a director of the Corporation. The shareholder notice shall be updated not later than 10 days after the record date for the determination of shareholders entitled to vote at the meeting to provide any material changes in the foregoing information as of the record date. No person shall be eligible for election as a director of the Corporation unless nominated in accordance with the procedures set forth herein.</w:t>
      </w:r>
    </w:p>
    <w:p>
      <w:pPr>
        <w:spacing w:after="0" w:line="170" w:lineRule="exact"/>
        <w:rPr>
          <w:rFonts w:ascii="Arial" w:cs="Arial" w:eastAsia="Arial" w:hAnsi="Arial"/>
          <w:sz w:val="16"/>
          <w:szCs w:val="16"/>
          <w:color w:val="auto"/>
        </w:rPr>
      </w:pPr>
    </w:p>
    <w:p>
      <w:pPr>
        <w:ind w:right="20" w:firstLine="656"/>
        <w:spacing w:after="0" w:line="284" w:lineRule="auto"/>
        <w:tabs>
          <w:tab w:leader="none" w:pos="90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order to be eligible for election or re-election as a director, a person must deliver to the Secretary of the Corporation at the principal executive offices of the Corporation a written representation and agreement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in such representation and agreement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w:t>
      </w:r>
    </w:p>
    <w:p>
      <w:pPr>
        <w:spacing w:after="0" w:line="4"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person or entity other than the Corporation with respect to any direct or indirect compensation, reimbursement or indemnification in connection with such person’s nomination, candidacy, service or action as a director that has not been disclosed to the Corporation in such representation and agreement, (iii) would be in compliance, if elected as a director of the Corporation, and will comply with the Corporation’s code of business conduct and ethics, corporate governance principles, securities trading policies and any other policies or guidelines of the Corporation applicable to directors, including the eligibility standards set forth in clause (e) of this Section 2.2, and (iv) will make such other acknowledgments, enter into such agreements and provide such information as the Board of Directors requires of all directors, including promptly submitting all completed and signed questionnaires required of the Corporation’s directors.</w:t>
      </w:r>
    </w:p>
    <w:p>
      <w:pPr>
        <w:spacing w:after="0" w:line="193" w:lineRule="exact"/>
        <w:rPr>
          <w:rFonts w:ascii="Arial" w:cs="Arial" w:eastAsia="Arial" w:hAnsi="Arial"/>
          <w:sz w:val="16"/>
          <w:szCs w:val="16"/>
          <w:color w:val="auto"/>
        </w:rPr>
      </w:pPr>
    </w:p>
    <w:p>
      <w:pPr>
        <w:ind w:right="60" w:firstLine="656"/>
        <w:spacing w:after="0" w:line="271" w:lineRule="auto"/>
        <w:tabs>
          <w:tab w:leader="none" w:pos="89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person is not eligible to serve as director of the Corporation (unless, in the opinion of the Board of Directors, it is in the interest of the Corporation and its shareholders for such person to serve as a director) if he or she, or any entity of which he or she was an executive officer or principal at the relevant time, (i) is under indictment for, or has ever been convicted of, a criminal offense involving dishonesty or breach of trust and the penalty for such offence could be imprisonment for more than one year, (ii) is a person against whom (or an entity against which) a regulatory agency has, within the past five years, issued a cease and desist order for conduct involving dishonesty or breach of trust and that order is final and not subject to appeal, or (iii) has been found, either by a regulatory agency whose decision is final and not subject to appeal or by a court, to have (A) breached a fiduciary duty involving personal profit or (B) committed within the last three years a violation of any law, rule or regulation governing banking, securities, commodities or insurance, or any final cease and desist order issued by a banking, securities, commodities or insurance regulatory agency.</w:t>
      </w:r>
    </w:p>
    <w:p>
      <w:pPr>
        <w:spacing w:after="0" w:line="178" w:lineRule="exact"/>
        <w:rPr>
          <w:rFonts w:ascii="Arial" w:cs="Arial" w:eastAsia="Arial" w:hAnsi="Arial"/>
          <w:sz w:val="17"/>
          <w:szCs w:val="17"/>
          <w:color w:val="auto"/>
        </w:rPr>
      </w:pPr>
    </w:p>
    <w:p>
      <w:pPr>
        <w:jc w:val="both"/>
        <w:ind w:right="20" w:firstLine="656"/>
        <w:spacing w:after="0" w:line="259" w:lineRule="auto"/>
        <w:tabs>
          <w:tab w:leader="none" w:pos="8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connection with any annual meeting of the shareholders (or, if and as applicable, any special meeting of the shareholders), the Chairman of the Board (or such other person presiding at such meeting in accordance with these Bylaws) shall, if the facts warrant, determine and declare to the meeting that a nomination was not made in accordance with the foregoing procedure, and if he or she should so determine, he or she shall so declare to the meeting and the defective nomination shall be disregarded.</w:t>
      </w:r>
    </w:p>
    <w:p>
      <w:pPr>
        <w:spacing w:after="0" w:line="187" w:lineRule="exact"/>
        <w:rPr>
          <w:sz w:val="20"/>
          <w:szCs w:val="20"/>
          <w:color w:val="auto"/>
        </w:rPr>
      </w:pPr>
    </w:p>
    <w:p>
      <w:pPr>
        <w:jc w:val="both"/>
        <w:ind w:right="340" w:firstLine="648"/>
        <w:spacing w:after="0" w:line="279" w:lineRule="auto"/>
        <w:rPr>
          <w:sz w:val="20"/>
          <w:szCs w:val="20"/>
          <w:color w:val="auto"/>
        </w:rPr>
      </w:pPr>
      <w:r>
        <w:rPr>
          <w:rFonts w:ascii="Arial" w:cs="Arial" w:eastAsia="Arial" w:hAnsi="Arial"/>
          <w:sz w:val="17"/>
          <w:szCs w:val="17"/>
          <w:u w:val="single" w:color="auto"/>
          <w:color w:val="auto"/>
        </w:rPr>
        <w:t>Section 2.3 Vacancies and Newly Created Directorships</w:t>
      </w:r>
      <w:r>
        <w:rPr>
          <w:rFonts w:ascii="Arial" w:cs="Arial" w:eastAsia="Arial" w:hAnsi="Arial"/>
          <w:sz w:val="17"/>
          <w:szCs w:val="17"/>
          <w:color w:val="auto"/>
        </w:rPr>
        <w:t>. Vacancies and newly created directorships resulting from any increase in the authorized number of directors may be filled by election at a meeting of shareholders or by written consent of the holders of stock entitled to vote thereon in lieu of a meeting. Except as otherwise provided by law or by the Articles of Incorporation, vacancies and such newly created directorships may also be filled by a majority of the directors then in office, although less than a quorum, or by a sole remaining director.</w:t>
      </w:r>
    </w:p>
    <w:p>
      <w:pPr>
        <w:spacing w:after="0" w:line="171"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u w:val="single" w:color="auto"/>
          <w:color w:val="auto"/>
        </w:rPr>
        <w:t>Section 2.4 Resignation</w:t>
      </w:r>
      <w:r>
        <w:rPr>
          <w:rFonts w:ascii="Arial" w:cs="Arial" w:eastAsia="Arial" w:hAnsi="Arial"/>
          <w:sz w:val="17"/>
          <w:szCs w:val="17"/>
          <w:color w:val="auto"/>
        </w:rPr>
        <w:t>. Any director may resign at any time upon written notice to the Board of Directors, the Chairman of the Board or the Corporation. Any such resignation shall take effect at the time specified therein or, if the time be not specified, upon receipt thereof, and the acceptance of such resignation, unless required by the terms thereof, shall not be necessary to make such resignation effective.</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u w:val="single" w:color="auto"/>
          <w:color w:val="auto"/>
        </w:rPr>
        <w:t>Section. 2.5 Removal</w:t>
      </w:r>
      <w:r>
        <w:rPr>
          <w:rFonts w:ascii="Arial" w:cs="Arial" w:eastAsia="Arial" w:hAnsi="Arial"/>
          <w:sz w:val="18"/>
          <w:szCs w:val="18"/>
          <w:color w:val="auto"/>
        </w:rPr>
        <w:t>. Any or all of the directors may be removed at any time, with or without cause, by vote of the holders of the shares of stock entitled to vote on the election of directors, taken at a meeting or by written consent, if the number of votes cast to remove such director or directors exceeds the number of votes cast not to remove such director or directors.</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u w:val="single" w:color="auto"/>
          <w:color w:val="auto"/>
        </w:rPr>
        <w:t>Section 2.6 Meetings</w:t>
      </w:r>
      <w:r>
        <w:rPr>
          <w:rFonts w:ascii="Arial" w:cs="Arial" w:eastAsia="Arial" w:hAnsi="Arial"/>
          <w:sz w:val="16"/>
          <w:szCs w:val="16"/>
          <w:color w:val="auto"/>
        </w:rPr>
        <w:t>. Meetings of the Board of Directors, regular or special, shall be held at the principal place of business of the Corporation or at another place designated by the person or persons giving notice or otherwise calling the meeting. Members of the Board of Directors, or of any committee designated by the Board, may participate in a meeting of such Board or committee by means of conference telephone or similar communications equipment by means of which all persons participating in the meeting may simultaneously hear each other, and participation in a meeting by such means shall constitute presence in person at such meeting. The Board of Directors may fix dates, times and places for regular meetings of the Board of Directors and no notice of</w:t>
      </w:r>
    </w:p>
    <w:p>
      <w:pPr>
        <w:sectPr>
          <w:pgSz w:w="11900" w:h="16838" w:orient="portrait"/>
          <w:cols w:equalWidth="0" w:num="1">
            <w:col w:w="11420"/>
          </w:cols>
          <w:pgMar w:left="240" w:top="341" w:right="239" w:bottom="0" w:gutter="0" w:footer="0" w:header="0"/>
        </w:sectPr>
      </w:pPr>
    </w:p>
    <w:bookmarkStart w:id="187" w:name="page188"/>
    <w:bookmarkEnd w:id="187"/>
    <w:p>
      <w:pPr>
        <w:ind w:right="20"/>
        <w:spacing w:after="0" w:line="289" w:lineRule="auto"/>
        <w:rPr>
          <w:sz w:val="20"/>
          <w:szCs w:val="20"/>
          <w:color w:val="auto"/>
        </w:rPr>
      </w:pPr>
      <w:r>
        <w:rPr>
          <w:rFonts w:ascii="Arial" w:cs="Arial" w:eastAsia="Arial" w:hAnsi="Arial"/>
          <w:sz w:val="16"/>
          <w:szCs w:val="16"/>
          <w:color w:val="auto"/>
        </w:rPr>
        <w:t>such meetings need be given. A special meeting of the Board of Directors shall be held whenever called by the Chairman of the Board, if any, or by the President at such date, time and place as shall be specified in the notice or waiver thereof. Notice of each special meeting shall be given by the Secretary or by a person calling the meeting to each director orally or in writing, and may be communicated in person, by telegraph, teletype, telecopy or other form of electronic communication not later than the day before the meeting or by mailing the same, postage prepaid, not later than the second day before the meeting. Notice of a meeting of the Board of Directors need not be given to a director who signs a waiver of notice either before or after the meeting. Attendance of a director at a meeting shall constitute a waiver of notice of that meeting and waiver of all objections to the place of the meeting, the time of the meeting and the manner in which it is called or convened, except when a director states, at the beginning of the meeting or promptly upon arrival at the meeting, objection to the transaction of business because the meeting is not lawfully called or convened. Neither the business to be transacted at, nor the purpose of, any regular or special meeting of the Board of Directors must be specified in the notice or waiver of notice of such meeting.</w:t>
      </w:r>
    </w:p>
    <w:p>
      <w:pPr>
        <w:spacing w:after="0" w:line="16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u w:val="single" w:color="auto"/>
          <w:color w:val="auto"/>
        </w:rPr>
        <w:t>Section 2.7 Quorum and Voting</w:t>
      </w:r>
      <w:r>
        <w:rPr>
          <w:rFonts w:ascii="Arial" w:cs="Arial" w:eastAsia="Arial" w:hAnsi="Arial"/>
          <w:sz w:val="18"/>
          <w:szCs w:val="18"/>
          <w:color w:val="auto"/>
        </w:rPr>
        <w:t>. A majority of the total number of directors shall constitute a quorum for the transaction of business, but, if there be less than a quorum at any meeting of the Board of Directors, a majority of the directors present may adjourn the meeting from time to time, and no further notice thereof need be given other than announcement at the meeting which shall be so adjourned. Except as otherwise provided by law, by the Articles of Incorporation or by these Bylaws, the vote of a majority of the directors present at a meeting at which a quorum is present shall be the act of the Board of Directors.</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u w:val="single" w:color="auto"/>
          <w:color w:val="auto"/>
        </w:rPr>
        <w:t>Section 2.8 Written Consent of Directors in Lieu of a Meeting</w:t>
      </w:r>
      <w:r>
        <w:rPr>
          <w:rFonts w:ascii="Arial" w:cs="Arial" w:eastAsia="Arial" w:hAnsi="Arial"/>
          <w:sz w:val="18"/>
          <w:szCs w:val="18"/>
          <w:color w:val="auto"/>
        </w:rPr>
        <w:t>. Any action required or permitted to be taken at any meeting of the Board of Directors or of any committee thereof may be taken without a meeting if all members of the Board or of such committee, as the case may be, consent thereto in writing, and the writing or writings are filed with the minutes of proceedings of the Board or committee.</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u w:val="single" w:color="auto"/>
          <w:color w:val="auto"/>
        </w:rPr>
        <w:t>Section 2.9 Compensation</w:t>
      </w:r>
      <w:r>
        <w:rPr>
          <w:rFonts w:ascii="Arial" w:cs="Arial" w:eastAsia="Arial" w:hAnsi="Arial"/>
          <w:sz w:val="18"/>
          <w:szCs w:val="18"/>
          <w:color w:val="auto"/>
        </w:rPr>
        <w:t>. Directors may receive compensation for services to the Corporation in their capacities as directors or otherwise in such manner and in such amounts as may be fixed from time to time by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 of the Board of Directors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u w:val="single" w:color="auto"/>
          <w:color w:val="auto"/>
        </w:rPr>
        <w:t>Section 3.1 Appointment and Powers</w:t>
      </w:r>
      <w:r>
        <w:rPr>
          <w:rFonts w:ascii="Arial" w:cs="Arial" w:eastAsia="Arial" w:hAnsi="Arial"/>
          <w:sz w:val="16"/>
          <w:szCs w:val="16"/>
          <w:color w:val="auto"/>
        </w:rPr>
        <w:t>. The Board of Directors may from time to time, by resolution passed by majority of the whole Board, designate one or more committees, each committee to consist of two or more directors of the Corporation. The Board of Directors may designate one or more directors as alternate members of any committee, who may replace any absent or disqualified member at any meeting of the committee. The resolution of the Board of Directors may, in addition or alternatively, provide that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by law. Any such committee may adopt rules governing the method of calling and date, time and place of holding its meetings. Unless otherwise provided by the Board of Directors, a majority of any such committee shall constitute a quorum for the transaction of business, and the vote of a majority of the members of such committee present at a meeting at which a quorum is present shall be the act of such committee. Each such committee shall keep a record of its acts and proceedings and shall report thereon to the Board of Directors whenever requested so to do. Any or all members of any such committee may be removed, with or without cause, by resolution of the Board of Directors, passed by a majority of the whole Board.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 Agents and Employees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u w:val="single" w:color="auto"/>
          <w:color w:val="auto"/>
        </w:rPr>
        <w:t>Section 4.1 Appointment and Term of Office</w:t>
      </w:r>
      <w:r>
        <w:rPr>
          <w:rFonts w:ascii="Arial" w:cs="Arial" w:eastAsia="Arial" w:hAnsi="Arial"/>
          <w:sz w:val="17"/>
          <w:szCs w:val="17"/>
          <w:color w:val="auto"/>
        </w:rPr>
        <w:t>. The officers of the Corporation shall include a Chairman of the Board, a Chief Executive Officer, a President and a Secretary, and may include a Treasurer, one or more Senior Managing Directors, Managing Directors, Executive Vice Presidents, Senior Vice Presidents and Vice Presidents, and such other officers as the Board of Directors may deem necessary or proper, who shall have such authority and perform such duties as may from time to time be determined by or pursuant to authorization of the Board of Directors. All such officers shall be appointed by the Board of Directors or by a duly authorized committee thereof; provided that the Board of Directors may delegate authority to appoint Senior Vice Presidents and officers holding subordinate rankings (including, without limitation, a Treasurer) to any officer(s) of the Corporation to the extent the appointment of such officer(s) is not required to be made by the Board of Directors or by a duly authorized committee of the Board of Directors in accordance with such committee’s charter. Any number of such offices may be held by the same person. Except as may be prescribed otherwise in a particular case by the Board of Directors, a duly authorized committee thereof or any duly authorized officer(s), all such officers shall hold their offices at the pleasure of the Board of Directors for an unlimited term and need not be reappointed annually or at any other periodic interval.</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Section 4.2 Resignation and Removal</w:t>
      </w:r>
      <w:r>
        <w:rPr>
          <w:rFonts w:ascii="Arial" w:cs="Arial" w:eastAsia="Arial" w:hAnsi="Arial"/>
          <w:sz w:val="18"/>
          <w:szCs w:val="18"/>
          <w:color w:val="auto"/>
        </w:rPr>
        <w:t>. Any officer may resign at any time upon written notice to the Secretary of the Corporation. Any officer, agent or employee of the Corporation may be removed by the Board of Directors, or by a duly authorized committee thereof, with or without cause at any time. The Board of Directors or such a committee thereof may delegate such power of removal as to officers, agents and employees not appointed by the Board of Directors or such a committee.</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u w:val="single" w:color="auto"/>
          <w:color w:val="auto"/>
        </w:rPr>
        <w:t>Section 4.3 Compensation and Bond</w:t>
      </w:r>
      <w:r>
        <w:rPr>
          <w:rFonts w:ascii="Arial" w:cs="Arial" w:eastAsia="Arial" w:hAnsi="Arial"/>
          <w:sz w:val="18"/>
          <w:szCs w:val="18"/>
          <w:color w:val="auto"/>
        </w:rPr>
        <w:t>. The compensation of the officers of the Corporation shall be fixed by the Board of Directors, but this power may be delegated to any officer in respect of other officers under his or her control. The Corporation may secure the fidelity of any or all of its officers, agents or employees by bond or otherwise.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u w:val="single" w:color="auto"/>
          <w:color w:val="auto"/>
        </w:rPr>
        <w:t>Section 4.4 Chairman of the Board</w:t>
      </w:r>
      <w:r>
        <w:rPr>
          <w:rFonts w:ascii="Arial" w:cs="Arial" w:eastAsia="Arial" w:hAnsi="Arial"/>
          <w:sz w:val="18"/>
          <w:szCs w:val="18"/>
          <w:color w:val="auto"/>
        </w:rPr>
        <w:t>. The Chairman of the Board shall preside at all meetings of the Board of Directors and of the shareholders. The Chairman of the Board shall have such other powers and perform such other duties as are prescribed by these Bylaws and as usually pertain to such office and as may be assigned to him or her at any time or from time to time by the Board of Directors.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u w:val="single" w:color="auto"/>
          <w:color w:val="auto"/>
        </w:rPr>
        <w:t>Section 4.5 Chief Executive Officer; President</w:t>
      </w:r>
      <w:r>
        <w:rPr>
          <w:rFonts w:ascii="Arial" w:cs="Arial" w:eastAsia="Arial" w:hAnsi="Arial"/>
          <w:sz w:val="16"/>
          <w:szCs w:val="16"/>
          <w:color w:val="auto"/>
        </w:rPr>
        <w:t>. The Chairman of the Board shall be the Chief Executive Officer of the Corporation, unless the Board of Directors designates the President as Chief Executive Officer. The Chief Executive Officer shall have the responsibility for carrying out the policies of the Board of Directors, subject to the direction of the Board, and shall have general supervision over the business and affairs of the Corporation. In the absence of the Chairman of the Board, the President shall preside at meetings of the Board of Directors and of the shareholders. The Chief Executive Officer or President may employ and discharge employees and agents of the Corporation, except as otherwise prescribed by the Board of Directors, and may delegate these powers. The Chief Executive Officer or President may vote the stock or other securities of any other domestic or foreign corporation of any type or kind which may at any time be owned by the Corporation, may execute any shareholders’ or other consents in respect thereof and may in his or her discretion</w:t>
      </w:r>
    </w:p>
    <w:p>
      <w:pPr>
        <w:sectPr>
          <w:pgSz w:w="11900" w:h="16838" w:orient="portrait"/>
          <w:cols w:equalWidth="0" w:num="1">
            <w:col w:w="11420"/>
          </w:cols>
          <w:pgMar w:left="240" w:top="125" w:right="239" w:bottom="0" w:gutter="0" w:footer="0" w:header="0"/>
        </w:sectPr>
      </w:pPr>
    </w:p>
    <w:bookmarkStart w:id="188" w:name="page189"/>
    <w:bookmarkEnd w:id="188"/>
    <w:p>
      <w:pPr>
        <w:ind w:right="200"/>
        <w:spacing w:after="0" w:line="259" w:lineRule="auto"/>
        <w:rPr>
          <w:sz w:val="20"/>
          <w:szCs w:val="20"/>
          <w:color w:val="auto"/>
        </w:rPr>
      </w:pPr>
      <w:r>
        <w:rPr>
          <w:rFonts w:ascii="Arial" w:cs="Arial" w:eastAsia="Arial" w:hAnsi="Arial"/>
          <w:sz w:val="18"/>
          <w:szCs w:val="18"/>
          <w:color w:val="auto"/>
        </w:rPr>
        <w:t>delegate such powers by executing proxies, or otherwise, on behalf of the Corporation. The Board of Directors by resolution from time to time may confer like powers upon any other person or persons. The Chief Executive Officer and President shall have such other powers and perform such other duties as are prescribed by these Bylaws and as usually pertain to such office and as may be assigned to him or her at any time or from time to time by the Board of Directors.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u w:val="single" w:color="auto"/>
          <w:color w:val="auto"/>
        </w:rPr>
        <w:t>Section 4.6 Managing Directors</w:t>
      </w:r>
      <w:r>
        <w:rPr>
          <w:rFonts w:ascii="Arial" w:cs="Arial" w:eastAsia="Arial" w:hAnsi="Arial"/>
          <w:sz w:val="18"/>
          <w:szCs w:val="18"/>
          <w:color w:val="auto"/>
        </w:rPr>
        <w:t>. Each Senior Managing Director or Managing Director shall have such powers and perform such duties as the Board of Directors, the Chief Executive Officer or the President may from time to time prescribe. In the absence or inability to act of the President, unless the Board of Directors shall otherwise provide, the Senior Managing Director (or if none, the Managing Director) who has served in that capacity for the longest time and who shall be present and able to act, shall perform all the duties and may exercise any of the powers of the President. The performance of any duty by a Senior Managing Director or a Managing Director shall, in respect of any other person dealing with the Corporation, be conclusive evidence of his or her power to act.</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Section 4.7 Vice Presidents</w:t>
      </w:r>
      <w:r>
        <w:rPr>
          <w:rFonts w:ascii="Arial" w:cs="Arial" w:eastAsia="Arial" w:hAnsi="Arial"/>
          <w:sz w:val="18"/>
          <w:szCs w:val="18"/>
          <w:color w:val="auto"/>
        </w:rPr>
        <w:t>. Each Executive Vice President, Senior Vice President and Vice President shall have such powers and perform such duties as the Board of Directors, the Chief Executive Officer or the President may from time to time prescribe. The performance of any duty by an Executive Vice President, Senior Vice President or Vice President shall, in respect of any other person dealing with the Corporation, be conclusive evidence of his or her power to act.</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u w:val="single" w:color="auto"/>
          <w:color w:val="auto"/>
        </w:rPr>
        <w:t>Section 4.8 Treasurer</w:t>
      </w:r>
      <w:r>
        <w:rPr>
          <w:rFonts w:ascii="Arial" w:cs="Arial" w:eastAsia="Arial" w:hAnsi="Arial"/>
          <w:sz w:val="17"/>
          <w:szCs w:val="17"/>
          <w:color w:val="auto"/>
        </w:rPr>
        <w:t>. The Treasurer shall have charge of all funds and securities of the Corporation, shall endorse the same for deposit or collection when necessary and deposit the same to the credit of the Corporation in such banks or depositories as the Board of Directors may authorize. He or she may endorse all commercial documents requiring endorsements for or on behalf of the Corporation and may sign all receipts and vouchers for payments made to the Corporation. He or she shall have all such further powers and duties as generally are incident to the position of Treasurer or as may be assigned to him or her by the Board of Directors, the Chief Executive Officer or the President.</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Section 4.9 Secretary</w:t>
      </w:r>
      <w:r>
        <w:rPr>
          <w:rFonts w:ascii="Arial" w:cs="Arial" w:eastAsia="Arial" w:hAnsi="Arial"/>
          <w:sz w:val="18"/>
          <w:szCs w:val="18"/>
          <w:color w:val="auto"/>
        </w:rPr>
        <w:t>. The Secretary shall record all the proceedings of the meetings of the shareholders and directors in a book to be kept for that purpose and shall also record therein all action taken by written consent of the shareholders or directors in lieu of a meeting. He or she shall attend to the giving and serving of all notices of the Corporation. The Secretary shall have custody of the seal of the Corporation and shall attest the same by his or her signature whenever required. The Secretary shall have charge of the stock ledger and such other books and papers as the Board of Directors may direct, but he or she may delegate responsibility for maintaining the stock ledger to any transfer agent appointed by the Board of Directors. He or she shall have all such further powers and duties as generally are incident to the position of Secretary or as may be assigned to him or her by the Board of Directors, the Chief Executive Officer or the President.</w:t>
      </w:r>
    </w:p>
    <w:p>
      <w:pPr>
        <w:spacing w:after="0" w:line="18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u w:val="single" w:color="auto"/>
          <w:color w:val="auto"/>
        </w:rPr>
        <w:t>Section 4.10 Assistant Treasurers</w:t>
      </w:r>
      <w:r>
        <w:rPr>
          <w:rFonts w:ascii="Arial" w:cs="Arial" w:eastAsia="Arial" w:hAnsi="Arial"/>
          <w:sz w:val="18"/>
          <w:szCs w:val="18"/>
          <w:color w:val="auto"/>
        </w:rPr>
        <w:t>. In the absence or inability to act of the Treasurer, any Assistant Treasurer may perform all the duties and exercise all the powers of the Treasurer. The performance of any such duty shall, in respect of any other person dealing with the Corporation, be conclusive evidence of his or her power to act. An Assistant Treasurer shall also perform such other duties as the Treasurer, the Board of Directors, the Chief Executive Officer or the President may assign to him or her.</w:t>
      </w:r>
    </w:p>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u w:val="single" w:color="auto"/>
          <w:color w:val="auto"/>
        </w:rPr>
        <w:t>Section 4.11 Assistant Secretaries</w:t>
      </w:r>
      <w:r>
        <w:rPr>
          <w:rFonts w:ascii="Arial" w:cs="Arial" w:eastAsia="Arial" w:hAnsi="Arial"/>
          <w:sz w:val="18"/>
          <w:szCs w:val="18"/>
          <w:color w:val="auto"/>
        </w:rPr>
        <w:t>. In the absence or inability to act of the Secretary, any Assistant Secretary may perform all the duties and exercise all the powers of the Secretary. The performance of any such duty shall, in respect of any other person dealing with the Corporation, be conclusive evidence of his or her power to act. An Assistant Secretary shall also perform such other duties as the Secretary, the Board of Directors, the Chief Executive Officer or the President may assign to him or her.</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u w:val="single" w:color="auto"/>
          <w:color w:val="auto"/>
        </w:rPr>
        <w:t>Section 4.12 Delegation of Duties</w:t>
      </w:r>
      <w:r>
        <w:rPr>
          <w:rFonts w:ascii="Arial" w:cs="Arial" w:eastAsia="Arial" w:hAnsi="Arial"/>
          <w:sz w:val="18"/>
          <w:szCs w:val="18"/>
          <w:color w:val="auto"/>
        </w:rPr>
        <w:t>. In case of the absence of any officer of the Corporation, or for any other reason that the Board of Directors may deem sufficient, the Board of Directors may confer for the time being the powers or duties, or any of them, of such officer upon any other officer or upon any director.</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u w:val="single" w:color="auto"/>
          <w:color w:val="auto"/>
        </w:rPr>
        <w:t>Section 4.13 Loans to Officers, Directors and Employees; Guaranty of Obligations of Officers, Directors and Employees</w:t>
      </w:r>
      <w:r>
        <w:rPr>
          <w:rFonts w:ascii="Arial" w:cs="Arial" w:eastAsia="Arial" w:hAnsi="Arial"/>
          <w:sz w:val="18"/>
          <w:szCs w:val="18"/>
          <w:color w:val="auto"/>
        </w:rPr>
        <w:t>. The Corporation may lend money to, or guarantee any obligation of, or otherwise assist any officer, director or employee of the Corporation or any subsidiary whenever, in the judgment of the Board of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u w:val="single" w:color="auto"/>
          <w:color w:val="auto"/>
        </w:rPr>
        <w:t>Section 5.1 Indemnification of Directors, Officers, Employees and Agents</w:t>
      </w:r>
      <w:r>
        <w:rPr>
          <w:rFonts w:ascii="Arial" w:cs="Arial" w:eastAsia="Arial" w:hAnsi="Arial"/>
          <w:sz w:val="16"/>
          <w:szCs w:val="16"/>
          <w:color w:val="auto"/>
        </w:rPr>
        <w:t>. Any person who was or is a party or is threatened to be made a party to any threatened, pending or completed action, suit or proceeding, whether civil, criminal, administrative or investigative (including any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shall be indemnified by the Corporation, if, as and to the extent authorized by applicable law, against expenses (including attorneys’ fees), judgments, liabilities, fines, costs and amounts paid in settlement actually and reasonably incurred by him or her in connection with the defense or settlement of such action, suit or proceeding. The indemnification expressly provided by applicable law and by these Bylaws in a specific case shall not be deemed exclusive of any other rights to which any person indemnified may be entitled under any lawful agreement, vote of shareholders or disinterested directors or otherwise, both as to action in his or her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6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u w:val="single" w:color="auto"/>
          <w:color w:val="auto"/>
        </w:rPr>
        <w:t>Section 5.2 Insurance</w:t>
      </w:r>
      <w:r>
        <w:rPr>
          <w:rFonts w:ascii="Arial" w:cs="Arial" w:eastAsia="Arial" w:hAnsi="Arial"/>
          <w:sz w:val="18"/>
          <w:szCs w:val="18"/>
          <w:color w:val="auto"/>
        </w:rPr>
        <w:t>. The Corporation may maintain insurance, at its expense, to protect itself and its directors, officers, employees and agents against expenses, judgments, liabilities, fines, costs and amounts paid in settlement, whether or not the Corporation would have the legal power to indemnify them directly against such liability.</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u w:val="single" w:color="auto"/>
          <w:color w:val="auto"/>
        </w:rPr>
        <w:t>Section 5.3 Savings Clause</w:t>
      </w:r>
      <w:r>
        <w:rPr>
          <w:rFonts w:ascii="Arial" w:cs="Arial" w:eastAsia="Arial" w:hAnsi="Arial"/>
          <w:sz w:val="16"/>
          <w:szCs w:val="16"/>
          <w:color w:val="auto"/>
        </w:rPr>
        <w:t>. If any provision or provisions of these Bylaws shall be held to be invalid, illegal or unenforceable for any reason whatsoever: (a) the validity, legality and enforceability of the remaining provisions of these Bylaws (including, without limitation, each portion of any paragraph containing any such provision held to be invalid, illegal or unenforceable, that is not itself held to be invalid, illegal or unenforceable) shall not in any way be affected or impaired thereby; and (b) to the fullest extent possible, the provisions of these Bylaws (including, without limitation, each such portion of any paragraph containing any such provision held to be invalid, illegal or unenforceable) shall be construed so as to give effect to the intent manifested by the provision held invalid, illegal or unenforceable. Without limiting the generality of the foregoing, if this Article or any portion of it is invalidated on any</w:t>
      </w:r>
    </w:p>
    <w:p>
      <w:pPr>
        <w:sectPr>
          <w:pgSz w:w="11900" w:h="16838" w:orient="portrait"/>
          <w:cols w:equalWidth="0" w:num="1">
            <w:col w:w="11420"/>
          </w:cols>
          <w:pgMar w:left="240" w:top="125" w:right="239" w:bottom="0" w:gutter="0" w:footer="0" w:header="0"/>
        </w:sectPr>
      </w:pPr>
    </w:p>
    <w:bookmarkStart w:id="189" w:name="page190"/>
    <w:bookmarkEnd w:id="189"/>
    <w:p>
      <w:pPr>
        <w:ind w:right="280"/>
        <w:spacing w:after="0" w:line="277" w:lineRule="auto"/>
        <w:rPr>
          <w:sz w:val="20"/>
          <w:szCs w:val="20"/>
          <w:color w:val="auto"/>
        </w:rPr>
      </w:pPr>
      <w:r>
        <w:rPr>
          <w:rFonts w:ascii="Arial" w:cs="Arial" w:eastAsia="Arial" w:hAnsi="Arial"/>
          <w:sz w:val="18"/>
          <w:szCs w:val="18"/>
          <w:color w:val="auto"/>
        </w:rPr>
        <w:t>ground by a court of competent jurisdiction, the Corporation nevertheless shall indemnify each person described in Section 5.1 of this Article to the fullest extent permitted by all portions of this Article that shall not have been invalidated and to the fullest extent permitted by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u w:val="single" w:color="auto"/>
          <w:color w:val="auto"/>
        </w:rPr>
        <w:t>Section 6.1 Certificates</w:t>
      </w:r>
      <w:r>
        <w:rPr>
          <w:rFonts w:ascii="Arial" w:cs="Arial" w:eastAsia="Arial" w:hAnsi="Arial"/>
          <w:sz w:val="16"/>
          <w:szCs w:val="16"/>
          <w:color w:val="auto"/>
        </w:rPr>
        <w:t>. The Board of Directors may authorize the issuance of some or all of the Corporation’s shares of stock of any or all classes or series with or without certificates. Certificates for stock of the Corporation shall be in such form as shall be approved by the Board of Directors and shall be signed in the name of the Corporation by the Chairman of the Board, the President, a Senior Managing Director or a Managing Director, and by the Treasurer or an Assistant Treasurer, or the Secretary or an Assistant Secretary. Such certificates may be sealed with the seal of the Corporation or a facsimile thereof.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u w:val="single" w:color="auto"/>
          <w:color w:val="auto"/>
        </w:rPr>
        <w:t>Section 6.2 Registered Shareholders</w:t>
      </w:r>
      <w:r>
        <w:rPr>
          <w:rFonts w:ascii="Arial" w:cs="Arial" w:eastAsia="Arial" w:hAnsi="Arial"/>
          <w:sz w:val="18"/>
          <w:szCs w:val="18"/>
          <w:color w:val="auto"/>
        </w:rPr>
        <w:t>. No certificate shall be issued for any share until the share is fully paid. The Corporation shall be entitled to treat the holder of record of shares as the holder in fact and, except as otherwise provided by law, shall not be bound to recognize any equitable or other claim to or interest in the shares.</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u w:val="single" w:color="auto"/>
          <w:color w:val="auto"/>
        </w:rPr>
        <w:t>Section 6.3 Transfers of Stock</w:t>
      </w:r>
      <w:r>
        <w:rPr>
          <w:rFonts w:ascii="Arial" w:cs="Arial" w:eastAsia="Arial" w:hAnsi="Arial"/>
          <w:sz w:val="17"/>
          <w:szCs w:val="17"/>
          <w:color w:val="auto"/>
        </w:rPr>
        <w:t>. Transfers of stock shall be made only upon the books of the Corporation by the holder, in person or by duly authorized attorney, and on the surrender of the certificate or certificates for such stock properly endorsed. The Board of Directors shall have the power to make all such rules and regulations, not inconsistent with applicable law, the Articles of Incorporation or these Bylaws, as the Board of Directors may deem appropriate concerning the issue, transfer and registration of certificates for stock of the Corporation. The Board may appoint one or more transfer agents or registrars of transfers, or both, and may require all stock certificates to bear the signature of either or both.</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u w:val="single" w:color="auto"/>
          <w:color w:val="auto"/>
        </w:rPr>
        <w:t>Section 6.4 Lost, Stolen or Destroyed Certificates</w:t>
      </w:r>
      <w:r>
        <w:rPr>
          <w:rFonts w:ascii="Arial" w:cs="Arial" w:eastAsia="Arial" w:hAnsi="Arial"/>
          <w:sz w:val="18"/>
          <w:szCs w:val="18"/>
          <w:color w:val="auto"/>
        </w:rPr>
        <w:t>. The Corporation may issue a new stock certificate in the place of any certificate theretofore issued by it, alleged to have been lost, stolen or destroyed, and the Corporation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any such new certificate. The Board of Directors may require such owner to satisfy other reasonable requirements.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u w:val="single" w:color="auto"/>
          <w:color w:val="auto"/>
        </w:rPr>
        <w:t>Section 6.5 Shareholder Record Date</w:t>
      </w:r>
      <w:r>
        <w:rPr>
          <w:rFonts w:ascii="Arial" w:cs="Arial" w:eastAsia="Arial" w:hAnsi="Arial"/>
          <w:sz w:val="17"/>
          <w:szCs w:val="17"/>
          <w:color w:val="auto"/>
        </w:rPr>
        <w:t>. In order that the Corporation may determine the shareholders entitled to notice of or to vote at any meeting of shareholders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upon which the Board of Directors adopts the resolution fixing such record date nor be more than seventy days before the date of such meeting or other action requiring shareholder determination. Only such shareholders as shall be shareholders of record on the date so fixed shall be entitled to notice of, and to vote at, such meeting and any adjournment thereof, or to give such consent, or to receive payment of such dividend or other distribution, or to exercise such rights in respect of any such change, conversion or exchange of stock, or to participate in such action, as the case may be, notwithstanding any transfer of any stock on the books of the Corporation after any record date so fixed.</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no record date is fixed by the Board of Directors, (i) the record date for determining shareholders entitled to notice of or to vote at a meeting of shareholders shall be at the close of business on the day next preceding the date on which notice is given or, if notice is waived by all shareholders entitled to vote at the meeting, at the close of business on the day next preceding the day on which the meeting is held, (ii) the record date for determining shareholders entitled to express consent to corporate action in writing without a meeting, when no prior action by the Board of Directors is necessary, shall be at the close of business on the day on which the first written consent is expressed by the filing thereof with the Corporation as provided in Section 1.10 of these Bylaws, and (iii) the record date for determining shareholders for any other purpose shall be at the close of business on the day on which the Board of Directors adopts the resolution relating thereto.</w:t>
      </w:r>
    </w:p>
    <w:p>
      <w:pPr>
        <w:spacing w:after="0" w:line="1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determination of shareholders of record entitled to notice of or to vote at a meeting of shareholders shall apply to any adjournment of the meeting; provided, however, that the Board of Directors may fix a new record date for the adjourned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Seal</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u w:val="single" w:color="auto"/>
          <w:color w:val="auto"/>
        </w:rPr>
        <w:t>Section 7.1 Seal</w:t>
      </w:r>
      <w:r>
        <w:rPr>
          <w:rFonts w:ascii="Arial" w:cs="Arial" w:eastAsia="Arial" w:hAnsi="Arial"/>
          <w:sz w:val="18"/>
          <w:szCs w:val="18"/>
          <w:color w:val="auto"/>
        </w:rPr>
        <w:t>. The seal of the Corporation shall be circular in form and shall bear, in addition to any other emblem or device approved by the Board of Directors, the name of the Corporation, the year of its incorporation and the words “Corporate Seal” and “Florida”. The seal may be used by causing it or a facsimile thereof to be impressed or affixed or in any other manner reproduced.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Waiver of Notice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u w:val="single" w:color="auto"/>
          <w:color w:val="auto"/>
        </w:rPr>
        <w:t>Section 8.1 Waiver of Notice</w:t>
      </w:r>
      <w:r>
        <w:rPr>
          <w:rFonts w:ascii="Arial" w:cs="Arial" w:eastAsia="Arial" w:hAnsi="Arial"/>
          <w:sz w:val="18"/>
          <w:szCs w:val="18"/>
          <w:color w:val="auto"/>
        </w:rPr>
        <w:t>. Whenever notice is required to be given by statute or under any provision of the Articles of Incorporation or these Bylaws, a written waiver thereof, signed by the person entitled to notice, whether before or after the time stated therein, shall be deemed equivalent to notice. In the case of a shareholder, such waiver of notice may be signed by such shareholder’s attorney or proxy duly appointed in writing.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shareholders, directors or members of a committee of directors need be specified in any written waiver of notice.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Checks, Notes, Drafts, Etc.</w:t>
      </w:r>
    </w:p>
    <w:p>
      <w:pPr>
        <w:sectPr>
          <w:pgSz w:w="11900" w:h="16838" w:orient="portrait"/>
          <w:cols w:equalWidth="0" w:num="1">
            <w:col w:w="11420"/>
          </w:cols>
          <w:pgMar w:left="240" w:top="125" w:right="239" w:bottom="0" w:gutter="0" w:footer="0" w:header="0"/>
        </w:sectPr>
      </w:pPr>
    </w:p>
    <w:bookmarkStart w:id="190" w:name="page191"/>
    <w:bookmarkEnd w:id="190"/>
    <w:p>
      <w:pPr>
        <w:ind w:firstLine="648"/>
        <w:spacing w:after="0" w:line="264" w:lineRule="auto"/>
        <w:rPr>
          <w:sz w:val="20"/>
          <w:szCs w:val="20"/>
          <w:color w:val="auto"/>
        </w:rPr>
      </w:pPr>
      <w:r>
        <w:rPr>
          <w:rFonts w:ascii="Arial" w:cs="Arial" w:eastAsia="Arial" w:hAnsi="Arial"/>
          <w:sz w:val="18"/>
          <w:szCs w:val="18"/>
          <w:u w:val="single" w:color="auto"/>
          <w:color w:val="auto"/>
        </w:rPr>
        <w:t>Section 9.1 Checks, Notes, Drafts, Etc.</w:t>
      </w:r>
      <w:r>
        <w:rPr>
          <w:rFonts w:ascii="Arial" w:cs="Arial" w:eastAsia="Arial" w:hAnsi="Arial"/>
          <w:sz w:val="18"/>
          <w:szCs w:val="18"/>
          <w:color w:val="auto"/>
        </w:rPr>
        <w:t xml:space="preserve"> Checks, notes, drafts, acceptances, bills of exchange and other orders or obligations for the payment of money shall be signed by such officer or officers or person or persons as the Board of Directors or a duly authorized committee thereof may from time to time designate.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u w:val="single" w:color="auto"/>
          <w:color w:val="auto"/>
        </w:rPr>
        <w:t>Section 10.1 Amendment</w:t>
      </w:r>
      <w:r>
        <w:rPr>
          <w:rFonts w:ascii="Arial" w:cs="Arial" w:eastAsia="Arial" w:hAnsi="Arial"/>
          <w:sz w:val="18"/>
          <w:szCs w:val="18"/>
          <w:color w:val="auto"/>
        </w:rPr>
        <w:t>. These Bylaws or any of them may be altered, amended or repealed, and new Bylaws may be adopted, by the Board of Directors or by the shareholders.</w:t>
      </w:r>
    </w:p>
    <w:p>
      <w:pPr>
        <w:spacing w:after="0" w:line="17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u w:val="single" w:color="auto"/>
          <w:color w:val="auto"/>
        </w:rPr>
        <w:t>Section 10.2 Exclusive Forum</w:t>
      </w:r>
      <w:r>
        <w:rPr>
          <w:rFonts w:ascii="Arial" w:cs="Arial" w:eastAsia="Arial" w:hAnsi="Arial"/>
          <w:sz w:val="16"/>
          <w:szCs w:val="16"/>
          <w:color w:val="auto"/>
        </w:rPr>
        <w:t>. (a) Unless a majority of the Board of Directors, acting on behalf of the Corporation, consents in writing to the selection of an alternative forum, the United States District Court for the Southern District of Florida (or, if such United States District Court does not have jurisdiction, another United States District Court located within Florida or if no United States District Court in Florida has jurisdiction, the Circuit Court located in Palm Beach County in the State of Florida)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shareholders, (iii) any action asserting a claim against the Corporation or any of its directors, officers or other employees arising pursuant to any provision of the Florida Business Corporation Act, the Articles of Incorporation or these Bylaws (in each case, as may be amended from time to time), or (iv) any action asserting a claim against the Corporation or any of its directors, officers or other employees governed by the internal affairs doctrine of the State of Florida (each, a “Covered Proceeding”), in all cases to the fullest extent permitted by law.</w:t>
      </w:r>
    </w:p>
    <w:p>
      <w:pPr>
        <w:spacing w:after="0" w:line="167" w:lineRule="exact"/>
        <w:rPr>
          <w:sz w:val="20"/>
          <w:szCs w:val="20"/>
          <w:color w:val="auto"/>
        </w:rPr>
      </w:pPr>
    </w:p>
    <w:p>
      <w:pPr>
        <w:ind w:right="40" w:firstLine="656"/>
        <w:spacing w:after="0" w:line="302" w:lineRule="auto"/>
        <w:tabs>
          <w:tab w:leader="none" w:pos="90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any Covered Proceeding is filed in a court other than as specified in Section 10.2(a) (a “Foreign Action”) in the name of any shareholder, such shareholder shall be deemed to have consented to (i) the personal jurisdiction of the state and federal courts located within the State of Florida in connection with any action brought in any such court to enforce the immediately preceding clause (a) (an “Enforcement Action”) and (ii) having service of process made upon such shareholder in any such Enforcement Action by service upon such shareholder’s counsel in the Foreign Action as agent for such shareholder.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SC1:4824773.6</w:t>
      </w:r>
    </w:p>
    <w:p>
      <w:pPr>
        <w:sectPr>
          <w:pgSz w:w="11900" w:h="16838" w:orient="portrait"/>
          <w:cols w:equalWidth="0" w:num="1">
            <w:col w:w="11400"/>
          </w:cols>
          <w:pgMar w:left="240" w:top="341" w:right="259" w:bottom="1440" w:gutter="0" w:footer="0" w:header="0"/>
        </w:sectPr>
      </w:pPr>
    </w:p>
    <w:bookmarkStart w:id="191" w:name="page192"/>
    <w:bookmarkEnd w:id="191"/>
    <w:p>
      <w:pPr>
        <w:spacing w:after="0"/>
        <w:tabs>
          <w:tab w:leader="none" w:pos="13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[LOGO] SHARES</w:t>
      </w:r>
    </w:p>
    <w:p>
      <w:pPr>
        <w:spacing w:after="0" w:line="23" w:lineRule="exact"/>
        <w:rPr>
          <w:sz w:val="20"/>
          <w:szCs w:val="20"/>
          <w:color w:val="auto"/>
        </w:rPr>
      </w:pPr>
    </w:p>
    <w:p>
      <w:pPr>
        <w:spacing w:after="0"/>
        <w:tabs>
          <w:tab w:leader="none" w:pos="2680" w:val="left"/>
        </w:tabs>
        <w:rPr>
          <w:sz w:val="20"/>
          <w:szCs w:val="20"/>
          <w:color w:val="auto"/>
        </w:rPr>
      </w:pPr>
      <w:r>
        <w:rPr>
          <w:rFonts w:ascii="Arial" w:cs="Arial" w:eastAsia="Arial" w:hAnsi="Arial"/>
          <w:sz w:val="16"/>
          <w:szCs w:val="16"/>
          <w:color w:val="auto"/>
        </w:rPr>
        <w:t>_______________</w:t>
      </w:r>
      <w:r>
        <w:rPr>
          <w:sz w:val="20"/>
          <w:szCs w:val="20"/>
          <w:color w:val="auto"/>
        </w:rPr>
        <w:tab/>
      </w:r>
      <w:r>
        <w:rPr>
          <w:rFonts w:ascii="Arial" w:cs="Arial" w:eastAsia="Arial" w:hAnsi="Arial"/>
          <w:sz w:val="16"/>
          <w:szCs w:val="16"/>
          <w:color w:val="auto"/>
        </w:rPr>
        <w:t>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SEE REVERSE FOR CERTAIN DEFINITIONS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INCORPORATED UNDER THE LAWS</w:t>
      </w:r>
    </w:p>
    <w:p>
      <w:pPr>
        <w:sectPr>
          <w:pgSz w:w="11900" w:h="16838" w:orient="portrait"/>
          <w:cols w:equalWidth="0" w:num="1">
            <w:col w:w="11420"/>
          </w:cols>
          <w:pgMar w:left="240" w:top="368" w:right="239" w:bottom="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OF THE STATE OF FLORIDA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CUSIP ____________</w:t>
      </w:r>
    </w:p>
    <w:p>
      <w:pPr>
        <w:spacing w:after="0" w:line="201" w:lineRule="exact"/>
        <w:rPr>
          <w:sz w:val="20"/>
          <w:szCs w:val="20"/>
          <w:color w:val="auto"/>
        </w:rPr>
      </w:pPr>
    </w:p>
    <w:p>
      <w:pPr>
        <w:sectPr>
          <w:pgSz w:w="11900" w:h="16838" w:orient="portrait"/>
          <w:cols w:equalWidth="0" w:num="2">
            <w:col w:w="2240" w:space="720"/>
            <w:col w:w="8460"/>
          </w:cols>
          <w:pgMar w:left="240" w:top="368" w:right="239" w:bottom="0" w:gutter="0" w:footer="0" w:header="0"/>
          <w:type w:val="continuous"/>
        </w:sectPr>
      </w:pPr>
    </w:p>
    <w:p>
      <w:pPr>
        <w:spacing w:after="0" w:line="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 __________________ is the owner of ________ (___) fully paid and non-assessable shares of the common stock, par value $.01 per share,</w:t>
      </w:r>
    </w:p>
    <w:p>
      <w:pPr>
        <w:spacing w:after="0" w:line="4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of Ocwen Financial Corporation, transferable only on the books of the Corporation by the holder hereof, in person or by duly authorized attorney, upon surrender of this certificate properly endorsed.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unless countersigned and registered by the 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seal of the Corporation and the facsimile signatures of its duly authorized officers.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Timothy M. Hayes</w:t>
      </w:r>
      <w:r>
        <w:rPr>
          <w:sz w:val="20"/>
          <w:szCs w:val="20"/>
          <w:color w:val="auto"/>
        </w:rPr>
        <w:tab/>
      </w:r>
      <w:r>
        <w:rPr>
          <w:rFonts w:ascii="Arial" w:cs="Arial" w:eastAsia="Arial" w:hAnsi="Arial"/>
          <w:sz w:val="16"/>
          <w:szCs w:val="16"/>
          <w:color w:val="auto"/>
        </w:rPr>
        <w:t>Ronald M. Faris</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Secretary</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&lt;PAGE&gt;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STOCK CERTIFICATE -- BACK SIDE)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CORPORATION WILL FURNISH WITHOUT CHARGE T0 EACH SHAREHOLDER WHO SO REQUESTS A SUMMARY OF THE DESIGNATIONS, RELATIVE RIGHTS, PREFERENCES AND LIMITATIONS APPLICABLE TO EACH CLASS OF SHARES THE CORPORATION IS AUTHORIZED TO ISSUE, AND THE VARIATIONS IN RIGHTS, PREFERENCES AND LIMITATIONS FOR EACH SERIES, IF ANY, WITHIN A CLASS (INCLUDING THE AUTHORITY OF THE BOARD OF DIRECTORS TO DETERMINEVARIATIONS FOR FUTURE SERIES).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JT TEN - as joint tenants with right of survivorship and not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_______Custodian____________ under Uniform Gifts to Minors Act______________</w:t>
      </w:r>
    </w:p>
    <w:p>
      <w:pPr>
        <w:spacing w:after="0" w:line="23"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18"/>
          <w:szCs w:val="18"/>
          <w:color w:val="auto"/>
        </w:rPr>
        <w:t>(Cust) (Minor)</w:t>
      </w:r>
      <w:r>
        <w:rPr>
          <w:sz w:val="20"/>
          <w:szCs w:val="20"/>
          <w:color w:val="auto"/>
        </w:rPr>
        <w:tab/>
      </w:r>
      <w:r>
        <w:rPr>
          <w:rFonts w:ascii="Arial" w:cs="Arial" w:eastAsia="Arial" w:hAnsi="Arial"/>
          <w:sz w:val="15"/>
          <w:szCs w:val="15"/>
          <w:color w:val="auto"/>
        </w:rPr>
        <w:t>(State)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UNIF TRANS MIN ACT - _______Custodian___________ under Uniform Transfers to Minors Act____________</w:t>
      </w:r>
    </w:p>
    <w:p>
      <w:pPr>
        <w:spacing w:after="0" w:line="23"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18"/>
          <w:szCs w:val="18"/>
          <w:color w:val="auto"/>
        </w:rPr>
        <w:t>(Cust) (Minor)</w:t>
      </w:r>
      <w:r>
        <w:rPr>
          <w:sz w:val="20"/>
          <w:szCs w:val="20"/>
          <w:color w:val="auto"/>
        </w:rPr>
        <w:tab/>
      </w:r>
      <w:r>
        <w:rPr>
          <w:rFonts w:ascii="Arial" w:cs="Arial" w:eastAsia="Arial" w:hAnsi="Arial"/>
          <w:sz w:val="15"/>
          <w:szCs w:val="15"/>
          <w:color w:val="auto"/>
        </w:rPr>
        <w:t>(State)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______________________________ hereby sell assign and transfer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IDENTIFYING NUMBER OF ASSIGNEE 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POSTAL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w:t>
      </w:r>
    </w:p>
    <w:p>
      <w:pPr>
        <w:sectPr>
          <w:pgSz w:w="11900" w:h="16838" w:orient="portrait"/>
          <w:cols w:equalWidth="0" w:num="1">
            <w:col w:w="11420"/>
          </w:cols>
          <w:pgMar w:left="240" w:top="368" w:right="239" w:bottom="0" w:gutter="0" w:footer="0" w:header="0"/>
          <w:type w:val="continuous"/>
        </w:sectPr>
      </w:pPr>
    </w:p>
    <w:bookmarkStart w:id="192" w:name="page193"/>
    <w:bookmarkEnd w:id="192"/>
    <w:p>
      <w:pPr>
        <w:spacing w:after="0"/>
        <w:rPr>
          <w:sz w:val="20"/>
          <w:szCs w:val="20"/>
          <w:color w:val="auto"/>
        </w:rPr>
      </w:pPr>
      <w:r>
        <w:rPr>
          <w:rFonts w:ascii="Arial" w:cs="Arial" w:eastAsia="Arial" w:hAnsi="Arial"/>
          <w:sz w:val="16"/>
          <w:szCs w:val="16"/>
          <w:color w:val="auto"/>
        </w:rPr>
        <w:t>_________________________________________________ Shares of common stock represented by this certificate, and do hereby irrevocably constitute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appoint ____________________________________________, Attorney, to transfer the said Shares on the books of the within named Corporation,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 power of substitution in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Notice: The signature to this assignment must correspond with the name written upon the face of this certificate in every particular without alteration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 _____________________________________________</w:t>
      </w:r>
    </w:p>
    <w:p>
      <w:pPr>
        <w:spacing w:after="0" w:line="17" w:lineRule="exact"/>
        <w:rPr>
          <w:sz w:val="20"/>
          <w:szCs w:val="20"/>
          <w:color w:val="auto"/>
        </w:rPr>
      </w:pPr>
    </w:p>
    <w:p>
      <w:pPr>
        <w:ind w:right="4340"/>
        <w:spacing w:after="0" w:line="266" w:lineRule="auto"/>
        <w:rPr>
          <w:sz w:val="20"/>
          <w:szCs w:val="20"/>
          <w:color w:val="auto"/>
        </w:rPr>
      </w:pPr>
      <w:r>
        <w:rPr>
          <w:rFonts w:ascii="Arial" w:cs="Arial" w:eastAsia="Arial" w:hAnsi="Arial"/>
          <w:sz w:val="13"/>
          <w:szCs w:val="13"/>
          <w:color w:val="auto"/>
        </w:rPr>
        <w:t>THE SIGNATURE(S) SHOULD BE GUARANTEED BY AN ELIGIBLE GUARANTOR INSTITUTION (BANKS, STOCKBROKERS, SAVINGS AND LOAN ASSOCIATIONS AND CREDIT UNIONS WITH MEMBERSHIP IN 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APPROVED SIGNATURE GUARANTEE MEDALLION PROGRAM), PURSUANT TO S.E.C. RULE 17Ad-15.</w:t>
      </w:r>
    </w:p>
    <w:p>
      <w:pPr>
        <w:sectPr>
          <w:pgSz w:w="11900" w:h="16838" w:orient="portrait"/>
          <w:cols w:equalWidth="0" w:num="1">
            <w:col w:w="11300"/>
          </w:cols>
          <w:pgMar w:left="240" w:top="125" w:right="359" w:bottom="1440" w:gutter="0" w:footer="0" w:header="0"/>
        </w:sectPr>
      </w:pPr>
    </w:p>
    <w:bookmarkStart w:id="193" w:name="page194"/>
    <w:bookmarkEnd w:id="193"/>
    <w:p>
      <w:pPr>
        <w:spacing w:after="0" w:line="16"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OCWEN FINANCIAL CORPORATION 2017 PERFORMANCE INCENTIVE PLAN DIRECTOR RESTRICTED STOCK UNIT AWARD AGREEMENT</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9"/>
          <w:szCs w:val="19"/>
          <w:b w:val="1"/>
          <w:bCs w:val="1"/>
          <w:color w:val="auto"/>
        </w:rPr>
        <w:t xml:space="preserve">THIS DIRECTOR RESTRICTED STOCK UNIT AWARD AGREEMENT </w:t>
      </w:r>
      <w:r>
        <w:rPr>
          <w:rFonts w:ascii="Arial" w:cs="Arial" w:eastAsia="Arial" w:hAnsi="Arial"/>
          <w:sz w:val="19"/>
          <w:szCs w:val="19"/>
          <w:color w:val="auto"/>
        </w:rPr>
        <w:t>(this “</w:t>
      </w:r>
      <w:r>
        <w:rPr>
          <w:rFonts w:ascii="Arial" w:cs="Arial" w:eastAsia="Arial" w:hAnsi="Arial"/>
          <w:sz w:val="19"/>
          <w:szCs w:val="19"/>
          <w:b w:val="1"/>
          <w:bCs w:val="1"/>
          <w:color w:val="auto"/>
        </w:rPr>
        <w:t>Award Agreement</w:t>
      </w:r>
      <w:r>
        <w:rPr>
          <w:rFonts w:ascii="Arial" w:cs="Arial" w:eastAsia="Arial" w:hAnsi="Arial"/>
          <w:sz w:val="19"/>
          <w:szCs w:val="19"/>
          <w:color w:val="auto"/>
        </w:rPr>
        <w:t>”), dated as of</w:t>
      </w:r>
      <w:r>
        <w:rPr>
          <w:rFonts w:ascii="Arial" w:cs="Arial" w:eastAsia="Arial" w:hAnsi="Arial"/>
          <w:sz w:val="19"/>
          <w:szCs w:val="19"/>
          <w:b w:val="1"/>
          <w:bCs w:val="1"/>
          <w:color w:val="auto"/>
        </w:rPr>
        <w:t xml:space="preserve"> [____________]</w:t>
      </w:r>
      <w:r>
        <w:rPr>
          <w:rFonts w:ascii="Arial" w:cs="Arial" w:eastAsia="Arial" w:hAnsi="Arial"/>
          <w:sz w:val="19"/>
          <w:szCs w:val="19"/>
          <w:color w:val="auto"/>
        </w:rPr>
        <w:t>, by and between Ocwen Financial Corporation, a Florida corporation (the “</w:t>
      </w:r>
      <w:r>
        <w:rPr>
          <w:rFonts w:ascii="Arial" w:cs="Arial" w:eastAsia="Arial" w:hAnsi="Arial"/>
          <w:sz w:val="19"/>
          <w:szCs w:val="19"/>
          <w:b w:val="1"/>
          <w:bCs w:val="1"/>
          <w:color w:val="auto"/>
        </w:rPr>
        <w:t>Corporation</w:t>
      </w:r>
      <w:r>
        <w:rPr>
          <w:rFonts w:ascii="Arial" w:cs="Arial" w:eastAsia="Arial" w:hAnsi="Arial"/>
          <w:sz w:val="19"/>
          <w:szCs w:val="19"/>
          <w:color w:val="auto"/>
        </w:rPr>
        <w:t>”), and</w:t>
      </w:r>
      <w:r>
        <w:rPr>
          <w:rFonts w:ascii="Arial" w:cs="Arial" w:eastAsia="Arial" w:hAnsi="Arial"/>
          <w:sz w:val="19"/>
          <w:szCs w:val="19"/>
          <w:b w:val="1"/>
          <w:bCs w:val="1"/>
          <w:color w:val="auto"/>
        </w:rPr>
        <w:t xml:space="preserve"> [____________] </w:t>
      </w:r>
      <w:r>
        <w:rPr>
          <w:rFonts w:ascii="Arial" w:cs="Arial" w:eastAsia="Arial" w:hAnsi="Arial"/>
          <w:sz w:val="19"/>
          <w:szCs w:val="19"/>
          <w:color w:val="auto"/>
        </w:rPr>
        <w:t>(the</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evidences the award (the “</w:t>
      </w:r>
      <w:r>
        <w:rPr>
          <w:rFonts w:ascii="Arial" w:cs="Arial" w:eastAsia="Arial" w:hAnsi="Arial"/>
          <w:sz w:val="20"/>
          <w:szCs w:val="20"/>
          <w:b w:val="1"/>
          <w:bCs w:val="1"/>
          <w:color w:val="auto"/>
        </w:rPr>
        <w:t>Award</w:t>
      </w:r>
      <w:r>
        <w:rPr>
          <w:rFonts w:ascii="Arial" w:cs="Arial" w:eastAsia="Arial" w:hAnsi="Arial"/>
          <w:sz w:val="20"/>
          <w:szCs w:val="20"/>
          <w:color w:val="auto"/>
        </w:rPr>
        <w:t>”) granted by the Corporation to the Director as to the number of stock units (the “</w:t>
      </w:r>
      <w:r>
        <w:rPr>
          <w:rFonts w:ascii="Arial" w:cs="Arial" w:eastAsia="Arial" w:hAnsi="Arial"/>
          <w:sz w:val="20"/>
          <w:szCs w:val="20"/>
          <w:b w:val="1"/>
          <w:bCs w:val="1"/>
          <w:color w:val="auto"/>
        </w:rPr>
        <w:t>Stock Units</w:t>
      </w:r>
      <w:r>
        <w:rPr>
          <w:rFonts w:ascii="Arial" w:cs="Arial" w:eastAsia="Arial" w:hAnsi="Arial"/>
          <w:sz w:val="20"/>
          <w:szCs w:val="20"/>
          <w:color w:val="auto"/>
        </w:rPr>
        <w: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192405</wp:posOffset>
            </wp:positionV>
            <wp:extent cx="6560185" cy="574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6">
                      <a:extLst>
                        <a:ext uri="{28A0092B-C50C-407E-A947-70E740481C1C}"/>
                      </a:extLst>
                    </a:blip>
                    <a:srcRect/>
                    <a:stretch>
                      <a:fillRect/>
                    </a:stretch>
                  </pic:blipFill>
                  <pic:spPr bwMode="auto">
                    <a:xfrm>
                      <a:off x="0" y="0"/>
                      <a:ext cx="6560185" cy="57467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540" w:type="dxa"/>
        <w:tblCellMar>
          <w:top w:w="0" w:type="dxa"/>
          <w:left w:w="0" w:type="dxa"/>
          <w:bottom w:w="0" w:type="dxa"/>
          <w:right w:w="0" w:type="dxa"/>
        </w:tblCellMar>
      </w:tblPr>
      <w:tr>
        <w:trPr>
          <w:trHeight w:val="256"/>
        </w:trPr>
        <w:tc>
          <w:tcPr>
            <w:tcW w:w="2800" w:type="dxa"/>
            <w:vAlign w:val="bottom"/>
            <w:vMerge w:val="restart"/>
          </w:tcPr>
          <w:p>
            <w:pPr>
              <w:spacing w:after="0"/>
              <w:rPr>
                <w:sz w:val="20"/>
                <w:szCs w:val="20"/>
                <w:color w:val="auto"/>
              </w:rPr>
            </w:pPr>
            <w:r>
              <w:rPr>
                <w:rFonts w:ascii="Arial" w:cs="Arial" w:eastAsia="Arial" w:hAnsi="Arial"/>
                <w:sz w:val="20"/>
                <w:szCs w:val="20"/>
                <w:b w:val="1"/>
                <w:bCs w:val="1"/>
                <w:color w:val="auto"/>
              </w:rPr>
              <w:t>Number of Stock Units:</w:t>
            </w:r>
          </w:p>
        </w:tc>
        <w:tc>
          <w:tcPr>
            <w:tcW w:w="2700" w:type="dxa"/>
            <w:vAlign w:val="bottom"/>
          </w:tcPr>
          <w:p>
            <w:pPr>
              <w:jc w:val="right"/>
              <w:ind w:right="481"/>
              <w:spacing w:after="0"/>
              <w:rPr>
                <w:sz w:val="20"/>
                <w:szCs w:val="20"/>
                <w:color w:val="auto"/>
              </w:rPr>
            </w:pPr>
            <w:r>
              <w:rPr>
                <w:rFonts w:ascii="Arial" w:cs="Arial" w:eastAsia="Arial" w:hAnsi="Arial"/>
                <w:sz w:val="20"/>
                <w:szCs w:val="20"/>
                <w:b w:val="1"/>
                <w:bCs w:val="1"/>
                <w:color w:val="auto"/>
              </w:rPr>
              <w:t>[____________]</w:t>
            </w:r>
          </w:p>
        </w:tc>
        <w:tc>
          <w:tcPr>
            <w:tcW w:w="2120" w:type="dxa"/>
            <w:vAlign w:val="bottom"/>
          </w:tcPr>
          <w:p>
            <w:pPr>
              <w:ind w:left="580"/>
              <w:spacing w:after="0"/>
              <w:rPr>
                <w:sz w:val="20"/>
                <w:szCs w:val="20"/>
                <w:color w:val="auto"/>
              </w:rPr>
            </w:pPr>
            <w:r>
              <w:rPr>
                <w:rFonts w:ascii="Arial" w:cs="Arial" w:eastAsia="Arial" w:hAnsi="Arial"/>
                <w:sz w:val="20"/>
                <w:szCs w:val="20"/>
                <w:b w:val="1"/>
                <w:bCs w:val="1"/>
                <w:color w:val="auto"/>
              </w:rPr>
              <w:t>Award Date:</w:t>
            </w:r>
          </w:p>
        </w:tc>
        <w:tc>
          <w:tcPr>
            <w:tcW w:w="1780" w:type="dxa"/>
            <w:vAlign w:val="bottom"/>
          </w:tcPr>
          <w:p>
            <w:pPr>
              <w:jc w:val="right"/>
              <w:spacing w:after="0"/>
              <w:rPr>
                <w:sz w:val="20"/>
                <w:szCs w:val="20"/>
                <w:color w:val="auto"/>
              </w:rPr>
            </w:pPr>
            <w:r>
              <w:rPr>
                <w:rFonts w:ascii="Arial" w:cs="Arial" w:eastAsia="Arial" w:hAnsi="Arial"/>
                <w:sz w:val="20"/>
                <w:szCs w:val="20"/>
                <w:b w:val="1"/>
                <w:bCs w:val="1"/>
                <w:color w:val="auto"/>
              </w:rPr>
              <w:t>[____________]</w:t>
            </w:r>
          </w:p>
        </w:tc>
        <w:tc>
          <w:tcPr>
            <w:tcW w:w="0" w:type="dxa"/>
            <w:vAlign w:val="bottom"/>
          </w:tcPr>
          <w:p>
            <w:pPr>
              <w:spacing w:after="0"/>
              <w:rPr>
                <w:sz w:val="1"/>
                <w:szCs w:val="1"/>
                <w:color w:val="auto"/>
              </w:rPr>
            </w:pPr>
          </w:p>
        </w:tc>
      </w:tr>
      <w:tr>
        <w:trPr>
          <w:trHeight w:val="108"/>
        </w:trPr>
        <w:tc>
          <w:tcPr>
            <w:tcW w:w="280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660" w:right="120"/>
        <w:spacing w:after="0" w:line="267" w:lineRule="auto"/>
        <w:rPr>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 The Award shall vest as provided in Section 2 of the Terms and Conditions of Stock Unit Award, attached hereto as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Terms</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color w:val="auto"/>
        </w:rPr>
        <w:t>The Award is granted under the Ocwen Financial Corporation 2017 Performance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and is subject to the Terms and the Plan. Capitalized terms not otherwise defined herein shall have the meanings given to them in the Plan. The parties agree to the terms of the Award set forth herein. The Director acknowledges receipt of a copy of the Terms, the Plan and the Prospectus for the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57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OCWEN FINANCIAL CORPORATION,</w:t>
            </w:r>
          </w:p>
        </w:tc>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DIRECTOR</w:t>
            </w:r>
          </w:p>
        </w:tc>
        <w:tc>
          <w:tcPr>
            <w:tcW w:w="0" w:type="dxa"/>
            <w:vAlign w:val="bottom"/>
          </w:tcPr>
          <w:p>
            <w:pPr>
              <w:spacing w:after="0"/>
              <w:rPr>
                <w:sz w:val="1"/>
                <w:szCs w:val="1"/>
                <w:color w:val="auto"/>
              </w:rPr>
            </w:pPr>
          </w:p>
        </w:tc>
      </w:tr>
      <w:tr>
        <w:trPr>
          <w:trHeight w:val="256"/>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a Florida corporation</w:t>
            </w:r>
          </w:p>
        </w:tc>
        <w:tc>
          <w:tcPr>
            <w:tcW w:w="57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By:__________________________________</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___________________________________</w:t>
            </w:r>
          </w:p>
        </w:tc>
        <w:tc>
          <w:tcPr>
            <w:tcW w:w="0" w:type="dxa"/>
            <w:vAlign w:val="bottom"/>
          </w:tcPr>
          <w:p>
            <w:pPr>
              <w:spacing w:after="0"/>
              <w:rPr>
                <w:sz w:val="1"/>
                <w:szCs w:val="1"/>
                <w:color w:val="auto"/>
              </w:rPr>
            </w:pPr>
          </w:p>
        </w:tc>
      </w:tr>
      <w:tr>
        <w:trPr>
          <w:trHeight w:val="250"/>
        </w:trPr>
        <w:tc>
          <w:tcPr>
            <w:tcW w:w="574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0"/>
                <w:szCs w:val="20"/>
                <w:color w:val="auto"/>
              </w:rPr>
              <w:t xml:space="preserve">Print Name: </w:t>
            </w:r>
            <w:r>
              <w:rPr>
                <w:rFonts w:ascii="Arial" w:cs="Arial" w:eastAsia="Arial" w:hAnsi="Arial"/>
                <w:sz w:val="20"/>
                <w:szCs w:val="20"/>
                <w:b w:val="1"/>
                <w:bCs w:val="1"/>
                <w:color w:val="auto"/>
              </w:rPr>
              <w:t>[____________]</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i w:val="1"/>
                <w:iCs w:val="1"/>
                <w:color w:val="auto"/>
              </w:rPr>
              <w:t>Signature</w:t>
            </w:r>
          </w:p>
        </w:tc>
        <w:tc>
          <w:tcPr>
            <w:tcW w:w="0" w:type="dxa"/>
            <w:vAlign w:val="bottom"/>
          </w:tcPr>
          <w:p>
            <w:pPr>
              <w:spacing w:after="0"/>
              <w:rPr>
                <w:sz w:val="1"/>
                <w:szCs w:val="1"/>
                <w:color w:val="auto"/>
              </w:rPr>
            </w:pPr>
          </w:p>
        </w:tc>
      </w:tr>
      <w:tr>
        <w:trPr>
          <w:trHeight w:val="230"/>
        </w:trPr>
        <w:tc>
          <w:tcPr>
            <w:tcW w:w="5740" w:type="dxa"/>
            <w:vAlign w:val="bottom"/>
            <w:tcBorders>
              <w:left w:val="single" w:sz="8" w:color="00000A"/>
              <w:right w:val="single" w:sz="8" w:color="00000A"/>
            </w:tcBorders>
            <w:vMerge w:val="continue"/>
          </w:tcPr>
          <w:p>
            <w:pPr>
              <w:spacing w:after="0"/>
              <w:rPr>
                <w:sz w:val="19"/>
                <w:szCs w:val="19"/>
                <w:color w:val="auto"/>
              </w:rPr>
            </w:pPr>
          </w:p>
        </w:tc>
        <w:tc>
          <w:tcPr>
            <w:tcW w:w="570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b w:val="1"/>
                <w:bCs w:val="1"/>
                <w:color w:val="auto"/>
              </w:rPr>
              <w:t>[____________]</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____________________________________</w:t>
            </w:r>
          </w:p>
        </w:tc>
        <w:tc>
          <w:tcPr>
            <w:tcW w:w="0" w:type="dxa"/>
            <w:vAlign w:val="bottom"/>
          </w:tcPr>
          <w:p>
            <w:pPr>
              <w:spacing w:after="0"/>
              <w:rPr>
                <w:sz w:val="1"/>
                <w:szCs w:val="1"/>
                <w:color w:val="auto"/>
              </w:rPr>
            </w:pPr>
          </w:p>
        </w:tc>
      </w:tr>
      <w:tr>
        <w:trPr>
          <w:trHeight w:val="250"/>
        </w:trPr>
        <w:tc>
          <w:tcPr>
            <w:tcW w:w="5740" w:type="dxa"/>
            <w:vAlign w:val="bottom"/>
            <w:tcBorders>
              <w:left w:val="single" w:sz="8" w:color="00000A"/>
              <w:right w:val="single" w:sz="8" w:color="00000A"/>
            </w:tcBorders>
          </w:tcPr>
          <w:p>
            <w:pPr>
              <w:spacing w:after="0"/>
              <w:rPr>
                <w:sz w:val="21"/>
                <w:szCs w:val="21"/>
                <w:color w:val="auto"/>
              </w:rPr>
            </w:pP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20"/>
                <w:szCs w:val="20"/>
                <w:i w:val="1"/>
                <w:iCs w:val="1"/>
                <w:color w:val="auto"/>
              </w:rPr>
              <w:t>Print Name</w:t>
            </w:r>
          </w:p>
        </w:tc>
        <w:tc>
          <w:tcPr>
            <w:tcW w:w="0" w:type="dxa"/>
            <w:vAlign w:val="bottom"/>
          </w:tcPr>
          <w:p>
            <w:pPr>
              <w:spacing w:after="0"/>
              <w:rPr>
                <w:sz w:val="1"/>
                <w:szCs w:val="1"/>
                <w:color w:val="auto"/>
              </w:rPr>
            </w:pP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TERMS AND CONDITIONS OF STOCK UNIT AWARD</w:t>
      </w:r>
    </w:p>
    <w:p>
      <w:pPr>
        <w:spacing w:after="0" w:line="229" w:lineRule="exact"/>
        <w:rPr>
          <w:sz w:val="20"/>
          <w:szCs w:val="20"/>
          <w:color w:val="auto"/>
        </w:rPr>
      </w:pPr>
    </w:p>
    <w:p>
      <w:pPr>
        <w:jc w:val="both"/>
        <w:ind w:right="20" w:firstLine="656"/>
        <w:spacing w:after="0" w:line="274" w:lineRule="auto"/>
        <w:tabs>
          <w:tab w:leader="none" w:pos="1445"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Units</w:t>
      </w:r>
      <w:r>
        <w:rPr>
          <w:rFonts w:ascii="Arial" w:cs="Arial" w:eastAsia="Arial" w:hAnsi="Arial"/>
          <w:sz w:val="20"/>
          <w:szCs w:val="20"/>
          <w:color w:val="auto"/>
        </w:rPr>
        <w:t>. As used herein, the term “stock unit” shall mean a non-voting unit of measurement which is deemed for</w:t>
      </w:r>
      <w:r>
        <w:rPr>
          <w:rFonts w:ascii="Arial" w:cs="Arial" w:eastAsia="Arial" w:hAnsi="Arial"/>
          <w:sz w:val="20"/>
          <w:szCs w:val="20"/>
          <w:b w:val="1"/>
          <w:bCs w:val="1"/>
          <w:color w:val="auto"/>
        </w:rPr>
        <w:t xml:space="preserve"> </w:t>
      </w:r>
      <w:r>
        <w:rPr>
          <w:rFonts w:ascii="Arial" w:cs="Arial" w:eastAsia="Arial" w:hAnsi="Arial"/>
          <w:sz w:val="20"/>
          <w:szCs w:val="20"/>
          <w:color w:val="auto"/>
        </w:rPr>
        <w:t>bookkeeping purposes to be equivalent to one outstanding share of the Corporation’s Common Stock (subject to adjustment as provided in Section 7.1 of the Plan) solely for purposes of the Plan and this Award Agreement. The Stock Units shall be used solely as a device for the determination of the payment to be made to the Director if such Stock Units vest pursuant to Section 2. The Stock Units shall not be treated as property or as a trust fund of any kind.</w:t>
      </w:r>
    </w:p>
    <w:p>
      <w:pPr>
        <w:spacing w:after="0" w:line="199" w:lineRule="exact"/>
        <w:rPr>
          <w:rFonts w:ascii="Arial" w:cs="Arial" w:eastAsia="Arial" w:hAnsi="Arial"/>
          <w:sz w:val="20"/>
          <w:szCs w:val="20"/>
          <w:b w:val="1"/>
          <w:bCs w:val="1"/>
          <w:color w:val="auto"/>
        </w:rPr>
      </w:pPr>
    </w:p>
    <w:p>
      <w:pPr>
        <w:ind w:left="1000" w:hanging="344"/>
        <w:spacing w:after="0"/>
        <w:tabs>
          <w:tab w:leader="none" w:pos="1000" w:val="left"/>
        </w:tabs>
        <w:numPr>
          <w:ilvl w:val="0"/>
          <w:numId w:val="102"/>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Vesting; Change in Control</w:t>
      </w:r>
      <w:r>
        <w:rPr>
          <w:rFonts w:ascii="Arial" w:cs="Arial" w:eastAsia="Arial" w:hAnsi="Arial"/>
          <w:sz w:val="20"/>
          <w:szCs w:val="20"/>
          <w:color w:val="auto"/>
        </w:rPr>
        <w:t>.</w:t>
      </w:r>
    </w:p>
    <w:p>
      <w:pPr>
        <w:spacing w:after="0" w:line="239" w:lineRule="exact"/>
        <w:rPr>
          <w:rFonts w:ascii="Arial" w:cs="Arial" w:eastAsia="Arial" w:hAnsi="Arial"/>
          <w:sz w:val="22"/>
          <w:szCs w:val="22"/>
          <w:b w:val="1"/>
          <w:bCs w:val="1"/>
          <w:color w:val="auto"/>
        </w:rPr>
      </w:pPr>
    </w:p>
    <w:p>
      <w:pPr>
        <w:jc w:val="both"/>
        <w:ind w:right="20" w:firstLine="1305"/>
        <w:spacing w:after="0" w:line="282" w:lineRule="auto"/>
        <w:tabs>
          <w:tab w:leader="none" w:pos="1797" w:val="left"/>
        </w:tabs>
        <w:numPr>
          <w:ilvl w:val="1"/>
          <w:numId w:val="102"/>
        </w:numPr>
        <w:rPr>
          <w:rFonts w:ascii="Arial" w:cs="Arial" w:eastAsia="Arial" w:hAnsi="Arial"/>
          <w:sz w:val="21"/>
          <w:szCs w:val="21"/>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Section 2(c) below, the Award shall vest with respect to one hundred percent (100%) of the total number of Stock Units subject to the Award on the first anniversary of the Award Date (the “</w:t>
      </w:r>
      <w:r>
        <w:rPr>
          <w:rFonts w:ascii="Arial" w:cs="Arial" w:eastAsia="Arial" w:hAnsi="Arial"/>
          <w:sz w:val="19"/>
          <w:szCs w:val="19"/>
          <w:b w:val="1"/>
          <w:bCs w:val="1"/>
          <w:color w:val="auto"/>
        </w:rPr>
        <w:t>Vesting Date</w:t>
      </w:r>
      <w:r>
        <w:rPr>
          <w:rFonts w:ascii="Arial" w:cs="Arial" w:eastAsia="Arial" w:hAnsi="Arial"/>
          <w:sz w:val="19"/>
          <w:szCs w:val="19"/>
          <w:color w:val="auto"/>
        </w:rPr>
        <w:t>”); provided, however, that if the Director’s Attendance Percentage for the Grant Year (determined in accordance with Section 2(b) below) is less than seventy-five percent (75%), the number of Stock Units that vest on the Vesting Date shall be determined by multiplying (i) the total number of Stock Units subject to the Award by (ii) the Director’s Attendance Percentage for the Grant Year, and any Stock Units that are not vested after giving effect to such determination shall be terminated as of the last day of the Grant Year as provided in Section 7 below.</w:t>
      </w:r>
    </w:p>
    <w:p>
      <w:pPr>
        <w:spacing w:after="0" w:line="195" w:lineRule="exact"/>
        <w:rPr>
          <w:rFonts w:ascii="Arial" w:cs="Arial" w:eastAsia="Arial" w:hAnsi="Arial"/>
          <w:sz w:val="21"/>
          <w:szCs w:val="21"/>
          <w:color w:val="auto"/>
        </w:rPr>
      </w:pPr>
    </w:p>
    <w:p>
      <w:pPr>
        <w:jc w:val="both"/>
        <w:ind w:right="20" w:firstLine="1305"/>
        <w:spacing w:after="0" w:line="267" w:lineRule="auto"/>
        <w:tabs>
          <w:tab w:leader="none" w:pos="1810" w:val="left"/>
        </w:tabs>
        <w:numPr>
          <w:ilvl w:val="1"/>
          <w:numId w:val="102"/>
        </w:numPr>
        <w:rPr>
          <w:rFonts w:ascii="Arial" w:cs="Arial" w:eastAsia="Arial" w:hAnsi="Arial"/>
          <w:sz w:val="22"/>
          <w:szCs w:val="22"/>
          <w:color w:val="auto"/>
        </w:rPr>
      </w:pPr>
      <w:r>
        <w:rPr>
          <w:rFonts w:ascii="Arial" w:cs="Arial" w:eastAsia="Arial" w:hAnsi="Arial"/>
          <w:sz w:val="20"/>
          <w:szCs w:val="20"/>
          <w:u w:val="single" w:color="auto"/>
          <w:color w:val="auto"/>
        </w:rPr>
        <w:t>Definition of Attendance Percentage</w:t>
      </w:r>
      <w:r>
        <w:rPr>
          <w:rFonts w:ascii="Arial" w:cs="Arial" w:eastAsia="Arial" w:hAnsi="Arial"/>
          <w:sz w:val="20"/>
          <w:szCs w:val="20"/>
          <w:color w:val="auto"/>
        </w:rPr>
        <w:t>. For purposes of the Award, the Director’s “</w:t>
      </w:r>
      <w:r>
        <w:rPr>
          <w:rFonts w:ascii="Arial" w:cs="Arial" w:eastAsia="Arial" w:hAnsi="Arial"/>
          <w:sz w:val="20"/>
          <w:szCs w:val="20"/>
          <w:b w:val="1"/>
          <w:bCs w:val="1"/>
          <w:color w:val="auto"/>
        </w:rPr>
        <w:t>Attendance Percentage</w:t>
      </w:r>
      <w:r>
        <w:rPr>
          <w:rFonts w:ascii="Arial" w:cs="Arial" w:eastAsia="Arial" w:hAnsi="Arial"/>
          <w:sz w:val="20"/>
          <w:szCs w:val="20"/>
          <w:color w:val="auto"/>
        </w:rPr>
        <w:t>” means the percentage of the aggregate number of (i) all meetings of the Board held during the period of twelve (12) months commencing on the Award Date (the “</w:t>
      </w:r>
      <w:r>
        <w:rPr>
          <w:rFonts w:ascii="Arial" w:cs="Arial" w:eastAsia="Arial" w:hAnsi="Arial"/>
          <w:sz w:val="20"/>
          <w:szCs w:val="20"/>
          <w:b w:val="1"/>
          <w:bCs w:val="1"/>
          <w:color w:val="auto"/>
        </w:rPr>
        <w:t>Grant Year</w:t>
      </w:r>
      <w:r>
        <w:rPr>
          <w:rFonts w:ascii="Arial" w:cs="Arial" w:eastAsia="Arial" w:hAnsi="Arial"/>
          <w:sz w:val="20"/>
          <w:szCs w:val="20"/>
          <w:color w:val="auto"/>
        </w:rPr>
        <w:t>”) and (ii) all meetings during the Grant Year of Board committees of which the Director is a member at the time of the meeting, that were attended by the Director (either in person or by telephone). If the Director ceases to be a member of the Board prior to the end of the Grant Year (or, if earlier, a Change in Control), the calculation shall remain the same except that the Attendance Percentage shall be determined by including in clause (ii) of the preceding sentence all of the Board committee meetings of any committee on which the Director served on the date of such cessation of service that occurred during the remaining period of the Grant Year following the Director’s cessation of service.</w:t>
      </w:r>
    </w:p>
    <w:p>
      <w:pPr>
        <w:spacing w:after="0" w:line="216" w:lineRule="exact"/>
        <w:rPr>
          <w:rFonts w:ascii="Arial" w:cs="Arial" w:eastAsia="Arial" w:hAnsi="Arial"/>
          <w:sz w:val="22"/>
          <w:szCs w:val="22"/>
          <w:color w:val="auto"/>
        </w:rPr>
      </w:pPr>
    </w:p>
    <w:p>
      <w:pPr>
        <w:jc w:val="both"/>
        <w:ind w:right="20" w:firstLine="1305"/>
        <w:spacing w:after="0" w:line="313" w:lineRule="auto"/>
        <w:tabs>
          <w:tab w:leader="none" w:pos="1797" w:val="left"/>
        </w:tabs>
        <w:numPr>
          <w:ilvl w:val="1"/>
          <w:numId w:val="102"/>
        </w:numPr>
        <w:rPr>
          <w:rFonts w:ascii="Arial" w:cs="Arial" w:eastAsia="Arial" w:hAnsi="Arial"/>
          <w:sz w:val="19"/>
          <w:szCs w:val="19"/>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 other provision herein or in the Plan, if a Change in Control occurs and the Director is a member of the Board immediately prior to such Change in Control, the Award, to the extent then outstanding and unvested, shall become fully vested as of (or, as appropriate to give effect to the acceleration, immediately prior to) the Change in Control.</w:t>
      </w:r>
    </w:p>
    <w:p>
      <w:pPr>
        <w:sectPr>
          <w:pgSz w:w="11900" w:h="16855" w:orient="portrait"/>
          <w:cols w:equalWidth="0" w:num="1">
            <w:col w:w="11440"/>
          </w:cols>
          <w:pgMar w:left="240" w:top="360" w:right="219" w:bottom="0" w:gutter="0" w:footer="0" w:header="0"/>
        </w:sectPr>
      </w:pPr>
    </w:p>
    <w:bookmarkStart w:id="194" w:name="page195"/>
    <w:bookmarkEnd w:id="194"/>
    <w:p>
      <w:pPr>
        <w:spacing w:after="0" w:line="97" w:lineRule="exact"/>
        <w:rPr>
          <w:sz w:val="20"/>
          <w:szCs w:val="20"/>
          <w:color w:val="auto"/>
        </w:rPr>
      </w:pPr>
    </w:p>
    <w:p>
      <w:pPr>
        <w:jc w:val="both"/>
        <w:ind w:left="-656" w:firstLine="656"/>
        <w:spacing w:after="0" w:line="268" w:lineRule="auto"/>
        <w:tabs>
          <w:tab w:leader="none" w:pos="334" w:val="left"/>
        </w:tabs>
        <w:numPr>
          <w:ilvl w:val="0"/>
          <w:numId w:val="10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No Service Commitment</w:t>
      </w:r>
      <w:r>
        <w:rPr>
          <w:rFonts w:ascii="Arial" w:cs="Arial" w:eastAsia="Arial" w:hAnsi="Arial"/>
          <w:sz w:val="20"/>
          <w:szCs w:val="20"/>
          <w:color w:val="auto"/>
        </w:rPr>
        <w:t>. Nothing contained in this Award Agreement or the Plan constitutes a continued service commitment by</w:t>
      </w:r>
      <w:r>
        <w:rPr>
          <w:rFonts w:ascii="Arial" w:cs="Arial" w:eastAsia="Arial" w:hAnsi="Arial"/>
          <w:sz w:val="20"/>
          <w:szCs w:val="20"/>
          <w:b w:val="1"/>
          <w:bCs w:val="1"/>
          <w:color w:val="auto"/>
        </w:rPr>
        <w:t xml:space="preserve"> </w:t>
      </w:r>
      <w:r>
        <w:rPr>
          <w:rFonts w:ascii="Arial" w:cs="Arial" w:eastAsia="Arial" w:hAnsi="Arial"/>
          <w:sz w:val="20"/>
          <w:szCs w:val="20"/>
          <w:color w:val="auto"/>
        </w:rPr>
        <w:t>the Corporation or interferes with the right of the Corporation to increase or decrease the compensation of the Director from the rate in existence at any time.</w:t>
      </w:r>
    </w:p>
    <w:p>
      <w:pPr>
        <w:spacing w:after="0" w:line="203" w:lineRule="exact"/>
        <w:rPr>
          <w:rFonts w:ascii="Arial" w:cs="Arial" w:eastAsia="Arial" w:hAnsi="Arial"/>
          <w:sz w:val="22"/>
          <w:szCs w:val="22"/>
          <w:b w:val="1"/>
          <w:bCs w:val="1"/>
          <w:color w:val="auto"/>
        </w:rPr>
      </w:pPr>
    </w:p>
    <w:p>
      <w:pPr>
        <w:ind w:left="344" w:hanging="344"/>
        <w:spacing w:after="0"/>
        <w:tabs>
          <w:tab w:leader="none" w:pos="344" w:val="left"/>
        </w:tabs>
        <w:numPr>
          <w:ilvl w:val="0"/>
          <w:numId w:val="10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Dividend and Voting Rights</w:t>
      </w:r>
      <w:r>
        <w:rPr>
          <w:rFonts w:ascii="Arial" w:cs="Arial" w:eastAsia="Arial" w:hAnsi="Arial"/>
          <w:sz w:val="20"/>
          <w:szCs w:val="20"/>
          <w:color w:val="auto"/>
        </w:rPr>
        <w:t>.</w:t>
      </w:r>
    </w:p>
    <w:p>
      <w:pPr>
        <w:spacing w:after="0" w:line="239" w:lineRule="exact"/>
        <w:rPr>
          <w:rFonts w:ascii="Arial" w:cs="Arial" w:eastAsia="Arial" w:hAnsi="Arial"/>
          <w:sz w:val="22"/>
          <w:szCs w:val="22"/>
          <w:b w:val="1"/>
          <w:bCs w:val="1"/>
          <w:color w:val="auto"/>
        </w:rPr>
      </w:pPr>
    </w:p>
    <w:p>
      <w:pPr>
        <w:jc w:val="both"/>
        <w:ind w:left="-656" w:firstLine="1305"/>
        <w:spacing w:after="0" w:line="266" w:lineRule="auto"/>
        <w:tabs>
          <w:tab w:leader="none" w:pos="1285" w:val="left"/>
        </w:tabs>
        <w:numPr>
          <w:ilvl w:val="1"/>
          <w:numId w:val="103"/>
        </w:numPr>
        <w:rPr>
          <w:rFonts w:ascii="Arial" w:cs="Arial" w:eastAsia="Arial" w:hAnsi="Arial"/>
          <w:sz w:val="22"/>
          <w:szCs w:val="22"/>
          <w:color w:val="auto"/>
        </w:rPr>
      </w:pPr>
      <w:r>
        <w:rPr>
          <w:rFonts w:ascii="Arial" w:cs="Arial" w:eastAsia="Arial" w:hAnsi="Arial"/>
          <w:sz w:val="20"/>
          <w:szCs w:val="20"/>
          <w:u w:val="single" w:color="auto"/>
          <w:color w:val="auto"/>
        </w:rPr>
        <w:t>Limitations on Rights Associated with Units</w:t>
      </w:r>
      <w:r>
        <w:rPr>
          <w:rFonts w:ascii="Arial" w:cs="Arial" w:eastAsia="Arial" w:hAnsi="Arial"/>
          <w:sz w:val="20"/>
          <w:szCs w:val="20"/>
          <w:color w:val="auto"/>
        </w:rPr>
        <w:t>. The Director shall have no rights as a stockholder of the Corporation, no dividend rights (except as expressly provided in Section 4(b) with respect to dividend equivalent rights) and no voting rights, with respect to the Stock Units and any shares of Common Stock underlying or issuable in respect of such Stock Units until such shares of Common Stock are actually issued to and held of record by the Director. No adjustments will be made for dividends or other rights of a holder for which the record date is prior to the date of issuance of such shares.</w:t>
      </w:r>
    </w:p>
    <w:p>
      <w:pPr>
        <w:spacing w:after="0" w:line="212" w:lineRule="exact"/>
        <w:rPr>
          <w:rFonts w:ascii="Arial" w:cs="Arial" w:eastAsia="Arial" w:hAnsi="Arial"/>
          <w:sz w:val="22"/>
          <w:szCs w:val="22"/>
          <w:color w:val="auto"/>
        </w:rPr>
      </w:pPr>
    </w:p>
    <w:p>
      <w:pPr>
        <w:jc w:val="both"/>
        <w:ind w:left="-656" w:firstLine="1305"/>
        <w:spacing w:after="0" w:line="282" w:lineRule="auto"/>
        <w:tabs>
          <w:tab w:leader="none" w:pos="1351" w:val="left"/>
        </w:tabs>
        <w:numPr>
          <w:ilvl w:val="1"/>
          <w:numId w:val="103"/>
        </w:numPr>
        <w:rPr>
          <w:rFonts w:ascii="Arial" w:cs="Arial" w:eastAsia="Arial" w:hAnsi="Arial"/>
          <w:sz w:val="21"/>
          <w:szCs w:val="21"/>
          <w:color w:val="auto"/>
        </w:rPr>
      </w:pPr>
      <w:r>
        <w:rPr>
          <w:rFonts w:ascii="Arial" w:cs="Arial" w:eastAsia="Arial" w:hAnsi="Arial"/>
          <w:sz w:val="19"/>
          <w:szCs w:val="19"/>
          <w:u w:val="single" w:color="auto"/>
          <w:color w:val="auto"/>
        </w:rPr>
        <w:t>Dividend Equivalent Rights Distributions</w:t>
      </w:r>
      <w:r>
        <w:rPr>
          <w:rFonts w:ascii="Arial" w:cs="Arial" w:eastAsia="Arial" w:hAnsi="Arial"/>
          <w:sz w:val="19"/>
          <w:szCs w:val="19"/>
          <w:color w:val="auto"/>
        </w:rPr>
        <w:t>. As of any date that the Corporation pays an ordinary cash dividend on its Common Stock, the Corporation shall credit the Director with an additional number of Stock Units equal to (i) the per share cash dividend paid by the Corporation on its Common Stock on such date, multiplied by (ii) the total number of Stock Units subject to the Award as of the related dividend payment record date (including any dividend equivalents previously credited hereunder), divided by (iii) the fair market value of a share of Common Stock on the date of payment of such dividend. Any Stock Units credited pursuant to the foregoing provisions of this Section 4(b) shall be subject to the same vesting, payment and other terms, conditions and restrictions as the original Stock Units to which they relate. No crediting of Stock Units shall be made pursuant to this Section 4(b) with respect to any Stock Units which, as of such record date, have either been paid pursuant to Section 6 or terminated pursuant to Section 7.</w:t>
      </w:r>
    </w:p>
    <w:p>
      <w:pPr>
        <w:spacing w:after="0" w:line="195" w:lineRule="exact"/>
        <w:rPr>
          <w:rFonts w:ascii="Arial" w:cs="Arial" w:eastAsia="Arial" w:hAnsi="Arial"/>
          <w:sz w:val="21"/>
          <w:szCs w:val="21"/>
          <w:color w:val="auto"/>
        </w:rPr>
      </w:pPr>
    </w:p>
    <w:p>
      <w:pPr>
        <w:jc w:val="both"/>
        <w:ind w:left="-656" w:firstLine="656"/>
        <w:spacing w:after="0" w:line="317" w:lineRule="auto"/>
        <w:tabs>
          <w:tab w:leader="none" w:pos="348" w:val="left"/>
        </w:tabs>
        <w:numPr>
          <w:ilvl w:val="0"/>
          <w:numId w:val="103"/>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Neither the Award, nor any interest therein or amount or shares payable in respect thereof may be sold,</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transferred, pledged or otherwise disposed of, alienated or encumbered, either voluntarily or involuntarily. The transfer restrictions in the preceding sentence shall not apply to (a) transfers to the Corporation, or (b) transfers by will or the laws of descent and distribution.</w:t>
      </w:r>
    </w:p>
    <w:p>
      <w:pPr>
        <w:spacing w:after="0" w:line="164" w:lineRule="exact"/>
        <w:rPr>
          <w:rFonts w:ascii="Arial" w:cs="Arial" w:eastAsia="Arial" w:hAnsi="Arial"/>
          <w:sz w:val="19"/>
          <w:szCs w:val="19"/>
          <w:b w:val="1"/>
          <w:bCs w:val="1"/>
          <w:color w:val="auto"/>
        </w:rPr>
      </w:pPr>
    </w:p>
    <w:p>
      <w:pPr>
        <w:jc w:val="both"/>
        <w:ind w:left="-656" w:firstLine="656"/>
        <w:spacing w:after="0" w:line="303" w:lineRule="auto"/>
        <w:tabs>
          <w:tab w:leader="none" w:pos="388" w:val="left"/>
        </w:tabs>
        <w:numPr>
          <w:ilvl w:val="0"/>
          <w:numId w:val="103"/>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Timing and Manner of Payment of Stock Units</w:t>
      </w:r>
      <w:r>
        <w:rPr>
          <w:rFonts w:ascii="Arial" w:cs="Arial" w:eastAsia="Arial" w:hAnsi="Arial"/>
          <w:sz w:val="18"/>
          <w:szCs w:val="18"/>
          <w:color w:val="auto"/>
        </w:rPr>
        <w:t>. On or as soon as administratively practical following the Vesting Date, or,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the deferral date specified in the Director’s deferral election under the Corporation’s Deferral Plan for Directors, the Corporation shall deliver to the Director a number of shares of Common Stock (either by delivering one or more certificates for such shares or by entering such shares in book entry form, as determined by the Corporation in its discretion) equal to the number of Stock Units subject to the Award that vested on the Vesting Date. The Corporation’s obligation to deliver shares of Common Stock with respect to vested Stock Units is subject to the condition precedent that the Director or other person entitled under the Plan to receive any shares with respect to the vested Stock Units deliver to the Corporation any representations or other documents or assurances required pursuant to Section 8.1 of the Plan. The Director shall have no further rights with respect to any Stock Units that are paid or that terminate pursuant to Section 7.</w:t>
      </w:r>
    </w:p>
    <w:p>
      <w:pPr>
        <w:spacing w:after="0" w:line="177" w:lineRule="exact"/>
        <w:rPr>
          <w:rFonts w:ascii="Arial" w:cs="Arial" w:eastAsia="Arial" w:hAnsi="Arial"/>
          <w:sz w:val="19"/>
          <w:szCs w:val="19"/>
          <w:b w:val="1"/>
          <w:bCs w:val="1"/>
          <w:color w:val="auto"/>
        </w:rPr>
      </w:pPr>
    </w:p>
    <w:p>
      <w:pPr>
        <w:jc w:val="both"/>
        <w:ind w:left="-656" w:firstLine="656"/>
        <w:spacing w:after="0" w:line="268" w:lineRule="auto"/>
        <w:tabs>
          <w:tab w:leader="none" w:pos="388" w:val="left"/>
        </w:tabs>
        <w:numPr>
          <w:ilvl w:val="0"/>
          <w:numId w:val="10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Termination of Unvested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If all or any portion of the Director’s Stock Units terminate without vesting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 such unvested Stock Units shall automatically terminate and be cancelled as of the applicable termination date without payment of any consideration by the Corporation and without any other action by the Director, or the Director’s beneficiary or personal representative, as the case may be.</w:t>
      </w:r>
    </w:p>
    <w:p>
      <w:pPr>
        <w:spacing w:after="0" w:line="203" w:lineRule="exact"/>
        <w:rPr>
          <w:rFonts w:ascii="Arial" w:cs="Arial" w:eastAsia="Arial" w:hAnsi="Arial"/>
          <w:sz w:val="22"/>
          <w:szCs w:val="22"/>
          <w:b w:val="1"/>
          <w:bCs w:val="1"/>
          <w:color w:val="auto"/>
        </w:rPr>
      </w:pPr>
    </w:p>
    <w:p>
      <w:pPr>
        <w:jc w:val="both"/>
        <w:ind w:left="-656" w:firstLine="656"/>
        <w:spacing w:after="0" w:line="267" w:lineRule="auto"/>
        <w:tabs>
          <w:tab w:leader="none" w:pos="361" w:val="left"/>
        </w:tabs>
        <w:numPr>
          <w:ilvl w:val="0"/>
          <w:numId w:val="10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Adjustments Upon Specified Events</w:t>
      </w:r>
      <w:r>
        <w:rPr>
          <w:rFonts w:ascii="Arial" w:cs="Arial" w:eastAsia="Arial" w:hAnsi="Arial"/>
          <w:sz w:val="20"/>
          <w:szCs w:val="20"/>
          <w:color w:val="auto"/>
        </w:rPr>
        <w:t>. Upon the occurrence of certain events relating to the Corporation’s stock contemplated by</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7.1 of the Plan (including, without limitation, an extraordinary cash dividend on such stock), the Administrator shall make adjustments in accordance with such section in the number of Stock Units then outstanding and the number and kind of securities that may be issued in respect of the Award. No such adjustment shall be made with respect to any ordinary cash dividend for which dividend equivalents are credited pursuant to Section 4(b).</w:t>
      </w:r>
    </w:p>
    <w:p>
      <w:pPr>
        <w:spacing w:after="0" w:line="207" w:lineRule="exact"/>
        <w:rPr>
          <w:rFonts w:ascii="Arial" w:cs="Arial" w:eastAsia="Arial" w:hAnsi="Arial"/>
          <w:sz w:val="22"/>
          <w:szCs w:val="22"/>
          <w:b w:val="1"/>
          <w:bCs w:val="1"/>
          <w:color w:val="auto"/>
        </w:rPr>
      </w:pPr>
    </w:p>
    <w:p>
      <w:pPr>
        <w:jc w:val="both"/>
        <w:ind w:left="-656" w:firstLine="656"/>
        <w:spacing w:after="0" w:line="283" w:lineRule="auto"/>
        <w:tabs>
          <w:tab w:leader="none" w:pos="456" w:val="left"/>
        </w:tabs>
        <w:numPr>
          <w:ilvl w:val="0"/>
          <w:numId w:val="103"/>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The Award and all rights of the Director under this Award Agreement are subject to the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incorporated herein by reference. The Director agrees to be bound by the terms of the Plan and this Award Agreement. The Director acknowledges having read and understanding the Plan, the Prospectus for the Plan, and this Award Agreement. Unless otherwise expressly provided in other sections of this Award Agreement, provisions of the Plan that confer discretionary authority on the Board or the Administrator do not (and shall not be deemed to) create any rights in the Director unless such rights are expressly set forth herein or are otherwise in the sole discretion of the Board or the Administrator so conferred by appropriate action of the Board or the Administrator under the Plan with the stated intention that such action be applicable to this Award.</w:t>
      </w:r>
    </w:p>
    <w:p>
      <w:pPr>
        <w:spacing w:after="0" w:line="195" w:lineRule="exact"/>
        <w:rPr>
          <w:rFonts w:ascii="Arial" w:cs="Arial" w:eastAsia="Arial" w:hAnsi="Arial"/>
          <w:sz w:val="21"/>
          <w:szCs w:val="21"/>
          <w:b w:val="1"/>
          <w:bCs w:val="1"/>
          <w:color w:val="auto"/>
        </w:rPr>
      </w:pPr>
    </w:p>
    <w:p>
      <w:pPr>
        <w:jc w:val="both"/>
        <w:ind w:left="-656" w:firstLine="656"/>
        <w:spacing w:after="0" w:line="283" w:lineRule="auto"/>
        <w:tabs>
          <w:tab w:leader="none" w:pos="591" w:val="left"/>
        </w:tabs>
        <w:numPr>
          <w:ilvl w:val="0"/>
          <w:numId w:val="103"/>
        </w:numPr>
        <w:rPr>
          <w:rFonts w:ascii="Arial" w:cs="Arial" w:eastAsia="Arial" w:hAnsi="Arial"/>
          <w:sz w:val="21"/>
          <w:szCs w:val="21"/>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Award Agreement and the Plan together constitute the entire agreement and supersede all prior</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understandings and agreements, written or oral, of the parties hereto with respect to the subject matter hereof. The Plan and this Award Agreement may be amended pursuant to Section 8.6 of the Plan. Any such amendment must be in writing and signed by the Corporation. Any such amendment that materially and adversely affects the Director’s rights under this Award Agreement requires the consent of the Director in order to be effective with respect to the Award. The Corporation may, however, unilaterally waive any provision hereof in writing to the extent such waiver does not adversely affect the interests of the Director hereunder, but no such waiver shall operate as or be construed to be a subsequent waiver of the same provision or a waiver of any other provision hereof.</w:t>
      </w:r>
    </w:p>
    <w:p>
      <w:pPr>
        <w:spacing w:after="0" w:line="195" w:lineRule="exact"/>
        <w:rPr>
          <w:rFonts w:ascii="Arial" w:cs="Arial" w:eastAsia="Arial" w:hAnsi="Arial"/>
          <w:sz w:val="21"/>
          <w:szCs w:val="21"/>
          <w:b w:val="1"/>
          <w:bCs w:val="1"/>
          <w:color w:val="auto"/>
        </w:rPr>
      </w:pPr>
    </w:p>
    <w:p>
      <w:pPr>
        <w:jc w:val="both"/>
        <w:ind w:left="-656" w:firstLine="656"/>
        <w:spacing w:after="0" w:line="333" w:lineRule="auto"/>
        <w:tabs>
          <w:tab w:leader="none" w:pos="525" w:val="left"/>
        </w:tabs>
        <w:numPr>
          <w:ilvl w:val="0"/>
          <w:numId w:val="103"/>
        </w:numPr>
        <w:rPr>
          <w:rFonts w:ascii="Arial" w:cs="Arial" w:eastAsia="Arial" w:hAnsi="Arial"/>
          <w:sz w:val="18"/>
          <w:szCs w:val="18"/>
          <w:b w:val="1"/>
          <w:bCs w:val="1"/>
          <w:color w:val="auto"/>
        </w:rPr>
      </w:pPr>
      <w:r>
        <w:rPr>
          <w:rFonts w:ascii="Arial" w:cs="Arial" w:eastAsia="Arial" w:hAnsi="Arial"/>
          <w:sz w:val="17"/>
          <w:szCs w:val="17"/>
          <w:b w:val="1"/>
          <w:bCs w:val="1"/>
          <w:u w:val="single" w:color="auto"/>
          <w:color w:val="auto"/>
        </w:rPr>
        <w:t>Limitation on Director’s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confers no rights or interests other than as herein provided. This</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creates only a contractual obligation on the part of the Corporation as to amounts payable and shall not be construed as creating a trust. Neither the Plan nor any underlying program, in and of itself, has any assets. The Director shall have only the rights of a general unsecured creditor of the Corporation with respect to amounts credited and benefits payable, if any, with respect to the Stock Units, and</w:t>
      </w:r>
    </w:p>
    <w:p>
      <w:pPr>
        <w:sectPr>
          <w:pgSz w:w="11900" w:h="16936" w:orient="portrait"/>
          <w:cols w:equalWidth="0" w:num="1">
            <w:col w:w="10764"/>
          </w:cols>
          <w:pgMar w:left="896" w:top="252" w:right="239" w:bottom="0" w:gutter="0" w:footer="0" w:header="0"/>
        </w:sectPr>
      </w:pPr>
    </w:p>
    <w:bookmarkStart w:id="195" w:name="page196"/>
    <w:bookmarkEnd w:id="195"/>
    <w:p>
      <w:pPr>
        <w:spacing w:after="0" w:line="289" w:lineRule="auto"/>
        <w:rPr>
          <w:sz w:val="20"/>
          <w:szCs w:val="20"/>
          <w:color w:val="auto"/>
        </w:rPr>
      </w:pPr>
      <w:r>
        <w:rPr>
          <w:rFonts w:ascii="Arial" w:cs="Arial" w:eastAsia="Arial" w:hAnsi="Arial"/>
          <w:sz w:val="20"/>
          <w:szCs w:val="20"/>
          <w:color w:val="auto"/>
        </w:rPr>
        <w:t>rights no greater than the right to receive the Common Stock as a general unsecured creditor with respect to Stock Units, as and when payable hereunder.</w:t>
      </w:r>
    </w:p>
    <w:p>
      <w:pPr>
        <w:spacing w:after="0" w:line="183" w:lineRule="exact"/>
        <w:rPr>
          <w:sz w:val="20"/>
          <w:szCs w:val="20"/>
          <w:color w:val="auto"/>
        </w:rPr>
      </w:pPr>
    </w:p>
    <w:p>
      <w:pPr>
        <w:ind w:firstLine="656"/>
        <w:spacing w:after="0" w:line="271" w:lineRule="auto"/>
        <w:tabs>
          <w:tab w:leader="none" w:pos="1152" w:val="left"/>
        </w:tabs>
        <w:numPr>
          <w:ilvl w:val="0"/>
          <w:numId w:val="10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Award Agreement may be executed simultaneously in any number of counterparts, each of which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an original but all of which together shall constitute one and the same instrument.</w:t>
      </w:r>
    </w:p>
    <w:p>
      <w:pPr>
        <w:spacing w:after="0" w:line="197" w:lineRule="exact"/>
        <w:rPr>
          <w:rFonts w:ascii="Arial" w:cs="Arial" w:eastAsia="Arial" w:hAnsi="Arial"/>
          <w:sz w:val="22"/>
          <w:szCs w:val="22"/>
          <w:b w:val="1"/>
          <w:bCs w:val="1"/>
          <w:color w:val="auto"/>
        </w:rPr>
      </w:pPr>
    </w:p>
    <w:p>
      <w:pPr>
        <w:ind w:right="20" w:firstLine="656"/>
        <w:spacing w:after="0" w:line="271" w:lineRule="auto"/>
        <w:tabs>
          <w:tab w:leader="none" w:pos="1098" w:val="left"/>
        </w:tabs>
        <w:numPr>
          <w:ilvl w:val="0"/>
          <w:numId w:val="10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Section Headings</w:t>
      </w:r>
      <w:r>
        <w:rPr>
          <w:rFonts w:ascii="Arial" w:cs="Arial" w:eastAsia="Arial" w:hAnsi="Arial"/>
          <w:sz w:val="20"/>
          <w:szCs w:val="20"/>
          <w:color w:val="auto"/>
        </w:rPr>
        <w:t>. The section headings of this Award Agreement are for convenience of reference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alter or affect any provision hereof.</w:t>
      </w:r>
    </w:p>
    <w:p>
      <w:pPr>
        <w:spacing w:after="0" w:line="197" w:lineRule="exact"/>
        <w:rPr>
          <w:rFonts w:ascii="Arial" w:cs="Arial" w:eastAsia="Arial" w:hAnsi="Arial"/>
          <w:sz w:val="22"/>
          <w:szCs w:val="22"/>
          <w:b w:val="1"/>
          <w:bCs w:val="1"/>
          <w:color w:val="auto"/>
        </w:rPr>
      </w:pPr>
    </w:p>
    <w:p>
      <w:pPr>
        <w:ind w:firstLine="656"/>
        <w:spacing w:after="0" w:line="271" w:lineRule="auto"/>
        <w:tabs>
          <w:tab w:leader="none" w:pos="1152" w:val="left"/>
        </w:tabs>
        <w:numPr>
          <w:ilvl w:val="0"/>
          <w:numId w:val="10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Award Agreement shall be governed by and construed and enforced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Florida without regard to conflict of law principles thereunder.</w:t>
      </w:r>
    </w:p>
    <w:p>
      <w:pPr>
        <w:spacing w:after="0" w:line="197" w:lineRule="exact"/>
        <w:rPr>
          <w:rFonts w:ascii="Arial" w:cs="Arial" w:eastAsia="Arial" w:hAnsi="Arial"/>
          <w:sz w:val="22"/>
          <w:szCs w:val="22"/>
          <w:b w:val="1"/>
          <w:bCs w:val="1"/>
          <w:color w:val="auto"/>
        </w:rPr>
      </w:pPr>
    </w:p>
    <w:p>
      <w:pPr>
        <w:ind w:firstLine="656"/>
        <w:spacing w:after="0" w:line="271" w:lineRule="auto"/>
        <w:tabs>
          <w:tab w:leader="none" w:pos="1125" w:val="left"/>
        </w:tabs>
        <w:numPr>
          <w:ilvl w:val="0"/>
          <w:numId w:val="10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Construction</w:t>
      </w:r>
      <w:r>
        <w:rPr>
          <w:rFonts w:ascii="Arial" w:cs="Arial" w:eastAsia="Arial" w:hAnsi="Arial"/>
          <w:sz w:val="20"/>
          <w:szCs w:val="20"/>
          <w:color w:val="auto"/>
        </w:rPr>
        <w:t>. It is intended that the terms of the Award will not result in the imposition of any tax liability pursuant to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409A of the Code. This Award Agreement shall be construed and interpreted consistent with that intent.</w:t>
      </w:r>
    </w:p>
    <w:p>
      <w:pPr>
        <w:spacing w:after="0" w:line="197" w:lineRule="exact"/>
        <w:rPr>
          <w:rFonts w:ascii="Arial" w:cs="Arial" w:eastAsia="Arial" w:hAnsi="Arial"/>
          <w:sz w:val="22"/>
          <w:szCs w:val="22"/>
          <w:b w:val="1"/>
          <w:bCs w:val="1"/>
          <w:color w:val="auto"/>
        </w:rPr>
      </w:pPr>
    </w:p>
    <w:p>
      <w:pPr>
        <w:jc w:val="both"/>
        <w:ind w:right="20" w:firstLine="656"/>
        <w:spacing w:after="0" w:line="310" w:lineRule="auto"/>
        <w:tabs>
          <w:tab w:leader="none" w:pos="1179" w:val="left"/>
        </w:tabs>
        <w:numPr>
          <w:ilvl w:val="0"/>
          <w:numId w:val="104"/>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Clawback Policy</w:t>
      </w:r>
      <w:r>
        <w:rPr>
          <w:rFonts w:ascii="Arial" w:cs="Arial" w:eastAsia="Arial" w:hAnsi="Arial"/>
          <w:sz w:val="18"/>
          <w:szCs w:val="18"/>
          <w:color w:val="auto"/>
        </w:rPr>
        <w:t>. The Stock Units are subject to the terms of any applicable recoupment, clawback or similar policy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as may be in effect from time to time, as well as any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171" w:lineRule="exact"/>
        <w:rPr>
          <w:rFonts w:ascii="Arial" w:cs="Arial" w:eastAsia="Arial" w:hAnsi="Arial"/>
          <w:sz w:val="19"/>
          <w:szCs w:val="19"/>
          <w:b w:val="1"/>
          <w:bCs w:val="1"/>
          <w:color w:val="auto"/>
        </w:rPr>
      </w:pPr>
    </w:p>
    <w:p>
      <w:pPr>
        <w:jc w:val="both"/>
        <w:ind w:firstLine="656"/>
        <w:spacing w:after="0" w:line="268" w:lineRule="auto"/>
        <w:tabs>
          <w:tab w:leader="none" w:pos="1206" w:val="left"/>
        </w:tabs>
        <w:numPr>
          <w:ilvl w:val="0"/>
          <w:numId w:val="10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No Advice Regarding Award</w:t>
      </w:r>
      <w:r>
        <w:rPr>
          <w:rFonts w:ascii="Arial" w:cs="Arial" w:eastAsia="Arial" w:hAnsi="Arial"/>
          <w:sz w:val="20"/>
          <w:szCs w:val="20"/>
          <w:color w:val="auto"/>
        </w:rPr>
        <w:t>. The Director is hereby advised to consult with his or her own tax, legal and/or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advisors with respect to any advice the Director may determine is needed or appropriate with respect to the Award. The Director is responsible for any tax liability that may arise with respect to the Award.</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36"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2"/>
          <w:szCs w:val="22"/>
          <w:b w:val="1"/>
          <w:bCs w:val="1"/>
          <w:u w:val="single" w:color="auto"/>
          <w:color w:val="auto"/>
        </w:rPr>
        <w:t>OCWEN FINANCIAL COPORATION UNITED STATES BASIC SEVERANCE PLAN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February 22, 2019)</w:t>
      </w:r>
    </w:p>
    <w:p>
      <w:pPr>
        <w:spacing w:after="0" w:line="260" w:lineRule="exact"/>
        <w:rPr>
          <w:sz w:val="20"/>
          <w:szCs w:val="20"/>
          <w:color w:val="auto"/>
        </w:rPr>
      </w:pPr>
    </w:p>
    <w:p>
      <w:pPr>
        <w:ind w:left="4260"/>
        <w:spacing w:after="0"/>
        <w:rPr>
          <w:sz w:val="20"/>
          <w:szCs w:val="20"/>
          <w:color w:val="auto"/>
        </w:rPr>
      </w:pPr>
      <w:r>
        <w:rPr>
          <w:rFonts w:ascii="Arial" w:cs="Arial" w:eastAsia="Arial" w:hAnsi="Arial"/>
          <w:sz w:val="22"/>
          <w:szCs w:val="22"/>
          <w:b w:val="1"/>
          <w:bCs w:val="1"/>
          <w:i w:val="1"/>
          <w:iCs w:val="1"/>
          <w:color w:val="auto"/>
        </w:rPr>
        <w:t>Section 1 – General Information</w:t>
      </w:r>
    </w:p>
    <w:p>
      <w:pPr>
        <w:spacing w:after="0" w:line="260" w:lineRule="exact"/>
        <w:rPr>
          <w:sz w:val="20"/>
          <w:szCs w:val="20"/>
          <w:color w:val="auto"/>
        </w:rPr>
      </w:pPr>
    </w:p>
    <w:p>
      <w:pPr>
        <w:jc w:val="both"/>
        <w:ind w:firstLine="4214"/>
        <w:spacing w:after="0" w:line="263" w:lineRule="auto"/>
        <w:rPr>
          <w:sz w:val="20"/>
          <w:szCs w:val="20"/>
          <w:color w:val="auto"/>
        </w:rPr>
      </w:pPr>
      <w:r>
        <w:rPr>
          <w:rFonts w:ascii="Arial" w:cs="Arial" w:eastAsia="Arial" w:hAnsi="Arial"/>
          <w:sz w:val="21"/>
          <w:szCs w:val="21"/>
          <w:color w:val="auto"/>
        </w:rPr>
        <w:t>Ocwen Financial Corporation hereby amends and restates the Ocwen Financial Corporation United States Basic Severance Plan (the “Plan”) effective as of February 22, 2019, without effect to any agreements reached prior to that date. The Plan is intended to be, and shall be administered as, an employee welfare benefit plan as defined in Section 3(1) of the Employee Retirement Income Security Act of 1974, as amended (“ERISA”). This document shall serve as the formal plan document and the summary plan description (“SPD”) for the Plan.</w:t>
      </w:r>
    </w:p>
    <w:p>
      <w:pPr>
        <w:spacing w:after="0" w:line="216" w:lineRule="exact"/>
        <w:rPr>
          <w:sz w:val="20"/>
          <w:szCs w:val="20"/>
          <w:color w:val="auto"/>
        </w:rPr>
      </w:pPr>
    </w:p>
    <w:p>
      <w:pPr>
        <w:jc w:val="both"/>
        <w:ind w:right="160" w:firstLine="4214"/>
        <w:spacing w:after="0" w:line="253" w:lineRule="auto"/>
        <w:rPr>
          <w:sz w:val="20"/>
          <w:szCs w:val="20"/>
          <w:color w:val="auto"/>
        </w:rPr>
      </w:pPr>
      <w:r>
        <w:rPr>
          <w:rFonts w:ascii="Arial" w:cs="Arial" w:eastAsia="Arial" w:hAnsi="Arial"/>
          <w:sz w:val="22"/>
          <w:szCs w:val="22"/>
          <w:color w:val="auto"/>
        </w:rPr>
        <w:t>The Plan is a self-funded severance benefit program that pays certain benefits to Eligible Employees who experience an Eligible Termination of employment from the Company or whose employment terminates, as explained in Section 3 below.</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2—Definitions</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“Affiliated Company”</w:t>
      </w:r>
      <w:r>
        <w:rPr>
          <w:rFonts w:ascii="Arial" w:cs="Arial" w:eastAsia="Arial" w:hAnsi="Arial"/>
          <w:sz w:val="22"/>
          <w:szCs w:val="22"/>
          <w:color w:val="auto"/>
        </w:rPr>
        <w:t xml:space="preserve"> means, as of any date, (i) the Company, and (ii) any company, person or organization which, on such date, (A) is a member of the same controlled group of corporations (within the meaning of Code Section 414(b)) as is the Company; (B) is a trade or business (whether or not incorporated) which controls, is controlled by or is under common control (within the meaning of Code Section 414(c) with the Company; (C) is a member of an affiliated service group (as defined in Code Section 414(m)) which includes the Company; or (D) is required to be aggregated with the Company pursuant to regulations under Code Section 414(o).</w:t>
      </w:r>
    </w:p>
    <w:p>
      <w:pPr>
        <w:spacing w:after="0" w:line="228"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color w:val="auto"/>
        </w:rPr>
        <w:t>“Base Pay”</w:t>
      </w:r>
      <w:r>
        <w:rPr>
          <w:rFonts w:ascii="Arial" w:cs="Arial" w:eastAsia="Arial" w:hAnsi="Arial"/>
          <w:sz w:val="19"/>
          <w:szCs w:val="19"/>
          <w:color w:val="auto"/>
        </w:rPr>
        <w:t xml:space="preserve"> means an employee’s annual salary or wages from the Company at the time of termination. Base Pay shall be determined as reflected on the Company’s payroll and shall not include bonuses, overtime pay, shift premiums, commissions, employer contributions for benefits, incentive or deferred compensation or other additional compensation in any form.</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Ocwen Financial Corporation.</w:t>
      </w:r>
    </w:p>
    <w:p>
      <w:pPr>
        <w:spacing w:after="0" w:line="26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color w:val="auto"/>
        </w:rPr>
        <w:t>“Cause”</w:t>
      </w:r>
      <w:r>
        <w:rPr>
          <w:rFonts w:ascii="Arial" w:cs="Arial" w:eastAsia="Arial" w:hAnsi="Arial"/>
          <w:sz w:val="21"/>
          <w:szCs w:val="21"/>
          <w:color w:val="auto"/>
        </w:rPr>
        <w:t xml:space="preserve"> means the following (as determined by the Company in its sole discretion): dishonesty, fraud or misrepresentation; inability to obtain or retain appropriate licenses; violation of any rule or regulation of any regulatory agency or self-regulatory agency; violation of any policy or rule of the Company or any Affiliated Company; commission of a crime; or any act or omission detrimental to the conduct of the business of the Company or any Affiliated Company.</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 xml:space="preserve">“COBRA” </w:t>
      </w:r>
      <w:r>
        <w:rPr>
          <w:rFonts w:ascii="Arial" w:cs="Arial" w:eastAsia="Arial" w:hAnsi="Arial"/>
          <w:sz w:val="19"/>
          <w:szCs w:val="19"/>
          <w:color w:val="auto"/>
        </w:rPr>
        <w:t>means the Consolidated Omnibus Budget Reconciliation Act of 1985.</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w:t>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Ocwen Financial Corporation and any Affiliated Companies.</w:t>
      </w: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b w:val="1"/>
          <w:bCs w:val="1"/>
          <w:color w:val="auto"/>
        </w:rPr>
        <w:t>“Eligible Employee”</w:t>
      </w:r>
      <w:r>
        <w:rPr>
          <w:rFonts w:ascii="Arial" w:cs="Arial" w:eastAsia="Arial" w:hAnsi="Arial"/>
          <w:sz w:val="21"/>
          <w:szCs w:val="21"/>
          <w:color w:val="auto"/>
        </w:rPr>
        <w:t xml:space="preserve"> means an Employee of the Company who at the time he or she incurs an Eligible Termination is an Employee performing services for the Company (a) in the United States, or (b) as an Expatriate in a country other than the United States. For purposes of this Plan, the term “United States” shall include the fifty states and all territories and dependencies of the United States. Provided, however, that until October 4, 2019, the term “Eligible Employee” shall not include any individual that was an employee of PHH Corporation or any of its affiliates immediately prior to the October 4, 2018 closing of the merger transaction between the Company and PHH Corporation and certain of their affiliates.</w:t>
      </w:r>
    </w:p>
    <w:p>
      <w:pPr>
        <w:spacing w:after="0" w:line="200" w:lineRule="exact"/>
        <w:rPr>
          <w:sz w:val="20"/>
          <w:szCs w:val="20"/>
          <w:color w:val="auto"/>
        </w:rPr>
      </w:pPr>
    </w:p>
    <w:p>
      <w:pPr>
        <w:spacing w:after="0" w:line="27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b w:val="1"/>
          <w:bCs w:val="1"/>
          <w:color w:val="auto"/>
        </w:rPr>
        <w:t xml:space="preserve">“Eligible Termination” </w:t>
      </w:r>
      <w:r>
        <w:rPr>
          <w:rFonts w:ascii="Arial" w:cs="Arial" w:eastAsia="Arial" w:hAnsi="Arial"/>
          <w:sz w:val="19"/>
          <w:szCs w:val="19"/>
          <w:color w:val="auto"/>
        </w:rPr>
        <w:t>means an Employee’s involuntary termination of employment with the Company due to:</w:t>
      </w:r>
    </w:p>
    <w:p>
      <w:pPr>
        <w:spacing w:after="0" w:line="266" w:lineRule="exact"/>
        <w:rPr>
          <w:sz w:val="20"/>
          <w:szCs w:val="20"/>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reduction of force;</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closing of an office or business location;</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downsizing;</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restructuring, reorganization or reengineering of a business group, unit or department;</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 job elimination; or</w:t>
      </w:r>
    </w:p>
    <w:p>
      <w:pPr>
        <w:sectPr>
          <w:pgSz w:w="11900" w:h="16838" w:orient="portrait"/>
          <w:cols w:equalWidth="0" w:num="1">
            <w:col w:w="11420"/>
          </w:cols>
          <w:pgMar w:left="240" w:top="598" w:right="239" w:bottom="0" w:gutter="0" w:footer="0" w:header="0"/>
        </w:sectPr>
      </w:pPr>
    </w:p>
    <w:bookmarkStart w:id="197" w:name="page198"/>
    <w:bookmarkEnd w:id="197"/>
    <w:p>
      <w:pPr>
        <w:ind w:left="660"/>
        <w:spacing w:after="0"/>
        <w:rPr>
          <w:sz w:val="20"/>
          <w:szCs w:val="20"/>
          <w:color w:val="auto"/>
        </w:rPr>
      </w:pPr>
      <w:r>
        <w:rPr>
          <w:rFonts w:ascii="Arial" w:cs="Arial" w:eastAsia="Arial" w:hAnsi="Arial"/>
          <w:sz w:val="22"/>
          <w:szCs w:val="22"/>
          <w:color w:val="auto"/>
        </w:rPr>
        <w:t>(f) such other reason as the Company shall determine in its sole discretion.</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 termination of employment with the Company for any of the following reasons shall not constitute an Eligible Termination:</w:t>
      </w:r>
    </w:p>
    <w:p>
      <w:pPr>
        <w:spacing w:after="0" w:line="295" w:lineRule="exact"/>
        <w:rPr>
          <w:sz w:val="20"/>
          <w:szCs w:val="20"/>
          <w:color w:val="auto"/>
        </w:rPr>
      </w:pPr>
    </w:p>
    <w:p>
      <w:pPr>
        <w:jc w:val="both"/>
        <w:ind w:left="980" w:hanging="324"/>
        <w:spacing w:after="0" w:line="253" w:lineRule="auto"/>
        <w:tabs>
          <w:tab w:leader="none" w:pos="9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transfer of any Employee to any (1) Affiliated Company, or (2) entity which is controlled by the Company through the ownership of a majority of its voting stock (or other equivalent ownership interest), either directly or indirectly through one or more intermediaries;</w:t>
      </w:r>
    </w:p>
    <w:p>
      <w:pPr>
        <w:spacing w:after="0" w:line="226" w:lineRule="exact"/>
        <w:rPr>
          <w:rFonts w:ascii="Arial" w:cs="Arial" w:eastAsia="Arial" w:hAnsi="Arial"/>
          <w:sz w:val="22"/>
          <w:szCs w:val="22"/>
          <w:color w:val="auto"/>
        </w:rPr>
      </w:pPr>
    </w:p>
    <w:p>
      <w:pPr>
        <w:ind w:left="1200" w:hanging="544"/>
        <w:spacing w:after="0"/>
        <w:tabs>
          <w:tab w:leader="none" w:pos="12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voluntary termination of employment, unless so determined by the Company;</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voluntary retirement;</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death;</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Cause;</w:t>
      </w:r>
    </w:p>
    <w:p>
      <w:pPr>
        <w:spacing w:after="0" w:line="260"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inability to perform the basic requirements of his or her position with or without reasonable accommodation due to physical or mental incapacity and after the Employee’s short-term disability benefits have expired under the terms of any applicable Company-sponsored benefits plan;</w:t>
      </w:r>
    </w:p>
    <w:p>
      <w:pPr>
        <w:spacing w:after="0" w:line="226" w:lineRule="exact"/>
        <w:rPr>
          <w:rFonts w:ascii="Arial" w:cs="Arial" w:eastAsia="Arial" w:hAnsi="Arial"/>
          <w:sz w:val="22"/>
          <w:szCs w:val="22"/>
          <w:color w:val="auto"/>
        </w:rPr>
      </w:pPr>
    </w:p>
    <w:p>
      <w:pPr>
        <w:ind w:left="1200" w:hanging="544"/>
        <w:spacing w:after="0"/>
        <w:tabs>
          <w:tab w:leader="none" w:pos="12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failure to return from an approved leave of absence;</w:t>
      </w:r>
    </w:p>
    <w:p>
      <w:pPr>
        <w:spacing w:after="0" w:line="260" w:lineRule="exact"/>
        <w:rPr>
          <w:rFonts w:ascii="Arial" w:cs="Arial" w:eastAsia="Arial" w:hAnsi="Arial"/>
          <w:sz w:val="22"/>
          <w:szCs w:val="22"/>
          <w:color w:val="auto"/>
        </w:rPr>
      </w:pPr>
    </w:p>
    <w:p>
      <w:pPr>
        <w:ind w:left="980" w:right="560" w:hanging="324"/>
        <w:spacing w:after="0" w:line="263" w:lineRule="auto"/>
        <w:tabs>
          <w:tab w:leader="none" w:pos="9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“change in control,” as that term is defined in the Ocwen Financial Corporation United States Change in Control Severance Plan.</w:t>
      </w:r>
    </w:p>
    <w:p>
      <w:pPr>
        <w:spacing w:after="0" w:line="215" w:lineRule="exact"/>
        <w:rPr>
          <w:sz w:val="20"/>
          <w:szCs w:val="20"/>
          <w:color w:val="auto"/>
        </w:rPr>
      </w:pPr>
    </w:p>
    <w:p>
      <w:pPr>
        <w:jc w:val="both"/>
        <w:ind w:firstLine="4214"/>
        <w:spacing w:after="0" w:line="250" w:lineRule="auto"/>
        <w:rPr>
          <w:sz w:val="20"/>
          <w:szCs w:val="20"/>
          <w:color w:val="auto"/>
        </w:rPr>
      </w:pPr>
      <w:r>
        <w:rPr>
          <w:rFonts w:ascii="Arial" w:cs="Arial" w:eastAsia="Arial" w:hAnsi="Arial"/>
          <w:sz w:val="22"/>
          <w:szCs w:val="22"/>
          <w:color w:val="auto"/>
        </w:rPr>
        <w:t>Notwithstanding anything else herein to the contrary, an Eligible Termination shall not occur for purposes of the Plan unless and until the Eligible Employee has had a “separation from service” within the meaning of Section 409A of the Code, as amended, and the regulations and other guidance promulgated thereunder, except as otherwise provided below.</w:t>
      </w:r>
    </w:p>
    <w:p>
      <w:pPr>
        <w:spacing w:after="0" w:line="229" w:lineRule="exact"/>
        <w:rPr>
          <w:sz w:val="20"/>
          <w:szCs w:val="20"/>
          <w:color w:val="auto"/>
        </w:rPr>
      </w:pPr>
    </w:p>
    <w:p>
      <w:pPr>
        <w:jc w:val="both"/>
        <w:ind w:firstLine="4214"/>
        <w:spacing w:after="0" w:line="248" w:lineRule="auto"/>
        <w:rPr>
          <w:sz w:val="20"/>
          <w:szCs w:val="20"/>
          <w:color w:val="auto"/>
        </w:rPr>
      </w:pPr>
      <w:r>
        <w:rPr>
          <w:rFonts w:ascii="Arial" w:cs="Arial" w:eastAsia="Arial" w:hAnsi="Arial"/>
          <w:sz w:val="22"/>
          <w:szCs w:val="22"/>
          <w:color w:val="auto"/>
        </w:rPr>
        <w:t>An Employee whose employment with the Company is relocated to a different job location shall be considered to have experienced an “involuntary termination of employment” only if the Employee’s new job location is more than 50 miles from the Employee’s prior location; otherwise, such relocation shall not be considered an “involuntary termination of employment.” If the Employee is offered a telecommuting position, he or she shall not be considered to have experienced an “involuntary termination of employment.”</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b w:val="1"/>
          <w:bCs w:val="1"/>
          <w:color w:val="auto"/>
        </w:rPr>
        <w:t>“Employee”</w:t>
      </w:r>
      <w:r>
        <w:rPr>
          <w:rFonts w:ascii="Arial" w:cs="Arial" w:eastAsia="Arial" w:hAnsi="Arial"/>
          <w:sz w:val="22"/>
          <w:szCs w:val="22"/>
          <w:color w:val="auto"/>
        </w:rPr>
        <w:t xml:space="preserve"> means any individual who is compensated by the Company for services actually rendered as a regular full-time or regular part-time (but not a temporary) employee. “Employee” shall not include:</w:t>
      </w:r>
    </w:p>
    <w:p>
      <w:pPr>
        <w:spacing w:after="0" w:line="209" w:lineRule="exact"/>
        <w:rPr>
          <w:sz w:val="20"/>
          <w:szCs w:val="20"/>
          <w:color w:val="auto"/>
        </w:rPr>
      </w:pPr>
    </w:p>
    <w:p>
      <w:pPr>
        <w:jc w:val="both"/>
        <w:ind w:left="1300" w:hanging="644"/>
        <w:spacing w:after="0" w:line="253" w:lineRule="auto"/>
        <w:tabs>
          <w:tab w:leader="none" w:pos="130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individual who is performing services under an independent contractor or consultant agreement or arrangement (even if a court, the Internal Revenue Service, or any other entity determines that such individual is a common law employee);</w:t>
      </w:r>
    </w:p>
    <w:p>
      <w:pPr>
        <w:spacing w:after="0" w:line="226"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individual providing services for the Company pursuant to an agreement between the Company and a third party (even if a court, the Internal Revenue Service, or any other entity determines that such individual is a common law employee);</w:t>
      </w:r>
    </w:p>
    <w:p>
      <w:pPr>
        <w:spacing w:after="0" w:line="226" w:lineRule="exact"/>
        <w:rPr>
          <w:rFonts w:ascii="Arial" w:cs="Arial" w:eastAsia="Arial" w:hAnsi="Arial"/>
          <w:sz w:val="22"/>
          <w:szCs w:val="22"/>
          <w:color w:val="auto"/>
        </w:rPr>
      </w:pPr>
    </w:p>
    <w:p>
      <w:pPr>
        <w:ind w:right="80" w:firstLine="332"/>
        <w:spacing w:after="0" w:line="253" w:lineRule="auto"/>
        <w:tabs>
          <w:tab w:leader="none" w:pos="7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person who performs services for the Company but who is treated for payroll purposes as other than an Employee of the Company (even if a court, the Internal Revenue Service, or any other entity determines that such individual is a common law employee).</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w:t>
      </w:r>
    </w:p>
    <w:p>
      <w:pPr>
        <w:spacing w:after="0" w:line="260"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color w:val="auto"/>
        </w:rPr>
        <w:t>“Expatriate”</w:t>
      </w:r>
      <w:r>
        <w:rPr>
          <w:rFonts w:ascii="Arial" w:cs="Arial" w:eastAsia="Arial" w:hAnsi="Arial"/>
          <w:sz w:val="22"/>
          <w:szCs w:val="22"/>
          <w:color w:val="auto"/>
        </w:rPr>
        <w:t xml:space="preserve"> means an Employee of a Company who, at the time he or she incurs an Eligible Termination, is designated by the Company as being on assignment as a United States expatriate on behalf of the Company.</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 xml:space="preserve">“Month of Base Pay” </w:t>
      </w:r>
      <w:r>
        <w:rPr>
          <w:rFonts w:ascii="Arial" w:cs="Arial" w:eastAsia="Arial" w:hAnsi="Arial"/>
          <w:sz w:val="19"/>
          <w:szCs w:val="19"/>
          <w:color w:val="auto"/>
        </w:rPr>
        <w:t>means one twelfth (1/12) of the Eligible Employee’s Base Pay.</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Ocwen Financial Corporation United States Basic Severance Plan described herein.</w:t>
      </w:r>
    </w:p>
    <w:p>
      <w:pPr>
        <w:spacing w:after="0" w:line="260" w:lineRule="exact"/>
        <w:rPr>
          <w:sz w:val="20"/>
          <w:szCs w:val="20"/>
          <w:color w:val="auto"/>
        </w:rPr>
      </w:pPr>
    </w:p>
    <w:p>
      <w:pPr>
        <w:jc w:val="both"/>
        <w:ind w:right="140"/>
        <w:spacing w:after="0" w:line="256" w:lineRule="auto"/>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b w:val="1"/>
          <w:bCs w:val="1"/>
          <w:color w:val="auto"/>
        </w:rPr>
        <w:t>“Plan Administrator”</w:t>
      </w:r>
      <w:r>
        <w:rPr>
          <w:rFonts w:ascii="Arial" w:cs="Arial" w:eastAsia="Arial" w:hAnsi="Arial"/>
          <w:sz w:val="22"/>
          <w:szCs w:val="22"/>
          <w:color w:val="auto"/>
        </w:rPr>
        <w:t xml:space="preserve"> shall mean Ocwen Financial Corporation or such other person or committee appointed from time to time by Ocwen Financial Corporation to administer the Plan. Until a successor is appointed by Ocwen Financial Corporation, the Plan Administrator shall be Ocwen Financial Corporation.</w:t>
      </w:r>
    </w:p>
    <w:p>
      <w:pPr>
        <w:sectPr>
          <w:pgSz w:w="11900" w:h="16838" w:orient="portrait"/>
          <w:cols w:equalWidth="0" w:num="1">
            <w:col w:w="11420"/>
          </w:cols>
          <w:pgMar w:left="240" w:top="388" w:right="239" w:bottom="0" w:gutter="0" w:footer="0" w:header="0"/>
        </w:sectPr>
      </w:pPr>
    </w:p>
    <w:bookmarkStart w:id="198" w:name="page199"/>
    <w:bookmarkEnd w:id="198"/>
    <w:p>
      <w:pPr>
        <w:spacing w:after="0" w:line="2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2.16 </w:t>
      </w:r>
      <w:r>
        <w:rPr>
          <w:rFonts w:ascii="Arial" w:cs="Arial" w:eastAsia="Arial" w:hAnsi="Arial"/>
          <w:sz w:val="21"/>
          <w:szCs w:val="21"/>
          <w:b w:val="1"/>
          <w:bCs w:val="1"/>
          <w:color w:val="auto"/>
        </w:rPr>
        <w:t>“Separation Agreement and General Release”</w:t>
      </w:r>
      <w:r>
        <w:rPr>
          <w:rFonts w:ascii="Arial" w:cs="Arial" w:eastAsia="Arial" w:hAnsi="Arial"/>
          <w:sz w:val="21"/>
          <w:szCs w:val="21"/>
          <w:color w:val="auto"/>
        </w:rPr>
        <w:t xml:space="preserve"> means a written document that includes a release of rights and claims from an Eligible Employee in a form that is satisfactory to, and approved by, the Company. The Separation Agreement and General Release may include, among other things: (a) non-competition and/or non-solicitation provisions; (b) a waiver and release (and covenant not to sue) of any and all claims, including claims arising from the Eligible Employee’s employment and/or separation from employment with the Company except as limited and/or prohibited by applicable law; (c) nondisclosure and confidentiality provisions; and (d) non-disparagement provisions.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b w:val="1"/>
          <w:bCs w:val="1"/>
          <w:color w:val="auto"/>
        </w:rPr>
        <w:t xml:space="preserve">“Severance Pay” </w:t>
      </w:r>
      <w:r>
        <w:rPr>
          <w:rFonts w:ascii="Arial" w:cs="Arial" w:eastAsia="Arial" w:hAnsi="Arial"/>
          <w:sz w:val="19"/>
          <w:szCs w:val="19"/>
          <w:color w:val="auto"/>
        </w:rPr>
        <w:t>means the amount, if any, payable under Section 3 of the Plan to an Eligible Employee.</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color w:val="auto"/>
        </w:rPr>
        <w:t xml:space="preserve">“Week of Base Pay” </w:t>
      </w:r>
      <w:r>
        <w:rPr>
          <w:rFonts w:ascii="Arial" w:cs="Arial" w:eastAsia="Arial" w:hAnsi="Arial"/>
          <w:sz w:val="19"/>
          <w:szCs w:val="19"/>
          <w:color w:val="auto"/>
        </w:rPr>
        <w:t>means one fifty-second (1/52) of the Eligible Employee’s Base Pay.</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2.19 </w:t>
      </w:r>
      <w:r>
        <w:rPr>
          <w:rFonts w:ascii="Arial" w:cs="Arial" w:eastAsia="Arial" w:hAnsi="Arial"/>
          <w:sz w:val="21"/>
          <w:szCs w:val="21"/>
          <w:b w:val="1"/>
          <w:bCs w:val="1"/>
          <w:color w:val="auto"/>
        </w:rPr>
        <w:t>“Year of Service”</w:t>
      </w:r>
      <w:r>
        <w:rPr>
          <w:rFonts w:ascii="Arial" w:cs="Arial" w:eastAsia="Arial" w:hAnsi="Arial"/>
          <w:sz w:val="21"/>
          <w:szCs w:val="21"/>
          <w:color w:val="auto"/>
        </w:rPr>
        <w:t xml:space="preserve"> means a 12-month period of employment with the Company. A period of service shorter than 12 months will be considered a partial Year of Service. For example, an Eligible Employee who has worked five years and six months will have accrued five and one-half (5.5) Years of Service. If an Eligible Employee previously terminated employment with the Company and was subsequently rehired, the prior service with the Company will be counted towards the total Years of Service only if he/she was rehired less than twelve months before the Eligible Termination.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3—Severance Benefits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i w:val="1"/>
          <w:iCs w:val="1"/>
          <w:color w:val="auto"/>
        </w:rPr>
        <w:t>Eligible Terminations.</w:t>
      </w:r>
      <w:r>
        <w:rPr>
          <w:rFonts w:ascii="Arial" w:cs="Arial" w:eastAsia="Arial" w:hAnsi="Arial"/>
          <w:sz w:val="22"/>
          <w:szCs w:val="22"/>
          <w:color w:val="auto"/>
        </w:rPr>
        <w:t xml:space="preserve"> If an Eligible Employee’s employment with the Company shall terminate following the Effective Date of this Plan and such termination constitutes an Eligible Termination, the Company shall pay or provide the Eligible Employee with the following benefits:</w:t>
      </w:r>
    </w:p>
    <w:p>
      <w:pPr>
        <w:spacing w:after="0" w:line="226"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following Severance Pay:</w:t>
      </w:r>
    </w:p>
    <w:p>
      <w:pPr>
        <w:spacing w:after="0" w:line="260"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For an Eligible Employee holding the title of Executive Vice President at the time of his/her termination: 18 Months of Base Pay.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For an Eligible Employee holding the title of Senior Vice President at the time of his/her termination: 12 Months of Base Pay.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For an Eligible Employee holding the title of Vice President or Director at the time of his/her termination: 6 Months of Base Pay.</w:t>
      </w:r>
    </w:p>
    <w:p>
      <w:pPr>
        <w:spacing w:after="0" w:line="215"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For an Eligible Employee that is considered exempt under FLSA and holding the title of senior manager, manager, assistant manager, team lead, supervisor or employee at the time of his/her termination: 2 Weeks of Base Pay per Year of Service, with a minimum payment of 4 Weeks of Base Pay and a maximum payment of 26 Weeks of Base Pay.</w:t>
      </w:r>
    </w:p>
    <w:p>
      <w:pPr>
        <w:spacing w:after="0" w:line="228"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For an Eligible Employee that is non-exempt under FLSA at the time of his/her termination: 1 Weeks of Base Pay per Year of Service, with a minimum payment of 2 Weeks of Base Pay and a maximum payment of 13 Weeks of Base Pay.</w:t>
      </w:r>
    </w:p>
    <w:p>
      <w:pPr>
        <w:spacing w:after="0" w:line="226" w:lineRule="exact"/>
        <w:rPr>
          <w:rFonts w:ascii="Arial" w:cs="Arial" w:eastAsia="Arial" w:hAnsi="Arial"/>
          <w:sz w:val="22"/>
          <w:szCs w:val="22"/>
          <w:color w:val="auto"/>
        </w:rPr>
      </w:pPr>
    </w:p>
    <w:p>
      <w:pPr>
        <w:jc w:val="both"/>
        <w:ind w:left="980" w:hanging="324"/>
        <w:spacing w:after="0" w:line="259" w:lineRule="auto"/>
        <w:tabs>
          <w:tab w:leader="none" w:pos="98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following subsidy of COBRA continuation coverage: If the Eligible Employee is eligible to continue his/her Company-sponsored group health plan benefits pursuant to COBRA, the cost of such continuation coverage shall be equal to the cost of such coverage for active employees. Such subsidy shall continue for the number of months that correspond to the number of Months of Base Pay payable for the Eligible Employee under Section 3.1(a) above. Partial months of Severance Pay shall be rounded up so that the subsidy continues for a complete calendar month. For example, if an Eligible Employee’s Severance Pay is based on fewer than four Weeks of Pay, he or she shall be eligible for one month of subsidized COBRA coverage. COBRA continuation coverage shall be governed pursuant to the terms of the relevant benefit plan documents. It shall be the Eligible Employee’s sole responsibility to timely elect COBRA and to pay his/her share of the cost of such coverage.</w:t>
      </w:r>
    </w:p>
    <w:p>
      <w:pPr>
        <w:spacing w:after="0" w:line="220" w:lineRule="exact"/>
        <w:rPr>
          <w:rFonts w:ascii="Arial" w:cs="Arial" w:eastAsia="Arial" w:hAnsi="Arial"/>
          <w:sz w:val="21"/>
          <w:szCs w:val="21"/>
          <w:color w:val="auto"/>
        </w:rPr>
      </w:pPr>
    </w:p>
    <w:p>
      <w:pPr>
        <w:jc w:val="both"/>
        <w:ind w:left="980" w:hanging="324"/>
        <w:spacing w:after="0" w:line="253" w:lineRule="auto"/>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following relocation benefits: If the Eligible Employee was relocated to St. Croix, United States Virgin Islands at the direction of the Company, such employee may be eligible for relocation benefits in accordance with the USVI Relocation Program of Ocwen Mortgage Servicing, Inc.</w:t>
      </w:r>
    </w:p>
    <w:p>
      <w:pPr>
        <w:spacing w:after="0" w:line="226"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Treatment of any and all equity awards will be governed by the individual award agreements, notwithstanding anything to the contrary in this Plan.</w:t>
      </w:r>
    </w:p>
    <w:p>
      <w:pPr>
        <w:spacing w:after="0" w:line="215" w:lineRule="exact"/>
        <w:rPr>
          <w:sz w:val="20"/>
          <w:szCs w:val="20"/>
          <w:color w:val="auto"/>
        </w:rPr>
      </w:pPr>
    </w:p>
    <w:p>
      <w:pPr>
        <w:ind w:firstLine="4214"/>
        <w:spacing w:after="0" w:line="343" w:lineRule="auto"/>
        <w:rPr>
          <w:sz w:val="20"/>
          <w:szCs w:val="20"/>
          <w:color w:val="auto"/>
        </w:rPr>
      </w:pPr>
      <w:r>
        <w:rPr>
          <w:rFonts w:ascii="Arial" w:cs="Arial" w:eastAsia="Arial" w:hAnsi="Arial"/>
          <w:sz w:val="19"/>
          <w:szCs w:val="19"/>
          <w:color w:val="auto"/>
        </w:rPr>
        <w:t>Notwithstanding anything herein to the contrary, no payments or benefits shall be payable pursuant to this Section 3.1 in the event an Eligible Employee is entitled to payments or benefits under the Ocwen</w:t>
      </w:r>
    </w:p>
    <w:p>
      <w:pPr>
        <w:sectPr>
          <w:pgSz w:w="11900" w:h="16866" w:orient="portrait"/>
          <w:cols w:equalWidth="0" w:num="1">
            <w:col w:w="11420"/>
          </w:cols>
          <w:pgMar w:left="240" w:top="382" w:right="239" w:bottom="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Financial Corporation United States Change in Control Severance Plan.</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i w:val="1"/>
          <w:iCs w:val="1"/>
          <w:color w:val="auto"/>
        </w:rPr>
        <w:t>Payment of Benefits</w:t>
      </w:r>
      <w:r>
        <w:rPr>
          <w:rFonts w:ascii="Arial" w:cs="Arial" w:eastAsia="Arial" w:hAnsi="Arial"/>
          <w:sz w:val="22"/>
          <w:szCs w:val="22"/>
          <w:color w:val="auto"/>
        </w:rPr>
        <w:t>. Severance Pay will be payable in the form of a lump sum payment, which is subject to applicable federal, state, and local tax deductions and withholdings. The payment will be made as soon as practicable after the Separation Agreement and Release has been fully executed and becomes irrevocable. Other benefits paid under the Plan may be subject to similar withholding as required by federal, state, and local laws.</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i w:val="1"/>
          <w:iCs w:val="1"/>
          <w:color w:val="auto"/>
        </w:rPr>
        <w:t>Separation Agreement and Release</w:t>
      </w:r>
      <w:r>
        <w:rPr>
          <w:rFonts w:ascii="Arial" w:cs="Arial" w:eastAsia="Arial" w:hAnsi="Arial"/>
          <w:sz w:val="19"/>
          <w:szCs w:val="19"/>
          <w:color w:val="auto"/>
        </w:rPr>
        <w:t>. Any Severance Pay payable to an Eligible Employee under the Plan shall be conditioned upon the Eligible Employee signing and having notarized a Separation Agreement and Release (and not exercising his or her right of revocation under the Separation Agreement and Release) within such period of time as the Company shall require, in its sole discretion. Any grant of Severance Pay shall be null and void upon an Eligible Employee’s failure to sign, or subsequent revocation of, such Separation Agreement and General Release. Any breach by an Eligible Employee of a Separation Agreement and General Release upon which any grant of Severance Pay has been conditioned shall give the Company the right to terminate any payment otherwise due and/or to the return of such Severance Pay, in addition to any other remedy the Company may have.</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i w:val="1"/>
          <w:iCs w:val="1"/>
          <w:color w:val="auto"/>
        </w:rPr>
        <w:t>Reductions of Severance Pay</w:t>
      </w:r>
      <w:r>
        <w:rPr>
          <w:rFonts w:ascii="Arial" w:cs="Arial" w:eastAsia="Arial" w:hAnsi="Arial"/>
          <w:sz w:val="19"/>
          <w:szCs w:val="19"/>
          <w:color w:val="auto"/>
        </w:rPr>
        <w:t>. Subject to applicable law, any Severance Pay which the Company may grant to an Eligible Employee may, in the sole discretion of the Company, be reduced by any amounts owed by the Eligible Employee to the Company. The Eligible Employee’s right to receive such Severance Pay is conditioned upon his or her agreement to execute any documents deemed necessary or appropriate by the Company to reduce the Severance Pay by any such amounts owed.</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i w:val="1"/>
          <w:iCs w:val="1"/>
          <w:color w:val="auto"/>
        </w:rPr>
        <w:t>Repayment of Severance Pay upon Rehire</w:t>
      </w:r>
      <w:r>
        <w:rPr>
          <w:rFonts w:ascii="Arial" w:cs="Arial" w:eastAsia="Arial" w:hAnsi="Arial"/>
          <w:sz w:val="19"/>
          <w:szCs w:val="19"/>
          <w:color w:val="auto"/>
        </w:rPr>
        <w:t>. If an Eligible Employee who has incurred an Eligible Termination and has received Severance Pay is rehired by the Company during the period for which Severance Pay was calculated, the Company shall require the Eligible Employee to return any or all amounts of Severance Pay that have been paid to the Eligible Employee for weeks that the Employee was re-hired. For example, if the Eligible Employee receives a lump sum severance payment of six Months of Base Pay but is rehired by the Company four months later, he/she must repay the equivalent of two Months of Base Pay. The amount of any COBRA subsidy (as described in Section 3.1(b)) is not required to be repaid.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4—Interpretation and Administration</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Duties of the Plan Administrator</w:t>
      </w:r>
      <w:r>
        <w:rPr>
          <w:rFonts w:ascii="Arial" w:cs="Arial" w:eastAsia="Arial" w:hAnsi="Arial"/>
          <w:sz w:val="19"/>
          <w:szCs w:val="19"/>
          <w:color w:val="auto"/>
        </w:rPr>
        <w:t>. The Plan Administrator shall be responsible for the administration of the Plan and may appoint other persons or entities to perform or assist in the performance of any of its duties, subject to its review and approval. The Plan Administrator shall have the right to remove any such appointee from his position without cause upon notice.</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Powers</w:t>
      </w:r>
      <w:r>
        <w:rPr>
          <w:rFonts w:ascii="Arial" w:cs="Arial" w:eastAsia="Arial" w:hAnsi="Arial"/>
          <w:sz w:val="19"/>
          <w:szCs w:val="19"/>
          <w:color w:val="auto"/>
        </w:rPr>
        <w:t>. The Plan Administrator shall administer the Plan in accordance with its terms and shall have all powers necessary to carry out the provisions of the Plan as more particularly set forth herein. The Plan Administrator shall have discretionary authority to interpret the Plan, and to determine all questions arising in the administration, interpretation, and application of the Plan; provided, however, that such discretionary authority shall be exercised in good faith in order to achieve the principal purposes of the Plan to provide severance benefits, including enhanced severance benefits upon a Change of Control, as described in the Ocwen Financial Corporation United States Change in Control Severance Plan. All such determinations shall be conclusive and binding on all interested persons. The Plan Administrator shall adopt such procedures and regulations necessary and/or desirable for the discharge of its duties hereunder and may appoint such accountants, counsel, actuaries, specialists, and other agents as it deems necessary and/or desirable in connection with the administration of this Plan.</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color w:val="auto"/>
        </w:rPr>
        <w:t>Compensation of the Plan Administrator</w:t>
      </w:r>
      <w:r>
        <w:rPr>
          <w:rFonts w:ascii="Arial" w:cs="Arial" w:eastAsia="Arial" w:hAnsi="Arial"/>
          <w:sz w:val="22"/>
          <w:szCs w:val="22"/>
          <w:color w:val="auto"/>
        </w:rPr>
        <w:t>. The Plan Administrator shall not receive any compensation from the Plan for its services.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i w:val="1"/>
          <w:iCs w:val="1"/>
          <w:color w:val="auto"/>
        </w:rPr>
        <w:t>Indemnification</w:t>
      </w:r>
      <w:r>
        <w:rPr>
          <w:rFonts w:ascii="Arial" w:cs="Arial" w:eastAsia="Arial" w:hAnsi="Arial"/>
          <w:sz w:val="21"/>
          <w:szCs w:val="21"/>
          <w:color w:val="auto"/>
        </w:rPr>
        <w:t>. Ocwen Financial Corporation shall indemnify the Plan Administrator against any and all claims, losses, damages, expenses, and liability arising from its actions or omissions, except when the same is finally adjudicated to be due to the Plan Administrator’s gross negligence or willful misconduct. The Company may purchase at its own expense sufficient liability insurance for the Plan Administrator to cover any and all claims, losses, damages, and expenses arising from any action or omission in connection with the execution of the duties as the Plan Administrator.</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i w:val="1"/>
          <w:iCs w:val="1"/>
          <w:color w:val="auto"/>
        </w:rPr>
        <w:t>Claims Procedure</w:t>
      </w:r>
      <w:r>
        <w:rPr>
          <w:rFonts w:ascii="Arial" w:cs="Arial" w:eastAsia="Arial" w:hAnsi="Arial"/>
          <w:sz w:val="19"/>
          <w:szCs w:val="19"/>
          <w:color w:val="auto"/>
        </w:rPr>
        <w:t>.</w:t>
      </w:r>
    </w:p>
    <w:p>
      <w:pPr>
        <w:spacing w:after="0" w:line="260" w:lineRule="exact"/>
        <w:rPr>
          <w:sz w:val="20"/>
          <w:szCs w:val="20"/>
          <w:color w:val="auto"/>
        </w:rPr>
      </w:pPr>
    </w:p>
    <w:p>
      <w:pPr>
        <w:jc w:val="both"/>
        <w:ind w:left="980" w:hanging="324"/>
        <w:spacing w:after="0" w:line="289" w:lineRule="auto"/>
        <w:tabs>
          <w:tab w:leader="none" w:pos="9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Eligible Employee who believes that he or she is entitled to receive benefits under this Plan, including benefits other than those initially determined by the Plan Administrator to be payable, may file a claim in writing with the Plan Administrator, specifying the reasons for such claim. The Plan Administrator shall then evaluate the claim and notify the Eligible Employee of the approval or disapproval in accordance with the provisions of this Plan not later than 90 days after the Company’s receipt of such claim unless special circumstances require an extension of time for processing the claims. If such an extension of time for processing is required, written notice of the extension shall be furnished to the Eligible Employee prior to the termination of the initial 90 day period which shall specify the special circumstances requiring an extension and the date by which a final decision will be reached (which date shall not be later than 180 days after the date on which the claim was filed). If the Eligible Employee does not provide all the necessary</w:t>
      </w:r>
    </w:p>
    <w:p>
      <w:pPr>
        <w:sectPr>
          <w:pgSz w:w="11900" w:h="16838" w:orient="portrait"/>
          <w:cols w:equalWidth="0" w:num="1">
            <w:col w:w="11420"/>
          </w:cols>
          <w:pgMar w:left="240" w:top="132" w:right="239" w:bottom="0" w:gutter="0" w:footer="0" w:header="0"/>
        </w:sectPr>
      </w:pPr>
    </w:p>
    <w:bookmarkStart w:id="200" w:name="page201"/>
    <w:bookmarkEnd w:id="200"/>
    <w:p>
      <w:pPr>
        <w:ind w:left="980"/>
        <w:spacing w:after="0" w:line="263" w:lineRule="auto"/>
        <w:rPr>
          <w:sz w:val="20"/>
          <w:szCs w:val="20"/>
          <w:color w:val="auto"/>
        </w:rPr>
      </w:pPr>
      <w:r>
        <w:rPr>
          <w:rFonts w:ascii="Arial" w:cs="Arial" w:eastAsia="Arial" w:hAnsi="Arial"/>
          <w:sz w:val="22"/>
          <w:szCs w:val="22"/>
          <w:color w:val="auto"/>
        </w:rPr>
        <w:t>information for the Plan Administrator to process the claim, the Plan Administrator may request additional information and set deadlines for the Eligible Employee to provide that information.</w:t>
      </w:r>
    </w:p>
    <w:p>
      <w:pPr>
        <w:spacing w:after="0" w:line="215" w:lineRule="exact"/>
        <w:rPr>
          <w:sz w:val="20"/>
          <w:szCs w:val="20"/>
          <w:color w:val="auto"/>
        </w:rPr>
      </w:pPr>
    </w:p>
    <w:p>
      <w:pPr>
        <w:jc w:val="both"/>
        <w:ind w:left="980" w:hanging="324"/>
        <w:spacing w:after="0" w:line="292" w:lineRule="auto"/>
        <w:tabs>
          <w:tab w:leader="none" w:pos="9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the event that such claim is denied in whole or in part, the Eligible Employee shall be given a written notification which shall be written in a manner calculated to be understood by the Eligible Employee and shall (i) state the specific reason(s) for the denial, (ii) make specific reference to the pertinent Plan provision(s) on which the denial is based, (iii) provide a description of any additional material or information necessary for the Eligible Employee to perfect the claim and an explanation of why such material or information is necessary, and (iv) set forth the procedure by which the Eligible Employee may appeal the denial of such claim, which shall also include a statement of the Eligible Employee’s right to bring a civil action under Section 502(a) of ERISA following a denial of the claim upon review.</w:t>
      </w:r>
    </w:p>
    <w:p>
      <w:pPr>
        <w:spacing w:after="0" w:line="192" w:lineRule="exact"/>
        <w:rPr>
          <w:rFonts w:ascii="Arial" w:cs="Arial" w:eastAsia="Arial" w:hAnsi="Arial"/>
          <w:sz w:val="19"/>
          <w:szCs w:val="19"/>
          <w:color w:val="auto"/>
        </w:rPr>
      </w:pPr>
    </w:p>
    <w:p>
      <w:pPr>
        <w:jc w:val="both"/>
        <w:ind w:left="980" w:hanging="324"/>
        <w:spacing w:after="0" w:line="247" w:lineRule="auto"/>
        <w:tabs>
          <w:tab w:leader="none" w:pos="9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Eligible Employee may request a review of the denial of any such claim or portion thereof by making application in writing to the Plan Administrator within 60 days after receipt of such denial. Such Eligible Employee may, upon written request to the Plan Administrator, review or receive copies, upon request and free of charge, any documents, records or other information “relevant” (within the meaning of Department of Labor Regulation 2560.503-1(m)(8)) to the Eligible Employee’s claim. The Eligible Employee may also submit written comments, documents, records and other information relating to his or her claim.</w:t>
      </w:r>
    </w:p>
    <w:p>
      <w:pPr>
        <w:spacing w:after="0" w:line="234" w:lineRule="exact"/>
        <w:rPr>
          <w:rFonts w:ascii="Arial" w:cs="Arial" w:eastAsia="Arial" w:hAnsi="Arial"/>
          <w:sz w:val="22"/>
          <w:szCs w:val="22"/>
          <w:color w:val="auto"/>
        </w:rPr>
      </w:pPr>
    </w:p>
    <w:p>
      <w:pPr>
        <w:jc w:val="both"/>
        <w:ind w:left="980" w:hanging="324"/>
        <w:spacing w:after="0" w:line="288" w:lineRule="auto"/>
        <w:tabs>
          <w:tab w:leader="none" w:pos="9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deciding an Eligible Employee’s appeal, the Plan Administrator shall take into account all comments, documents, records and other information submitted by the Eligible Employee relating to the claim, without regard to whether such information was submitted or considered in the initial review of the claim. If the Eligible Employee does not provide all the necessary information for the Plan Administrator to decide the appeal, the Plan Administrator may request additional information and set deadlines for the Eligible Employee to submit that information. Within 60 days after a request for review is received, the review shall be made and the Eligible Employee shall be advised in writing of the decision on review, unless special circumstances require an extension of time for processing the review, in which case the Eligible Employee shall be given a written notification within such initial 60 day period specifying the reasons for the extension and when such review shall be completed (provided that such review shall be completed within 120 days after the date on which the request for review was filed).</w:t>
      </w:r>
    </w:p>
    <w:p>
      <w:pPr>
        <w:spacing w:after="0" w:line="200" w:lineRule="exact"/>
        <w:rPr>
          <w:rFonts w:ascii="Arial" w:cs="Arial" w:eastAsia="Arial" w:hAnsi="Arial"/>
          <w:sz w:val="19"/>
          <w:szCs w:val="19"/>
          <w:color w:val="auto"/>
        </w:rPr>
      </w:pPr>
    </w:p>
    <w:p>
      <w:pPr>
        <w:ind w:left="980" w:hanging="324"/>
        <w:spacing w:after="0"/>
        <w:tabs>
          <w:tab w:leader="none" w:pos="9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decision on review shall be forwarded to the Eligible Employee in writing and, in the case of a denial, shall include</w:t>
      </w:r>
    </w:p>
    <w:p>
      <w:pPr>
        <w:spacing w:after="0" w:line="56" w:lineRule="exact"/>
        <w:rPr>
          <w:rFonts w:ascii="Arial" w:cs="Arial" w:eastAsia="Arial" w:hAnsi="Arial"/>
          <w:sz w:val="19"/>
          <w:szCs w:val="19"/>
          <w:color w:val="auto"/>
        </w:rPr>
      </w:pPr>
    </w:p>
    <w:p>
      <w:pPr>
        <w:jc w:val="both"/>
        <w:ind w:left="980"/>
        <w:spacing w:after="0" w:line="286" w:lineRule="auto"/>
        <w:rPr>
          <w:rFonts w:ascii="Arial" w:cs="Arial" w:eastAsia="Arial" w:hAnsi="Arial"/>
          <w:sz w:val="19"/>
          <w:szCs w:val="19"/>
          <w:color w:val="auto"/>
        </w:rPr>
      </w:pPr>
      <w:r>
        <w:rPr>
          <w:rFonts w:ascii="Arial" w:cs="Arial" w:eastAsia="Arial" w:hAnsi="Arial"/>
          <w:sz w:val="19"/>
          <w:szCs w:val="19"/>
          <w:color w:val="auto"/>
        </w:rPr>
        <w:t>(i) specific reasons for the decision, (ii) specific references to the pertinent Plan provision(s) upon which the decision is based, (iii) a statement that the Eligible Employee is entitled to receive, upon request and free of charge, reasonable access to, and copies of, all documents, records, or other information relevant to the Eligible Employee’s claim and (iv) a statement of the Eligible Employee’s right to bring a civil action under Section 502(a) of ERISA following a wholly or partially denied claim for benefits. Any lawsuit must be commenced within six months of the date on the appeal denial letter. Claims submitted outside that time limit are time-barred. The Plan Administrator’s decision on review shall be final and binding on all persons for benefits. If an Eligible Employee shall fail to file a request for review in accordance with the procedures herein outlined, such Eligible Employee shall have no right to review and shall have no right to bring an action in any court, and the denial of the claim shall become final and binding on all persons for all purposes. Any notice and decisions by the Plan Administrator under this Section may be furnished electronically in accordance with Department of Labor Regulation 2520.104b-1(c)(i), (iii) and (iv).</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5—Amendment and Termination</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i w:val="1"/>
          <w:iCs w:val="1"/>
          <w:color w:val="auto"/>
        </w:rPr>
        <w:t>Amendments.</w:t>
      </w:r>
      <w:r>
        <w:rPr>
          <w:rFonts w:ascii="Arial" w:cs="Arial" w:eastAsia="Arial" w:hAnsi="Arial"/>
          <w:sz w:val="22"/>
          <w:szCs w:val="22"/>
          <w:color w:val="auto"/>
        </w:rPr>
        <w:t xml:space="preserve"> The Company shall have the right to amend or terminate the Plan in any respect and at any time without notice, pursuant to a determination of the Compensation Committee of the Board (or a delegate of such committee) or a determination of the Board itself.</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i w:val="1"/>
          <w:iCs w:val="1"/>
          <w:color w:val="auto"/>
        </w:rPr>
        <w:t>Plan Interpretation and Benefit Determination.</w:t>
      </w:r>
      <w:r>
        <w:rPr>
          <w:rFonts w:ascii="Arial" w:cs="Arial" w:eastAsia="Arial" w:hAnsi="Arial"/>
          <w:sz w:val="21"/>
          <w:szCs w:val="21"/>
          <w:color w:val="auto"/>
        </w:rPr>
        <w:t xml:space="preserve"> The Plan is administered by the Plan Administrator, who has the exclusive discretionary authority and power to determine eligibility for benefits and to construe the terms and provisions of the Plan, to determine questions of fact and law arising under the Plan, to direct disbursements pursuant to the Plan and to exercise all other powers specified herein or which may be implied from the provisions hereof. The Plan Administrator may adopt such rules for the conduct of the administration of the Plan as it may deem appropriate. All interpretations and determinations of the Plan Administrator shall be final and binding upon all parties and persons affected thereby. The Plan Administrator may appoint one or more individuals and delegate such of its powers and duties as it deems desirable to any such individual(s), in which case every reference herein made to the Plan Administrator shall be deemed to mean or include the appointed individual(s) as to matters within their jurisdiction.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6—General Provisions</w:t>
      </w:r>
    </w:p>
    <w:p>
      <w:pPr>
        <w:spacing w:after="0" w:line="26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i w:val="1"/>
          <w:iCs w:val="1"/>
          <w:color w:val="auto"/>
        </w:rPr>
        <w:t>Eligible Employee’s Rights Unsecured and Unfunded</w:t>
      </w:r>
      <w:r>
        <w:rPr>
          <w:rFonts w:ascii="Arial" w:cs="Arial" w:eastAsia="Arial" w:hAnsi="Arial"/>
          <w:sz w:val="19"/>
          <w:szCs w:val="19"/>
          <w:color w:val="auto"/>
        </w:rPr>
        <w:t>. The Plan at all times shall be entirely unfunded. No assets of the Company shall be segregated or earmarked to represent the liability for benefits under the Plan. The right of an Eligible Employee to receive a payment hereunder shall be an unsecured claim against the general assets of the Company that was the employer of such Eligible Employee. All payments under the Plan shall be made from the general assets of the Company.</w:t>
      </w:r>
    </w:p>
    <w:p>
      <w:pPr>
        <w:sectPr>
          <w:pgSz w:w="11900" w:h="16838" w:orient="portrait"/>
          <w:cols w:equalWidth="0" w:num="1">
            <w:col w:w="11420"/>
          </w:cols>
          <w:pgMar w:left="240" w:top="132" w:right="239" w:bottom="0" w:gutter="0" w:footer="0" w:header="0"/>
        </w:sectPr>
      </w:pPr>
    </w:p>
    <w:bookmarkStart w:id="201" w:name="page202"/>
    <w:bookmarkEnd w:id="201"/>
    <w:p>
      <w:pPr>
        <w:jc w:val="both"/>
        <w:spacing w:after="0" w:line="26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i w:val="1"/>
          <w:iCs w:val="1"/>
          <w:color w:val="auto"/>
        </w:rPr>
        <w:t>No Guarantee of Benefits</w:t>
      </w:r>
      <w:r>
        <w:rPr>
          <w:rFonts w:ascii="Arial" w:cs="Arial" w:eastAsia="Arial" w:hAnsi="Arial"/>
          <w:sz w:val="22"/>
          <w:szCs w:val="22"/>
          <w:color w:val="auto"/>
        </w:rPr>
        <w:t>. Nothing contained in the Plan shall constitute a guarantee by the Company or any other person or entity that the assets of the Company will be sufficient to pay any benefit hereunder.</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i w:val="1"/>
          <w:iCs w:val="1"/>
          <w:color w:val="auto"/>
        </w:rPr>
        <w:t>No Enlargement of Employee Rights</w:t>
      </w:r>
      <w:r>
        <w:rPr>
          <w:rFonts w:ascii="Arial" w:cs="Arial" w:eastAsia="Arial" w:hAnsi="Arial"/>
          <w:sz w:val="21"/>
          <w:szCs w:val="21"/>
          <w:color w:val="auto"/>
        </w:rPr>
        <w:t>. The existence of this Plan or any payment of Severance Pay under the Plan shall not be deemed to constitute a contract of employment between the Company and any Eligible Employee, nor shall it constitute a right to remain in the employ of the Company. Employment with the Company is employment-at-will and either party may terminate the Employee’s employment at any time, for any reason, with or without cause or notice.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i w:val="1"/>
          <w:iCs w:val="1"/>
          <w:color w:val="auto"/>
        </w:rPr>
        <w:t>Non-Alienation Provision</w:t>
      </w:r>
      <w:r>
        <w:rPr>
          <w:rFonts w:ascii="Arial" w:cs="Arial" w:eastAsia="Arial" w:hAnsi="Arial"/>
          <w:sz w:val="21"/>
          <w:szCs w:val="21"/>
          <w:color w:val="auto"/>
        </w:rPr>
        <w:t>. Except as set forth elsewhere in the Plan, and subject to the provisions of applicable law, no interest of any person or entity in, or right to receive a benefit or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 or entity, including claims for alimony, support, separate maintenance and claims in bankruptcy proceedings the extent that such laws are preempted by ERISA.</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i w:val="1"/>
          <w:iCs w:val="1"/>
          <w:color w:val="auto"/>
        </w:rPr>
        <w:t>Excess Payments</w:t>
      </w:r>
      <w:r>
        <w:rPr>
          <w:rFonts w:ascii="Arial" w:cs="Arial" w:eastAsia="Arial" w:hAnsi="Arial"/>
          <w:sz w:val="19"/>
          <w:szCs w:val="19"/>
          <w:color w:val="auto"/>
        </w:rPr>
        <w:t>. If compensation, Years of Service or any other relevant fact relating to any person is found to have been misstated, the Plan benefit payable by the Company to an Eligible Employee shall be the Plan benefit that would have been provided on the basis of the correct information. Any excess payments due to such misstatement, or due to any other mistake of fact or law, shall be refunded to the Company or withheld by it from any further amounts otherwise payable under the Plan.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i w:val="1"/>
          <w:iCs w:val="1"/>
          <w:color w:val="auto"/>
        </w:rPr>
        <w:t>Impact on Other Benefits</w:t>
      </w:r>
      <w:r>
        <w:rPr>
          <w:rFonts w:ascii="Arial" w:cs="Arial" w:eastAsia="Arial" w:hAnsi="Arial"/>
          <w:sz w:val="21"/>
          <w:szCs w:val="21"/>
          <w:color w:val="auto"/>
        </w:rPr>
        <w:t>. Amounts paid under this Plan shall not be included in an Eligible Employee’s compensation for purposes of calculating benefits under any other plan, program or arrangement sponsored by the Company, unless such plan, program or arrangement expressly provides that amounts paid under this Plan shall be included.</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i w:val="1"/>
          <w:iCs w:val="1"/>
          <w:color w:val="auto"/>
        </w:rPr>
        <w:t>Usage of Terms and Headings</w:t>
      </w:r>
      <w:r>
        <w:rPr>
          <w:rFonts w:ascii="Arial" w:cs="Arial" w:eastAsia="Arial" w:hAnsi="Arial"/>
          <w:sz w:val="22"/>
          <w:szCs w:val="22"/>
          <w:color w:val="auto"/>
        </w:rPr>
        <w:t>. Words in the masculine gender shall include the feminine and the singular shall include the plural, and vice versa, unless qualified by the context. Any headings are included for ease of reference only, and are not to be construed to alter the terms of the Plan.</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i w:val="1"/>
          <w:iCs w:val="1"/>
          <w:color w:val="auto"/>
        </w:rPr>
        <w:t>Supersession</w:t>
      </w:r>
      <w:r>
        <w:rPr>
          <w:rFonts w:ascii="Arial" w:cs="Arial" w:eastAsia="Arial" w:hAnsi="Arial"/>
          <w:sz w:val="22"/>
          <w:szCs w:val="22"/>
          <w:color w:val="auto"/>
        </w:rPr>
        <w:t>. The Plan supersedes all plans, statements, practices or policies, if any, with respect to providing severance benefits to any Employee whose employment terminates on or after the Effective Date, except for those with specific written contracts that pre-date this Plan that provide for benefits payable upon the termination of employment and those Employees that have already been notified prior to the Effective Date of a termination of their employment and provided with different severance terms.</w:t>
      </w: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i w:val="1"/>
          <w:iCs w:val="1"/>
          <w:color w:val="auto"/>
        </w:rPr>
        <w:t>Effective Date</w:t>
      </w:r>
      <w:r>
        <w:rPr>
          <w:rFonts w:ascii="Arial" w:cs="Arial" w:eastAsia="Arial" w:hAnsi="Arial"/>
          <w:sz w:val="19"/>
          <w:szCs w:val="19"/>
          <w:color w:val="auto"/>
        </w:rPr>
        <w:t>. The Plan shall be effective as to Eligible Terminations that occur on or after February ___, 2019.</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i w:val="1"/>
          <w:iCs w:val="1"/>
          <w:color w:val="auto"/>
        </w:rPr>
        <w:t>Clawback</w:t>
      </w:r>
      <w:r>
        <w:rPr>
          <w:rFonts w:ascii="Arial" w:cs="Arial" w:eastAsia="Arial" w:hAnsi="Arial"/>
          <w:sz w:val="22"/>
          <w:szCs w:val="22"/>
          <w:color w:val="auto"/>
        </w:rPr>
        <w:t>. Payments made pursuant to this Plan are subject to any Company clawback policy in effect at any time. In addition, to the extent required by the Sarbanes-Oxley Act of 2002, the Dodd-Frank Wall Street Reform and Consumer Protection Act, or any other applicable law, or the rules and regulations promulgated pursuant thereto, Eligible Employees agree to return payments made pursuant to this Plan to the Company.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i w:val="1"/>
          <w:iCs w:val="1"/>
          <w:color w:val="auto"/>
        </w:rPr>
        <w:t>Choice of Law</w:t>
      </w:r>
      <w:r>
        <w:rPr>
          <w:rFonts w:ascii="Arial" w:cs="Arial" w:eastAsia="Arial" w:hAnsi="Arial"/>
          <w:sz w:val="22"/>
          <w:szCs w:val="22"/>
          <w:color w:val="auto"/>
        </w:rPr>
        <w:t>. This Plan shall be construed in accordance with and governed by the laws of the State of Florida, to the extent such laws are otherwise superseded by the laws of the United States, in which case such laws of the United States shall govern and the Plan shall be construed in accordance with such laws.</w:t>
      </w: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i w:val="1"/>
          <w:iCs w:val="1"/>
          <w:color w:val="auto"/>
        </w:rPr>
        <w:t>Section 7 – ERISA Information</w:t>
      </w:r>
    </w:p>
    <w:p>
      <w:pPr>
        <w:spacing w:after="0" w:line="200" w:lineRule="exact"/>
        <w:rPr>
          <w:sz w:val="20"/>
          <w:szCs w:val="20"/>
          <w:color w:val="auto"/>
        </w:rPr>
      </w:pPr>
    </w:p>
    <w:p>
      <w:pPr>
        <w:spacing w:after="0" w:line="31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u w:val="single" w:color="auto"/>
          <w:color w:val="auto"/>
        </w:rPr>
        <w:t>Plan Name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Ocwen Financial Corporation United States Basic Severance Plan</w:t>
      </w:r>
    </w:p>
    <w:p>
      <w:pPr>
        <w:spacing w:after="0" w:line="260"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u w:val="single" w:color="auto"/>
          <w:color w:val="auto"/>
        </w:rPr>
        <w:t>Plan Number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516</w:t>
      </w:r>
    </w:p>
    <w:p>
      <w:pPr>
        <w:spacing w:after="0" w:line="260"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This amended and restated Plan is effective as of February 22, 2019.</w:t>
      </w:r>
    </w:p>
    <w:p>
      <w:pPr>
        <w:spacing w:after="0" w:line="260"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u w:val="single" w:color="auto"/>
          <w:color w:val="auto"/>
        </w:rPr>
        <w:t>Plan Sponsor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Ocwen Financial Corporation</w:t>
      </w:r>
    </w:p>
    <w:p>
      <w:pPr>
        <w:spacing w:after="0" w:line="22" w:lineRule="exact"/>
        <w:rPr>
          <w:sz w:val="20"/>
          <w:szCs w:val="20"/>
          <w:color w:val="auto"/>
        </w:rPr>
      </w:pPr>
    </w:p>
    <w:p>
      <w:pPr>
        <w:ind w:left="9080"/>
        <w:spacing w:after="0"/>
        <w:rPr>
          <w:sz w:val="20"/>
          <w:szCs w:val="20"/>
          <w:color w:val="auto"/>
        </w:rPr>
      </w:pPr>
      <w:r>
        <w:rPr>
          <w:rFonts w:ascii="Arial" w:cs="Arial" w:eastAsia="Arial" w:hAnsi="Arial"/>
          <w:sz w:val="21"/>
          <w:szCs w:val="21"/>
          <w:color w:val="auto"/>
        </w:rPr>
        <w:t>1661 Worthington Road,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Suite 100</w:t>
      </w:r>
    </w:p>
    <w:p>
      <w:pPr>
        <w:spacing w:after="0" w:line="4"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West Palm Beach, FL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33409</w:t>
      </w:r>
    </w:p>
    <w:p>
      <w:pPr>
        <w:spacing w:after="0" w:line="24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EIN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65-0039856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Plan Administrator</w:t>
      </w:r>
      <w:r>
        <w:rPr>
          <w:rFonts w:ascii="Arial" w:cs="Arial" w:eastAsia="Arial" w:hAnsi="Arial"/>
          <w:sz w:val="22"/>
          <w:szCs w:val="22"/>
          <w:color w:val="auto"/>
        </w:rPr>
        <w:t>: Ocwen Financial Corporation (see contact information above).</w:t>
      </w:r>
    </w:p>
    <w:p>
      <w:pPr>
        <w:sectPr>
          <w:pgSz w:w="11900" w:h="16838" w:orient="portrait"/>
          <w:cols w:equalWidth="0" w:num="1">
            <w:col w:w="11420"/>
          </w:cols>
          <w:pgMar w:left="240" w:top="388" w:right="239" w:bottom="0" w:gutter="0" w:footer="0" w:header="0"/>
        </w:sectPr>
      </w:pPr>
    </w:p>
    <w:bookmarkStart w:id="202" w:name="page203"/>
    <w:bookmarkEnd w:id="202"/>
    <w:p>
      <w:pPr>
        <w:spacing w:after="0"/>
        <w:tabs>
          <w:tab w:leader="none" w:pos="3520" w:val="left"/>
        </w:tabs>
        <w:rPr>
          <w:sz w:val="20"/>
          <w:szCs w:val="20"/>
          <w:color w:val="auto"/>
        </w:rPr>
      </w:pPr>
      <w:r>
        <w:rPr>
          <w:rFonts w:ascii="Arial" w:cs="Arial" w:eastAsia="Arial" w:hAnsi="Arial"/>
          <w:sz w:val="22"/>
          <w:szCs w:val="22"/>
          <w:u w:val="single" w:color="auto"/>
          <w:color w:val="auto"/>
        </w:rPr>
        <w:t>Agent for Service of Legal Process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Ocwen Financial Corporation</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Attn: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General Counsel</w:t>
      </w:r>
    </w:p>
    <w:p>
      <w:pPr>
        <w:spacing w:after="0" w:line="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1661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Worthington Road, Suite 100</w:t>
      </w:r>
    </w:p>
    <w:p>
      <w:pPr>
        <w:spacing w:after="0" w:line="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West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Palm Beach, FL 33409</w:t>
      </w:r>
    </w:p>
    <w:p>
      <w:pPr>
        <w:spacing w:after="0" w:line="24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u w:val="single" w:color="auto"/>
          <w:color w:val="auto"/>
        </w:rPr>
        <w:t>Plan Year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Plan Year shall be the 12-month period commencing each year on June 28.</w:t>
      </w:r>
    </w:p>
    <w:p>
      <w:pPr>
        <w:spacing w:after="0" w:line="260" w:lineRule="exact"/>
        <w:rPr>
          <w:sz w:val="20"/>
          <w:szCs w:val="20"/>
          <w:color w:val="auto"/>
        </w:rPr>
      </w:pPr>
    </w:p>
    <w:p>
      <w:pPr>
        <w:jc w:val="both"/>
        <w:ind w:left="1300" w:right="80" w:hanging="1296"/>
        <w:spacing w:after="0" w:line="263" w:lineRule="auto"/>
        <w:rPr>
          <w:sz w:val="20"/>
          <w:szCs w:val="20"/>
          <w:color w:val="auto"/>
        </w:rPr>
      </w:pPr>
      <w:r>
        <w:rPr>
          <w:rFonts w:ascii="Arial" w:cs="Arial" w:eastAsia="Arial" w:hAnsi="Arial"/>
          <w:sz w:val="22"/>
          <w:szCs w:val="22"/>
          <w:u w:val="single" w:color="auto"/>
          <w:color w:val="auto"/>
        </w:rPr>
        <w:t>Type of Plan</w:t>
      </w:r>
      <w:r>
        <w:rPr>
          <w:rFonts w:ascii="Arial" w:cs="Arial" w:eastAsia="Arial" w:hAnsi="Arial"/>
          <w:sz w:val="22"/>
          <w:szCs w:val="22"/>
          <w:color w:val="auto"/>
        </w:rPr>
        <w:t>: The Plan is a severance benefit plan that provides income replacement benefits following a qualifying termination of employment.</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u w:val="single" w:color="auto"/>
          <w:color w:val="auto"/>
        </w:rPr>
        <w:t>Funding</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Plan is funded from the general assets of Ocwen Financial Corporation.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ERISA Rights:</w:t>
      </w:r>
    </w:p>
    <w:p>
      <w:pPr>
        <w:spacing w:after="0" w:line="266"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Receiving Information about Plan Benefits</w:t>
      </w:r>
    </w:p>
    <w:p>
      <w:pPr>
        <w:spacing w:after="0" w:line="260" w:lineRule="exact"/>
        <w:rPr>
          <w:sz w:val="20"/>
          <w:szCs w:val="20"/>
          <w:color w:val="auto"/>
        </w:rPr>
      </w:pPr>
    </w:p>
    <w:p>
      <w:pPr>
        <w:jc w:val="both"/>
        <w:ind w:right="60" w:firstLine="4214"/>
        <w:spacing w:after="0" w:line="253" w:lineRule="auto"/>
        <w:rPr>
          <w:sz w:val="20"/>
          <w:szCs w:val="20"/>
          <w:color w:val="auto"/>
        </w:rPr>
      </w:pPr>
      <w:r>
        <w:rPr>
          <w:rFonts w:ascii="Arial" w:cs="Arial" w:eastAsia="Arial" w:hAnsi="Arial"/>
          <w:sz w:val="22"/>
          <w:szCs w:val="22"/>
          <w:color w:val="auto"/>
        </w:rPr>
        <w:t>Participants in the Plan are entitled to certain rights and protections under the Employee Retirement Income Security Act of 1974, as amended (“ERISA”). ERISA provides that all plan participants shall be entitled to:</w:t>
      </w:r>
    </w:p>
    <w:p>
      <w:pPr>
        <w:spacing w:after="0" w:line="226" w:lineRule="exact"/>
        <w:rPr>
          <w:sz w:val="20"/>
          <w:szCs w:val="20"/>
          <w:color w:val="auto"/>
        </w:rPr>
      </w:pPr>
    </w:p>
    <w:p>
      <w:pPr>
        <w:jc w:val="both"/>
        <w:ind w:left="660" w:right="60" w:hanging="328"/>
        <w:spacing w:after="0" w:line="312" w:lineRule="auto"/>
        <w:tabs>
          <w:tab w:leader="none" w:pos="6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Examine, without charge, at the Plan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spacing w:after="0" w:line="174" w:lineRule="exact"/>
        <w:rPr>
          <w:rFonts w:ascii="Arial" w:cs="Arial" w:eastAsia="Arial" w:hAnsi="Arial"/>
          <w:sz w:val="19"/>
          <w:szCs w:val="19"/>
          <w:color w:val="auto"/>
        </w:rPr>
      </w:pPr>
    </w:p>
    <w:p>
      <w:pPr>
        <w:jc w:val="both"/>
        <w:ind w:left="660" w:right="60" w:hanging="328"/>
        <w:spacing w:after="0" w:line="253" w:lineRule="auto"/>
        <w:tabs>
          <w:tab w:leader="none" w:pos="6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Obtain, upon written request to the Plan Administrator, copies of documents governing the operation of the Plan and copies of the latest annual report (Form 5500 Series) and updated summary plan description. The Plan Administrator may make a reasonable charge for the copies.</w:t>
      </w: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Prudent Actions by Plan Fiduciaries</w:t>
      </w:r>
    </w:p>
    <w:p>
      <w:pPr>
        <w:spacing w:after="0" w:line="260" w:lineRule="exact"/>
        <w:rPr>
          <w:sz w:val="20"/>
          <w:szCs w:val="20"/>
          <w:color w:val="auto"/>
        </w:rPr>
      </w:pPr>
    </w:p>
    <w:p>
      <w:pPr>
        <w:jc w:val="both"/>
        <w:ind w:right="60" w:firstLine="4214"/>
        <w:spacing w:after="0" w:line="263" w:lineRule="auto"/>
        <w:rPr>
          <w:sz w:val="20"/>
          <w:szCs w:val="20"/>
          <w:color w:val="auto"/>
        </w:rPr>
      </w:pPr>
      <w:r>
        <w:rPr>
          <w:rFonts w:ascii="Arial" w:cs="Arial" w:eastAsia="Arial" w:hAnsi="Arial"/>
          <w:sz w:val="21"/>
          <w:szCs w:val="21"/>
          <w:color w:val="auto"/>
        </w:rPr>
        <w:t>In addition to creating rights for plan participants, ERISA imposes duties upon the people who are responsible for the operation of an employee benefit plan. The people who operate the Plan, called “fiduciaries” of the Plan, have a duty to do so prudently and in the interest of Plan participants and beneficiaries. No one, including an employer or any other person, may fire a participant or otherwise discriminate against a participant in any way to prevent the participant from obtaining a severance benefit or exercising the participant’s rights under ERISA.</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Enforcing ERISA Rights</w:t>
      </w:r>
    </w:p>
    <w:p>
      <w:pPr>
        <w:spacing w:after="0" w:line="260" w:lineRule="exact"/>
        <w:rPr>
          <w:sz w:val="20"/>
          <w:szCs w:val="20"/>
          <w:color w:val="auto"/>
        </w:rPr>
      </w:pPr>
    </w:p>
    <w:p>
      <w:pPr>
        <w:jc w:val="both"/>
        <w:ind w:right="60" w:firstLine="4214"/>
        <w:spacing w:after="0" w:line="302" w:lineRule="auto"/>
        <w:rPr>
          <w:sz w:val="20"/>
          <w:szCs w:val="20"/>
          <w:color w:val="auto"/>
        </w:rPr>
      </w:pPr>
      <w:r>
        <w:rPr>
          <w:rFonts w:ascii="Arial" w:cs="Arial" w:eastAsia="Arial" w:hAnsi="Arial"/>
          <w:sz w:val="19"/>
          <w:szCs w:val="19"/>
          <w:color w:val="auto"/>
        </w:rPr>
        <w:t>If a participant’s claim for a severance benefit is denied or ignored, in whole or in part, the participant has a right to know why this was done, to receive a written explanation of the reason for the denial, to obtain copies of documents and relevant information relating to the decision without charge, and to appeal any denial, all within certain time schedules. The participant has the right to have the Plan Administrator review and reconsider the claim.</w:t>
      </w:r>
    </w:p>
    <w:p>
      <w:pPr>
        <w:spacing w:after="0" w:line="183" w:lineRule="exact"/>
        <w:rPr>
          <w:sz w:val="20"/>
          <w:szCs w:val="20"/>
          <w:color w:val="auto"/>
        </w:rPr>
      </w:pPr>
    </w:p>
    <w:p>
      <w:pPr>
        <w:jc w:val="both"/>
        <w:ind w:right="60" w:firstLine="4214"/>
        <w:spacing w:after="0" w:line="287" w:lineRule="auto"/>
        <w:rPr>
          <w:sz w:val="20"/>
          <w:szCs w:val="20"/>
          <w:color w:val="auto"/>
        </w:rPr>
      </w:pPr>
      <w:r>
        <w:rPr>
          <w:rFonts w:ascii="Arial" w:cs="Arial" w:eastAsia="Arial" w:hAnsi="Arial"/>
          <w:sz w:val="19"/>
          <w:szCs w:val="19"/>
          <w:color w:val="auto"/>
        </w:rPr>
        <w:t>Under ERISA, there are steps a participant can take to enforce the above rights. For instance, if a participant requests a copy of Plan documents or the latest annual report from the Plan and does not receive them within 30 days, the participant may file suit in a Federal court. In such a case, the court may require the Plan Administrator to provide the materials and pay the participant up to $110 a day until the participant receives the materials, unless the materials were not sent because of reasons beyond the control of the Plan Administrator. If the participant has a claim for benefits that is denied or ignored, in whole or in part, and the participant has exhausted the Plan’s claims procedures, the participant may file suit in a state or Federal court. In addition, if the participant disagrees with the Plan's decision or lack thereof concerning the qualified status of a domestic relations order or a medical child support order, the participant may file suit in Federal court. If it should happen that plan fiduciaries misuse the Plan's money, or if the participant is discriminated against for asserting ERISA rights, the participant may seek assistance from the U.S. Department of Labor, or may file suit in a Federal court. The court will decide who should pay court costs and legal fees. If the participant is successful the court may order the person the participant has sued to pay these costs and fees. If the participant loses, the court may order the participant to pay these costs and fees, for example, if it finds the participant’s claim is frivolous.</w:t>
      </w:r>
    </w:p>
    <w:p>
      <w:pPr>
        <w:sectPr>
          <w:pgSz w:w="11900" w:h="16838" w:orient="portrait"/>
          <w:cols w:equalWidth="0" w:num="1">
            <w:col w:w="11480"/>
          </w:cols>
          <w:pgMar w:left="240" w:top="389" w:right="179" w:bottom="14" w:gutter="0" w:footer="0" w:header="0"/>
        </w:sect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9"/>
          <w:szCs w:val="19"/>
          <w:i w:val="1"/>
          <w:iCs w:val="1"/>
          <w:color w:val="auto"/>
        </w:rPr>
        <w:t>Assistance with Questions</w:t>
      </w:r>
    </w:p>
    <w:p>
      <w:pPr>
        <w:sectPr>
          <w:pgSz w:w="11900" w:h="16838" w:orient="portrait"/>
          <w:cols w:equalWidth="0" w:num="1">
            <w:col w:w="11480"/>
          </w:cols>
          <w:pgMar w:left="240" w:top="389" w:right="179" w:bottom="14" w:gutter="0" w:footer="0" w:header="0"/>
          <w:type w:val="continuous"/>
        </w:sectPr>
      </w:pPr>
    </w:p>
    <w:bookmarkStart w:id="203" w:name="page204"/>
    <w:bookmarkEnd w:id="203"/>
    <w:p>
      <w:pPr>
        <w:jc w:val="both"/>
        <w:ind w:firstLine="4214"/>
        <w:spacing w:after="0" w:line="292" w:lineRule="auto"/>
        <w:rPr>
          <w:sz w:val="20"/>
          <w:szCs w:val="20"/>
          <w:color w:val="auto"/>
        </w:rPr>
      </w:pPr>
      <w:r>
        <w:rPr>
          <w:rFonts w:ascii="Arial" w:cs="Arial" w:eastAsia="Arial" w:hAnsi="Arial"/>
          <w:sz w:val="19"/>
          <w:szCs w:val="19"/>
          <w:color w:val="auto"/>
        </w:rPr>
        <w:t>If a participant has any questions about the Plan, the participant should contact the Plan Administrator as described above. If the participant has any questions about this statement or about the participant’s rights under ERISA, or if the participant needs assistance in obtaining documents from the Plan Administrator, the participant may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The participant may also obtain certain publications about such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32"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2"/>
          <w:szCs w:val="22"/>
          <w:b w:val="1"/>
          <w:bCs w:val="1"/>
          <w:u w:val="single" w:color="auto"/>
          <w:color w:val="auto"/>
        </w:rPr>
        <w:t>OCWEN FINANCIAL COPORATION UNITED STATES CHANGE IN CONTROL SEVERANCE PLAN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as of February 22, 2019)</w:t>
      </w:r>
    </w:p>
    <w:p>
      <w:pPr>
        <w:spacing w:after="0" w:line="260" w:lineRule="exact"/>
        <w:rPr>
          <w:sz w:val="20"/>
          <w:szCs w:val="20"/>
          <w:color w:val="auto"/>
        </w:rPr>
      </w:pPr>
    </w:p>
    <w:p>
      <w:pPr>
        <w:ind w:left="4260"/>
        <w:spacing w:after="0"/>
        <w:rPr>
          <w:sz w:val="20"/>
          <w:szCs w:val="20"/>
          <w:color w:val="auto"/>
        </w:rPr>
      </w:pPr>
      <w:r>
        <w:rPr>
          <w:rFonts w:ascii="Arial" w:cs="Arial" w:eastAsia="Arial" w:hAnsi="Arial"/>
          <w:sz w:val="22"/>
          <w:szCs w:val="22"/>
          <w:b w:val="1"/>
          <w:bCs w:val="1"/>
          <w:i w:val="1"/>
          <w:iCs w:val="1"/>
          <w:color w:val="auto"/>
        </w:rPr>
        <w:t>Section 1 – General Information</w:t>
      </w:r>
    </w:p>
    <w:p>
      <w:pPr>
        <w:spacing w:after="0" w:line="260" w:lineRule="exact"/>
        <w:rPr>
          <w:sz w:val="20"/>
          <w:szCs w:val="20"/>
          <w:color w:val="auto"/>
        </w:rPr>
      </w:pPr>
    </w:p>
    <w:p>
      <w:pPr>
        <w:jc w:val="both"/>
        <w:ind w:firstLine="4214"/>
        <w:spacing w:after="0" w:line="248" w:lineRule="auto"/>
        <w:rPr>
          <w:sz w:val="20"/>
          <w:szCs w:val="20"/>
          <w:color w:val="auto"/>
        </w:rPr>
      </w:pPr>
      <w:r>
        <w:rPr>
          <w:rFonts w:ascii="Arial" w:cs="Arial" w:eastAsia="Arial" w:hAnsi="Arial"/>
          <w:sz w:val="22"/>
          <w:szCs w:val="22"/>
          <w:color w:val="auto"/>
        </w:rPr>
        <w:t>Ocwen Financial Corporation hereby amends and restates the Ocwen Financial Corporation United States Change in Control Severance Plan (the “Plan”) effective as of February 22, 2019 (the “Effective Date”). The Plan is intended to be, and shall be administered as, an employee welfare benefit plan as defined in Section 3(1) of the Employee Retirement Income Security Act of 1974, as amended (“ERISA”). This document shall serve as the formal plan document and the summary plan description (“SPD”) for the Plan.</w:t>
      </w:r>
    </w:p>
    <w:p>
      <w:pPr>
        <w:spacing w:after="0" w:line="233" w:lineRule="exact"/>
        <w:rPr>
          <w:sz w:val="20"/>
          <w:szCs w:val="20"/>
          <w:color w:val="auto"/>
        </w:rPr>
      </w:pPr>
    </w:p>
    <w:p>
      <w:pPr>
        <w:jc w:val="both"/>
        <w:ind w:right="220" w:firstLine="4214"/>
        <w:spacing w:after="0" w:line="253" w:lineRule="auto"/>
        <w:rPr>
          <w:sz w:val="20"/>
          <w:szCs w:val="20"/>
          <w:color w:val="auto"/>
        </w:rPr>
      </w:pPr>
      <w:r>
        <w:rPr>
          <w:rFonts w:ascii="Arial" w:cs="Arial" w:eastAsia="Arial" w:hAnsi="Arial"/>
          <w:sz w:val="22"/>
          <w:szCs w:val="22"/>
          <w:color w:val="auto"/>
        </w:rPr>
        <w:t>The Plan is a self-funded severance benefit program that pays certain benefits to Eligible Employees who experience an Eligible Termination of employment from the Company or whose employment terminates following a Change in Control, as explained in Section 3 below.</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Section 2—Definitions</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“Affiliated Company”</w:t>
      </w:r>
      <w:r>
        <w:rPr>
          <w:rFonts w:ascii="Arial" w:cs="Arial" w:eastAsia="Arial" w:hAnsi="Arial"/>
          <w:sz w:val="22"/>
          <w:szCs w:val="22"/>
          <w:color w:val="auto"/>
        </w:rPr>
        <w:t xml:space="preserve"> means, as of any date, (i) the Company, and (ii) any company, person or organization which, on such date, (A) is a member of the same controlled group of corporations (within the meaning of Code Section 414(b)) as is the Company; (B) is a trade or business (whether or not incorporated) which controls, is controlled by or is under common control (within the meaning of Code Section 414(c)) with the Company; (C) is a member of an affiliated service group (as defined in Code Section 414(m)) which includes the Company; or (D) is required to be aggregated with the Company pursuant to regulations under Code Section 414(o).</w:t>
      </w:r>
    </w:p>
    <w:p>
      <w:pPr>
        <w:spacing w:after="0" w:line="228"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color w:val="auto"/>
        </w:rPr>
        <w:t>“Base Pay”</w:t>
      </w:r>
      <w:r>
        <w:rPr>
          <w:rFonts w:ascii="Arial" w:cs="Arial" w:eastAsia="Arial" w:hAnsi="Arial"/>
          <w:sz w:val="19"/>
          <w:szCs w:val="19"/>
          <w:color w:val="auto"/>
        </w:rPr>
        <w:t xml:space="preserve"> means an employee’s annual salary or wages from the Company at the time of termination. Base Pay shall be determined as reflected on the Company’s payroll and shall not include bonuses, overtime pay, shift premiums, commissions, employer contributions for benefits, incentive or deferred compensation or other additional compensation in any form.</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Ocwen Financial Corporation.</w:t>
      </w:r>
    </w:p>
    <w:p>
      <w:pPr>
        <w:spacing w:after="0" w:line="26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color w:val="auto"/>
        </w:rPr>
        <w:t>“Cause”</w:t>
      </w:r>
      <w:r>
        <w:rPr>
          <w:rFonts w:ascii="Arial" w:cs="Arial" w:eastAsia="Arial" w:hAnsi="Arial"/>
          <w:sz w:val="21"/>
          <w:szCs w:val="21"/>
          <w:color w:val="auto"/>
        </w:rPr>
        <w:t xml:space="preserve"> means the following (as determined by the Company in its sole discretion): dishonesty, fraud or misrepresentation; inability to obtain or retain appropriate licenses; violation of any rule or regulation of any regulatory agency or self-regulatory agency; violation of any policy or rule of the Company or any Affiliated Company; commission of a crime; or any act or omission detrimental to the conduct of the business of the Company or any Affiliated Company.</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 xml:space="preserve">“Change of Control” </w:t>
      </w:r>
      <w:r>
        <w:rPr>
          <w:rFonts w:ascii="Arial" w:cs="Arial" w:eastAsia="Arial" w:hAnsi="Arial"/>
          <w:sz w:val="19"/>
          <w:szCs w:val="19"/>
          <w:color w:val="auto"/>
        </w:rPr>
        <w:t>shall mean the date as of which, the occurrence of 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98" w:right="239" w:bottom="1440" w:gutter="0" w:footer="0" w:header="0"/>
        </w:sectPr>
      </w:pPr>
    </w:p>
    <w:bookmarkStart w:id="205" w:name="page206"/>
    <w:bookmarkEnd w:id="205"/>
    <w:p>
      <w:pPr>
        <w:jc w:val="both"/>
        <w:ind w:left="1300" w:hanging="644"/>
        <w:spacing w:after="0" w:line="250" w:lineRule="auto"/>
        <w:tabs>
          <w:tab w:leader="none" w:pos="13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 “change in the ownership” of the Company within the meaning of Treasury Regulation 1.409A-3(i)(5)(v) (which, for illustrative purposes, is generally triggered if any one person (or persons acting as a group) acquire ownership of Company stock which constitutes more than 50% of the total fair market value or total voting power of the stock of the Company; or</w:t>
      </w:r>
    </w:p>
    <w:p>
      <w:pPr>
        <w:spacing w:after="0" w:line="228" w:lineRule="exact"/>
        <w:rPr>
          <w:rFonts w:ascii="Arial" w:cs="Arial" w:eastAsia="Arial" w:hAnsi="Arial"/>
          <w:sz w:val="22"/>
          <w:szCs w:val="22"/>
          <w:color w:val="auto"/>
        </w:rPr>
      </w:pPr>
    </w:p>
    <w:p>
      <w:pPr>
        <w:ind w:left="1300" w:hanging="644"/>
        <w:spacing w:after="0"/>
        <w:tabs>
          <w:tab w:leader="none" w:pos="13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 “change in the effective control” of the Company within the meaning of Treasury Regulation 1.409A-3(i)(f)(vi)(A)</w:t>
      </w:r>
    </w:p>
    <w:p>
      <w:pPr>
        <w:spacing w:after="0" w:line="56" w:lineRule="exact"/>
        <w:rPr>
          <w:rFonts w:ascii="Arial" w:cs="Arial" w:eastAsia="Arial" w:hAnsi="Arial"/>
          <w:sz w:val="19"/>
          <w:szCs w:val="19"/>
          <w:color w:val="auto"/>
        </w:rPr>
      </w:pPr>
    </w:p>
    <w:p>
      <w:pPr>
        <w:jc w:val="both"/>
        <w:ind w:left="1300"/>
        <w:spacing w:after="0" w:line="244" w:lineRule="auto"/>
        <w:rPr>
          <w:rFonts w:ascii="Arial" w:cs="Arial" w:eastAsia="Arial" w:hAnsi="Arial"/>
          <w:sz w:val="19"/>
          <w:szCs w:val="19"/>
          <w:color w:val="auto"/>
        </w:rPr>
      </w:pPr>
      <w:r>
        <w:rPr>
          <w:rFonts w:ascii="Arial" w:cs="Arial" w:eastAsia="Arial" w:hAnsi="Arial"/>
          <w:sz w:val="22"/>
          <w:szCs w:val="22"/>
          <w:color w:val="auto"/>
        </w:rPr>
        <w:t>(1) (which, for illustrative purposes, is generally triggered if any one person (or persons acting as a group) acquire during a period of not more than twelve months ownership of stock of the Company possessing 30% or more of the total voting power of the stock of the Company; or certain majority changes in the membership of the Board occur over a period of not more than twelve months); or</w:t>
      </w:r>
    </w:p>
    <w:p>
      <w:pPr>
        <w:spacing w:after="0" w:line="236"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 change “in the ownership of a substantial portion of the assets” of the Company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acquisitions(s)).</w:t>
      </w: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 xml:space="preserve">“COBRA” </w:t>
      </w:r>
      <w:r>
        <w:rPr>
          <w:rFonts w:ascii="Arial" w:cs="Arial" w:eastAsia="Arial" w:hAnsi="Arial"/>
          <w:sz w:val="19"/>
          <w:szCs w:val="19"/>
          <w:color w:val="auto"/>
        </w:rPr>
        <w:t>means the Consolidated Omnibus Budget Reconciliation Act of 1985.</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w:t>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means Ocwen Financial Corporation and any Affiliated Companies.</w:t>
      </w: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b w:val="1"/>
          <w:bCs w:val="1"/>
          <w:color w:val="auto"/>
        </w:rPr>
        <w:t>“Eligible Employee”</w:t>
      </w:r>
      <w:r>
        <w:rPr>
          <w:rFonts w:ascii="Arial" w:cs="Arial" w:eastAsia="Arial" w:hAnsi="Arial"/>
          <w:sz w:val="21"/>
          <w:szCs w:val="21"/>
          <w:color w:val="auto"/>
        </w:rPr>
        <w:t xml:space="preserve"> means an Employee of the Company who at the time he or she incurs an Eligible Termination is an Employee performing services for the Company (a) in the United States, or (b) as an Expatriate in a country other than the United States. For purposes of this Plan, the term “United States” shall include the fifty states and all territories and dependencies of the United States. Provided, however, that until October 4, 2019, the term “Eligible Employee” shall not include any individual that was an employee of PHH Corporation or any of its affiliates immediately prior to the October 4, 2018 closing of the merger transaction between the Company and PHH Corporation and certain of their affiliates.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b w:val="1"/>
          <w:bCs w:val="1"/>
          <w:color w:val="auto"/>
        </w:rPr>
        <w:t>“Eligible Termination”</w:t>
      </w:r>
      <w:r>
        <w:rPr>
          <w:rFonts w:ascii="Arial" w:cs="Arial" w:eastAsia="Arial" w:hAnsi="Arial"/>
          <w:sz w:val="22"/>
          <w:szCs w:val="22"/>
          <w:color w:val="auto"/>
        </w:rPr>
        <w:t xml:space="preserve"> means an Employee’s involuntary termination of employment with the Company following a Change in Control. A termination of employment with the Company for any of the following reasons shall not constitute an Eligible Termination:</w:t>
      </w:r>
    </w:p>
    <w:p>
      <w:pPr>
        <w:spacing w:after="0" w:line="223" w:lineRule="exact"/>
        <w:rPr>
          <w:sz w:val="20"/>
          <w:szCs w:val="20"/>
          <w:color w:val="auto"/>
        </w:rPr>
      </w:pPr>
    </w:p>
    <w:p>
      <w:pPr>
        <w:jc w:val="both"/>
        <w:ind w:left="1300" w:right="20" w:hanging="644"/>
        <w:spacing w:after="0" w:line="253" w:lineRule="auto"/>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transfer of any Employee to any (1) Affiliated Company, or (2) entity which is controlled by the Company through the ownership of a majority of its voting stock (or other equivalent ownership interest), either directly or indirectly through one or more intermediaries;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04" w:right="239" w:bottom="1440" w:gutter="0" w:footer="0" w:header="0"/>
        </w:sectPr>
      </w:pPr>
    </w:p>
    <w:bookmarkStart w:id="206" w:name="page207"/>
    <w:bookmarkEnd w:id="206"/>
    <w:p>
      <w:pPr>
        <w:ind w:left="1200" w:hanging="544"/>
        <w:spacing w:after="0"/>
        <w:tabs>
          <w:tab w:leader="none" w:pos="12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voluntary termination of employment, unless so determined by the Company;</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voluntary retirement;</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death;</w:t>
      </w:r>
    </w:p>
    <w:p>
      <w:pPr>
        <w:spacing w:after="0" w:line="260" w:lineRule="exact"/>
        <w:rPr>
          <w:rFonts w:ascii="Arial" w:cs="Arial" w:eastAsia="Arial" w:hAnsi="Arial"/>
          <w:sz w:val="22"/>
          <w:szCs w:val="22"/>
          <w:color w:val="auto"/>
        </w:rPr>
      </w:pPr>
    </w:p>
    <w:p>
      <w:pPr>
        <w:ind w:left="1200" w:hanging="544"/>
        <w:spacing w:after="0"/>
        <w:tabs>
          <w:tab w:leader="none" w:pos="12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Cause;</w:t>
      </w:r>
    </w:p>
    <w:p>
      <w:pPr>
        <w:spacing w:after="0" w:line="260"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inability to perform the basic requirements of his or her position with or without reasonable accommodation due to physical or mental incapacity and after the Employee’s short-term disability benefits have expired under the terms of any applicable Company-sponsored benefits plan; or</w:t>
      </w:r>
    </w:p>
    <w:p>
      <w:pPr>
        <w:spacing w:after="0" w:line="226" w:lineRule="exact"/>
        <w:rPr>
          <w:rFonts w:ascii="Arial" w:cs="Arial" w:eastAsia="Arial" w:hAnsi="Arial"/>
          <w:sz w:val="22"/>
          <w:szCs w:val="22"/>
          <w:color w:val="auto"/>
        </w:rPr>
      </w:pPr>
    </w:p>
    <w:p>
      <w:pPr>
        <w:ind w:left="1200" w:hanging="544"/>
        <w:spacing w:after="0"/>
        <w:tabs>
          <w:tab w:leader="none" w:pos="12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failure to return from an approved leave of absence.</w:t>
      </w:r>
    </w:p>
    <w:p>
      <w:pPr>
        <w:spacing w:after="0" w:line="260" w:lineRule="exact"/>
        <w:rPr>
          <w:sz w:val="20"/>
          <w:szCs w:val="20"/>
          <w:color w:val="auto"/>
        </w:rPr>
      </w:pPr>
    </w:p>
    <w:p>
      <w:pPr>
        <w:jc w:val="both"/>
        <w:ind w:firstLine="4214"/>
        <w:spacing w:after="0" w:line="250" w:lineRule="auto"/>
        <w:rPr>
          <w:sz w:val="20"/>
          <w:szCs w:val="20"/>
          <w:color w:val="auto"/>
        </w:rPr>
      </w:pPr>
      <w:r>
        <w:rPr>
          <w:rFonts w:ascii="Arial" w:cs="Arial" w:eastAsia="Arial" w:hAnsi="Arial"/>
          <w:sz w:val="22"/>
          <w:szCs w:val="22"/>
          <w:color w:val="auto"/>
        </w:rPr>
        <w:t>Notwithstanding anything else herein to the contrary, an Eligible Termination shall not occur for purposes of the Plan unless and until the Eligible Employee has had a “separation from service” within the meaning of Section 409A of the Code, as amended, and the regulations and other guidance promulgated thereunder, except as otherwise provided below.</w:t>
      </w:r>
    </w:p>
    <w:p>
      <w:pPr>
        <w:spacing w:after="0" w:line="229" w:lineRule="exact"/>
        <w:rPr>
          <w:sz w:val="20"/>
          <w:szCs w:val="20"/>
          <w:color w:val="auto"/>
        </w:rPr>
      </w:pPr>
    </w:p>
    <w:p>
      <w:pPr>
        <w:jc w:val="both"/>
        <w:ind w:firstLine="4214"/>
        <w:spacing w:after="0" w:line="248" w:lineRule="auto"/>
        <w:rPr>
          <w:sz w:val="20"/>
          <w:szCs w:val="20"/>
          <w:color w:val="auto"/>
        </w:rPr>
      </w:pPr>
      <w:r>
        <w:rPr>
          <w:rFonts w:ascii="Arial" w:cs="Arial" w:eastAsia="Arial" w:hAnsi="Arial"/>
          <w:sz w:val="22"/>
          <w:szCs w:val="22"/>
          <w:color w:val="auto"/>
        </w:rPr>
        <w:t>An Employee whose employment with the Company is relocated to a different job location shall be considered to have experienced an “involuntary termination of employment” only if the Employee’s new job location is more than 50 miles from the Employee’s prior location; otherwise, such relocation shall not be considered an “involuntary termination of employment.” If the Employee is offered a telecommuting position, he or she shall not be considered to have experienced an “involuntary termination of employment.”</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color w:val="auto"/>
        </w:rPr>
        <w:t>“Employee”</w:t>
      </w:r>
      <w:r>
        <w:rPr>
          <w:rFonts w:ascii="Arial" w:cs="Arial" w:eastAsia="Arial" w:hAnsi="Arial"/>
          <w:sz w:val="22"/>
          <w:szCs w:val="22"/>
          <w:color w:val="auto"/>
        </w:rPr>
        <w:t xml:space="preserve"> means any individual who is compensated by the Company for services actually rendered as a regular full-time or regular part-time (but not a temporary) employee. “Employee” shall not include:</w:t>
      </w:r>
    </w:p>
    <w:p>
      <w:pPr>
        <w:spacing w:after="0" w:line="209" w:lineRule="exact"/>
        <w:rPr>
          <w:sz w:val="20"/>
          <w:szCs w:val="20"/>
          <w:color w:val="auto"/>
        </w:rPr>
      </w:pPr>
    </w:p>
    <w:p>
      <w:pPr>
        <w:jc w:val="both"/>
        <w:ind w:left="1300" w:hanging="644"/>
        <w:spacing w:after="0" w:line="253" w:lineRule="auto"/>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individual who is performing services under an independent contractor or consultant agreement or arrangement (even if a court, the Internal Revenue Service, or any other entity determines that such individual is a common law employee);</w:t>
      </w:r>
    </w:p>
    <w:p>
      <w:pPr>
        <w:spacing w:after="0" w:line="226"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individual providing services for the Company pursuant to an agreement between the Company and a third party (even if a court, the Internal Revenue Service, or any other entity determines that such individual is a common law employee);</w:t>
      </w:r>
    </w:p>
    <w:p>
      <w:pPr>
        <w:spacing w:after="0" w:line="226"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person who performs services for the Company but who is treated for payroll purposes as other than an Employee of an Employer (even if a court, the Internal Revenue Service, or any other entity determines that such individual is a common law employee).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61" w:right="239" w:bottom="1440" w:gutter="0" w:footer="0" w:header="0"/>
        </w:sectPr>
      </w:pPr>
    </w:p>
    <w:bookmarkStart w:id="207" w:name="page208"/>
    <w:bookmarkEnd w:id="207"/>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w:t>
      </w:r>
    </w:p>
    <w:p>
      <w:pPr>
        <w:spacing w:after="0" w:line="260"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b w:val="1"/>
          <w:bCs w:val="1"/>
          <w:color w:val="auto"/>
        </w:rPr>
        <w:t>“Expatriate”</w:t>
      </w:r>
      <w:r>
        <w:rPr>
          <w:rFonts w:ascii="Arial" w:cs="Arial" w:eastAsia="Arial" w:hAnsi="Arial"/>
          <w:sz w:val="22"/>
          <w:szCs w:val="22"/>
          <w:color w:val="auto"/>
        </w:rPr>
        <w:t xml:space="preserve"> means an Employee of a Company who, at the time he or she incurs an Eligible Termination, is designated by the Company as being on assignment as a United States expatriate on behalf of the Company.</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 xml:space="preserve">“Month of Base Pay” </w:t>
      </w:r>
      <w:r>
        <w:rPr>
          <w:rFonts w:ascii="Arial" w:cs="Arial" w:eastAsia="Arial" w:hAnsi="Arial"/>
          <w:sz w:val="19"/>
          <w:szCs w:val="19"/>
          <w:color w:val="auto"/>
        </w:rPr>
        <w:t>means one twelfth (1/12) of the Eligible Employee’s Base Pay.</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Ocwen Financial Corporation United States Change in Control Severance Plan described herein.</w:t>
      </w:r>
    </w:p>
    <w:p>
      <w:pPr>
        <w:spacing w:after="0" w:line="260"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b w:val="1"/>
          <w:bCs w:val="1"/>
          <w:color w:val="auto"/>
        </w:rPr>
        <w:t>“Plan Administrator”</w:t>
      </w:r>
      <w:r>
        <w:rPr>
          <w:rFonts w:ascii="Arial" w:cs="Arial" w:eastAsia="Arial" w:hAnsi="Arial"/>
          <w:sz w:val="22"/>
          <w:szCs w:val="22"/>
          <w:color w:val="auto"/>
        </w:rPr>
        <w:t xml:space="preserve"> shall mean, unless and until a Change in Control, Ocwen Financial Corporation or such other person or committee appointed from time to time by Ocwen Financial Corporation to administer the Plan. Until a successor is appointed by the Company, the Plan Administrator shall be Ocwen Financial Corporation.</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2.17 </w:t>
      </w:r>
      <w:r>
        <w:rPr>
          <w:rFonts w:ascii="Arial" w:cs="Arial" w:eastAsia="Arial" w:hAnsi="Arial"/>
          <w:sz w:val="21"/>
          <w:szCs w:val="21"/>
          <w:b w:val="1"/>
          <w:bCs w:val="1"/>
          <w:color w:val="auto"/>
        </w:rPr>
        <w:t>“Separation Agreement and General Release”</w:t>
      </w:r>
      <w:r>
        <w:rPr>
          <w:rFonts w:ascii="Arial" w:cs="Arial" w:eastAsia="Arial" w:hAnsi="Arial"/>
          <w:sz w:val="21"/>
          <w:szCs w:val="21"/>
          <w:color w:val="auto"/>
        </w:rPr>
        <w:t xml:space="preserve"> means a written document that includes a release of rights and claims from an Eligible Employee in a form that is satisfactory to, and approved by, the Company. The Separation Agreement and General Release may include, among other things: (a) non-competition and/or non-solicitation provisions; (b) a waiver and release (and covenant not to sue) of any and all claims, including claims arising from the Eligible Employee’s employment and/or separation from employment with the Participating Company except as limited and/or prohibited by applicable law; (c) nondisclosure and confidentiality provisions; and (d) non-disparagement provisions.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color w:val="auto"/>
        </w:rPr>
        <w:t xml:space="preserve">“Severance Pay” </w:t>
      </w:r>
      <w:r>
        <w:rPr>
          <w:rFonts w:ascii="Arial" w:cs="Arial" w:eastAsia="Arial" w:hAnsi="Arial"/>
          <w:sz w:val="19"/>
          <w:szCs w:val="19"/>
          <w:color w:val="auto"/>
        </w:rPr>
        <w:t>means the amount, if any, payable under Section 3 of the Plan to an Eligible Employee.</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b w:val="1"/>
          <w:bCs w:val="1"/>
          <w:color w:val="auto"/>
        </w:rPr>
        <w:t xml:space="preserve">“Week of Base Pay” </w:t>
      </w:r>
      <w:r>
        <w:rPr>
          <w:rFonts w:ascii="Arial" w:cs="Arial" w:eastAsia="Arial" w:hAnsi="Arial"/>
          <w:sz w:val="19"/>
          <w:szCs w:val="19"/>
          <w:color w:val="auto"/>
        </w:rPr>
        <w:t>means one fifty-second (1/52) of the Eligible Employee’s Base Pay.</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2.20 </w:t>
      </w:r>
      <w:r>
        <w:rPr>
          <w:rFonts w:ascii="Arial" w:cs="Arial" w:eastAsia="Arial" w:hAnsi="Arial"/>
          <w:sz w:val="21"/>
          <w:szCs w:val="21"/>
          <w:b w:val="1"/>
          <w:bCs w:val="1"/>
          <w:color w:val="auto"/>
        </w:rPr>
        <w:t>“Year of Service”</w:t>
      </w:r>
      <w:r>
        <w:rPr>
          <w:rFonts w:ascii="Arial" w:cs="Arial" w:eastAsia="Arial" w:hAnsi="Arial"/>
          <w:sz w:val="21"/>
          <w:szCs w:val="21"/>
          <w:color w:val="auto"/>
        </w:rPr>
        <w:t xml:space="preserve"> means a 12-month period of employment with the Company. A period of service shorter than 12 months will be considered a partial Year of Service. For example, an Eligible Employee who has worked five years and six months will have accrued five and one-half (5.5) Years of Service. If an Eligible Employee previously terminated employment with the Company and was subsequently rehired, the prior service with the Company will be counted towards the total Years of Service only if he/she was rehired less than twelve months before the Eligible Termination.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3—Severance Benefits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i w:val="1"/>
          <w:iCs w:val="1"/>
          <w:color w:val="auto"/>
        </w:rPr>
        <w:t>Eligible Terminations.</w:t>
      </w:r>
    </w:p>
    <w:p>
      <w:pPr>
        <w:spacing w:after="0" w:line="260" w:lineRule="exact"/>
        <w:rPr>
          <w:sz w:val="20"/>
          <w:szCs w:val="20"/>
          <w:color w:val="auto"/>
        </w:rPr>
      </w:pPr>
    </w:p>
    <w:p>
      <w:pPr>
        <w:ind w:left="1300" w:hanging="644"/>
        <w:spacing w:after="0" w:line="263"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 Eligible Employee shall be entitled to receive benefits under this Plan following a Change of Control in the event that either: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9" w:right="239" w:bottom="1440" w:gutter="0" w:footer="0" w:header="0"/>
        </w:sectPr>
      </w:pPr>
    </w:p>
    <w:bookmarkStart w:id="208" w:name="page209"/>
    <w:bookmarkEnd w:id="208"/>
    <w:p>
      <w:pPr>
        <w:ind w:left="1304" w:right="20" w:hanging="655"/>
        <w:spacing w:after="0" w:line="263" w:lineRule="auto"/>
        <w:tabs>
          <w:tab w:leader="none" w:pos="1304"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Eligible Employee’s employment with the Company is terminated within the twelve-month period following such Change in Control; or</w:t>
      </w:r>
    </w:p>
    <w:p>
      <w:pPr>
        <w:spacing w:after="0" w:line="215" w:lineRule="exact"/>
        <w:rPr>
          <w:rFonts w:ascii="Arial" w:cs="Arial" w:eastAsia="Arial" w:hAnsi="Arial"/>
          <w:sz w:val="22"/>
          <w:szCs w:val="22"/>
          <w:color w:val="auto"/>
        </w:rPr>
      </w:pPr>
    </w:p>
    <w:p>
      <w:pPr>
        <w:jc w:val="both"/>
        <w:ind w:left="1304" w:hanging="655"/>
        <w:spacing w:after="0" w:line="261" w:lineRule="auto"/>
        <w:tabs>
          <w:tab w:leader="none" w:pos="1304" w:val="left"/>
        </w:tabs>
        <w:numPr>
          <w:ilvl w:val="1"/>
          <w:numId w:val="118"/>
        </w:numPr>
        <w:rPr>
          <w:rFonts w:ascii="Arial" w:cs="Arial" w:eastAsia="Arial" w:hAnsi="Arial"/>
          <w:sz w:val="21"/>
          <w:szCs w:val="21"/>
          <w:color w:val="auto"/>
        </w:rPr>
      </w:pPr>
      <w:r>
        <w:rPr>
          <w:rFonts w:ascii="Arial" w:cs="Arial" w:eastAsia="Arial" w:hAnsi="Arial"/>
          <w:sz w:val="21"/>
          <w:szCs w:val="21"/>
          <w:color w:val="auto"/>
        </w:rPr>
        <w:t>the Eligible Employee has been requested in writing by the Company to continue in the employment of the Company through a specified date, under terms and conditions of employment, at the place of employment and with the same salary and benefits that the Eligible Employee was provided prior to the Change of Control, and who satisfies such request by remaining in the employment of the Company for the specified period. Such Eligible Employee shall be eligible for the benefits under Section 3.1(b) upon the Eligible Employee’s termination of employment on such specified date.</w:t>
      </w:r>
    </w:p>
    <w:p>
      <w:pPr>
        <w:spacing w:after="0" w:line="220"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 Eligible Employee entitled to benefits as a result of Section 3.1(a) of this Plan shall receive and the Company shall pay or, with respect to certain benefits hereinafter described, shall cause to be paid to the Eligible Employee or his or her beneficiary the following benefits:</w:t>
      </w:r>
    </w:p>
    <w:p>
      <w:pPr>
        <w:spacing w:after="0" w:line="226" w:lineRule="exact"/>
        <w:rPr>
          <w:rFonts w:ascii="Arial" w:cs="Arial" w:eastAsia="Arial" w:hAnsi="Arial"/>
          <w:sz w:val="22"/>
          <w:szCs w:val="22"/>
          <w:color w:val="auto"/>
        </w:rPr>
      </w:pPr>
    </w:p>
    <w:p>
      <w:pPr>
        <w:ind w:left="1304" w:hanging="655"/>
        <w:spacing w:after="0"/>
        <w:tabs>
          <w:tab w:leader="none" w:pos="130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following Severance Pay:</w:t>
      </w:r>
    </w:p>
    <w:p>
      <w:pPr>
        <w:spacing w:after="0" w:line="260" w:lineRule="exact"/>
        <w:rPr>
          <w:rFonts w:ascii="Arial" w:cs="Arial" w:eastAsia="Arial" w:hAnsi="Arial"/>
          <w:sz w:val="22"/>
          <w:szCs w:val="22"/>
          <w:color w:val="auto"/>
        </w:rPr>
      </w:pPr>
    </w:p>
    <w:p>
      <w:pPr>
        <w:jc w:val="both"/>
        <w:ind w:left="1944" w:hanging="647"/>
        <w:spacing w:after="0" w:line="253" w:lineRule="auto"/>
        <w:tabs>
          <w:tab w:leader="none" w:pos="1944" w:val="left"/>
        </w:tabs>
        <w:numPr>
          <w:ilvl w:val="2"/>
          <w:numId w:val="119"/>
        </w:numPr>
        <w:rPr>
          <w:rFonts w:ascii="Arial" w:cs="Arial" w:eastAsia="Arial" w:hAnsi="Arial"/>
          <w:sz w:val="22"/>
          <w:szCs w:val="22"/>
          <w:color w:val="auto"/>
        </w:rPr>
      </w:pPr>
      <w:r>
        <w:rPr>
          <w:rFonts w:ascii="Arial" w:cs="Arial" w:eastAsia="Arial" w:hAnsi="Arial"/>
          <w:sz w:val="22"/>
          <w:szCs w:val="22"/>
          <w:color w:val="auto"/>
        </w:rPr>
        <w:t>For an Eligible Employee holding the title of Executive Vice President at the time of his/her termination: 24 Months of Base Pay and a payment equivalent to the prorated target award under the Annual Incentive Plan.</w:t>
      </w:r>
    </w:p>
    <w:p>
      <w:pPr>
        <w:spacing w:after="0" w:line="226" w:lineRule="exact"/>
        <w:rPr>
          <w:rFonts w:ascii="Arial" w:cs="Arial" w:eastAsia="Arial" w:hAnsi="Arial"/>
          <w:sz w:val="22"/>
          <w:szCs w:val="22"/>
          <w:color w:val="auto"/>
        </w:rPr>
      </w:pPr>
    </w:p>
    <w:p>
      <w:pPr>
        <w:ind w:left="1944" w:hanging="647"/>
        <w:spacing w:after="0" w:line="263" w:lineRule="auto"/>
        <w:tabs>
          <w:tab w:leader="none" w:pos="1944" w:val="left"/>
        </w:tabs>
        <w:numPr>
          <w:ilvl w:val="2"/>
          <w:numId w:val="119"/>
        </w:numPr>
        <w:rPr>
          <w:rFonts w:ascii="Arial" w:cs="Arial" w:eastAsia="Arial" w:hAnsi="Arial"/>
          <w:sz w:val="22"/>
          <w:szCs w:val="22"/>
          <w:color w:val="auto"/>
        </w:rPr>
      </w:pPr>
      <w:r>
        <w:rPr>
          <w:rFonts w:ascii="Arial" w:cs="Arial" w:eastAsia="Arial" w:hAnsi="Arial"/>
          <w:sz w:val="22"/>
          <w:szCs w:val="22"/>
          <w:color w:val="auto"/>
        </w:rPr>
        <w:t>For an Eligible Employee holding the title of Senior Vice President at the time of his/her termination: 15 Months of Base Pay.</w:t>
      </w:r>
    </w:p>
    <w:p>
      <w:pPr>
        <w:spacing w:after="0" w:line="215" w:lineRule="exact"/>
        <w:rPr>
          <w:rFonts w:ascii="Arial" w:cs="Arial" w:eastAsia="Arial" w:hAnsi="Arial"/>
          <w:sz w:val="22"/>
          <w:szCs w:val="22"/>
          <w:color w:val="auto"/>
        </w:rPr>
      </w:pPr>
    </w:p>
    <w:p>
      <w:pPr>
        <w:ind w:left="1944" w:hanging="647"/>
        <w:spacing w:after="0" w:line="263" w:lineRule="auto"/>
        <w:tabs>
          <w:tab w:leader="none" w:pos="1944" w:val="left"/>
        </w:tabs>
        <w:numPr>
          <w:ilvl w:val="2"/>
          <w:numId w:val="119"/>
        </w:numPr>
        <w:rPr>
          <w:rFonts w:ascii="Arial" w:cs="Arial" w:eastAsia="Arial" w:hAnsi="Arial"/>
          <w:sz w:val="22"/>
          <w:szCs w:val="22"/>
          <w:color w:val="auto"/>
        </w:rPr>
      </w:pPr>
      <w:r>
        <w:rPr>
          <w:rFonts w:ascii="Arial" w:cs="Arial" w:eastAsia="Arial" w:hAnsi="Arial"/>
          <w:sz w:val="22"/>
          <w:szCs w:val="22"/>
          <w:color w:val="auto"/>
        </w:rPr>
        <w:t>For an Eligible Employee holding the title of Vice President or Director at the time of his/her termination: 9 Months of Base Pay.</w:t>
      </w:r>
    </w:p>
    <w:p>
      <w:pPr>
        <w:spacing w:after="0" w:line="215" w:lineRule="exact"/>
        <w:rPr>
          <w:rFonts w:ascii="Arial" w:cs="Arial" w:eastAsia="Arial" w:hAnsi="Arial"/>
          <w:sz w:val="22"/>
          <w:szCs w:val="22"/>
          <w:color w:val="auto"/>
        </w:rPr>
      </w:pPr>
    </w:p>
    <w:p>
      <w:pPr>
        <w:jc w:val="both"/>
        <w:ind w:left="1944" w:right="20" w:hanging="647"/>
        <w:spacing w:after="0" w:line="302" w:lineRule="auto"/>
        <w:tabs>
          <w:tab w:leader="none" w:pos="1944" w:val="left"/>
        </w:tabs>
        <w:numPr>
          <w:ilvl w:val="2"/>
          <w:numId w:val="119"/>
        </w:numPr>
        <w:rPr>
          <w:rFonts w:ascii="Arial" w:cs="Arial" w:eastAsia="Arial" w:hAnsi="Arial"/>
          <w:sz w:val="19"/>
          <w:szCs w:val="19"/>
          <w:color w:val="auto"/>
        </w:rPr>
      </w:pPr>
      <w:r>
        <w:rPr>
          <w:rFonts w:ascii="Arial" w:cs="Arial" w:eastAsia="Arial" w:hAnsi="Arial"/>
          <w:sz w:val="19"/>
          <w:szCs w:val="19"/>
          <w:color w:val="auto"/>
        </w:rPr>
        <w:t>For an Eligible Employee that is considered exempt under the Fair Labor Standards Act (“FLSA”) and holding the title of senior manager, manager, assistant manager, team lead, supervisor or employee at the time of his/her termination: 2 Weeks of Base Pay per Year of Service, with a minimum payment of 8 Weeks of Base Pay and a maximum payment of 52 Weeks of Base Pay.</w:t>
      </w:r>
    </w:p>
    <w:p>
      <w:pPr>
        <w:spacing w:after="0" w:line="183" w:lineRule="exact"/>
        <w:rPr>
          <w:rFonts w:ascii="Arial" w:cs="Arial" w:eastAsia="Arial" w:hAnsi="Arial"/>
          <w:sz w:val="19"/>
          <w:szCs w:val="19"/>
          <w:color w:val="auto"/>
        </w:rPr>
      </w:pPr>
    </w:p>
    <w:p>
      <w:pPr>
        <w:jc w:val="both"/>
        <w:ind w:left="1944" w:hanging="647"/>
        <w:spacing w:after="0" w:line="253" w:lineRule="auto"/>
        <w:tabs>
          <w:tab w:leader="none" w:pos="1944" w:val="left"/>
        </w:tabs>
        <w:numPr>
          <w:ilvl w:val="2"/>
          <w:numId w:val="119"/>
        </w:numPr>
        <w:rPr>
          <w:rFonts w:ascii="Arial" w:cs="Arial" w:eastAsia="Arial" w:hAnsi="Arial"/>
          <w:sz w:val="22"/>
          <w:szCs w:val="22"/>
          <w:color w:val="auto"/>
        </w:rPr>
      </w:pPr>
      <w:r>
        <w:rPr>
          <w:rFonts w:ascii="Arial" w:cs="Arial" w:eastAsia="Arial" w:hAnsi="Arial"/>
          <w:sz w:val="22"/>
          <w:szCs w:val="22"/>
          <w:color w:val="auto"/>
        </w:rPr>
        <w:t>For an Eligible Employee that is non-exempt under FLSA at the time of his/her termination: 1 Weeks of Base Pay per Year of Service, with a minimum payment of 4 Weeks of Base Pay and a maximum payment of 26 Weeks of Base Pay.</w:t>
      </w:r>
    </w:p>
    <w:p>
      <w:pPr>
        <w:spacing w:after="0" w:line="226" w:lineRule="exact"/>
        <w:rPr>
          <w:rFonts w:ascii="Arial" w:cs="Arial" w:eastAsia="Arial" w:hAnsi="Arial"/>
          <w:sz w:val="22"/>
          <w:szCs w:val="22"/>
          <w:color w:val="auto"/>
        </w:rPr>
      </w:pPr>
    </w:p>
    <w:p>
      <w:pPr>
        <w:jc w:val="both"/>
        <w:ind w:left="1304" w:hanging="655"/>
        <w:spacing w:after="0" w:line="253" w:lineRule="auto"/>
        <w:tabs>
          <w:tab w:leader="none" w:pos="130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The following subsidy of COBRA continuation coverage: If the Eligible Employee is eligible to continue his/her Company-sponsored group health plan benefits pursuant to COBRA, the cost of such continuation coverage</w:t>
      </w:r>
    </w:p>
    <w:p>
      <w:pPr>
        <w:spacing w:after="0" w:line="204"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64"/>
          </w:cols>
          <w:pgMar w:left="896" w:top="604" w:right="239" w:bottom="1440" w:gutter="0" w:footer="0" w:header="0"/>
        </w:sectPr>
      </w:pPr>
    </w:p>
    <w:bookmarkStart w:id="209" w:name="page210"/>
    <w:bookmarkEnd w:id="209"/>
    <w:p>
      <w:pPr>
        <w:jc w:val="both"/>
        <w:ind w:left="1960"/>
        <w:spacing w:after="0" w:line="259" w:lineRule="auto"/>
        <w:rPr>
          <w:sz w:val="20"/>
          <w:szCs w:val="20"/>
          <w:color w:val="auto"/>
        </w:rPr>
      </w:pPr>
      <w:r>
        <w:rPr>
          <w:rFonts w:ascii="Arial" w:cs="Arial" w:eastAsia="Arial" w:hAnsi="Arial"/>
          <w:sz w:val="21"/>
          <w:szCs w:val="21"/>
          <w:color w:val="auto"/>
        </w:rPr>
        <w:t>shall be equal to the cost of such coverage for active employees. Such subsidy shall continue for the number of months that correspond to the number of Months of Base Pay payable for the Eligible Employee under Section 3.1(b)(1) above. Partial months of Severance Pay shall be rounded up so that the subsidy continues for a complete calendar month. For example, if an Eligible Employee’s Severance Pay is based on fewer than four Weeks of Pay, he or she shall be eligible for one month of subsidized COBRA coverage. COBRA continuation coverage shall be governed pursuant to the terms of the relevant benefit plan documents. It shall be the Eligible Employee’s sole responsibility to timely elect COBRA and to pay his/her share of the cost of such coverage.</w:t>
      </w:r>
    </w:p>
    <w:p>
      <w:pPr>
        <w:spacing w:after="0" w:line="225" w:lineRule="exact"/>
        <w:rPr>
          <w:sz w:val="20"/>
          <w:szCs w:val="20"/>
          <w:color w:val="auto"/>
        </w:rPr>
      </w:pPr>
    </w:p>
    <w:p>
      <w:pPr>
        <w:ind w:left="1960" w:right="80" w:hanging="655"/>
        <w:spacing w:after="0" w:line="271" w:lineRule="auto"/>
        <w:tabs>
          <w:tab w:leader="none" w:pos="19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following relocation benefits: If the Eligible Employee was relocated to St. Croix, United States Virgin Islands at the direction of the Company, such employee may be eligible for relocation benefits in accordance with the USVI Relocation Program of Ocwen Mortgage Servicing, Inc.</w:t>
      </w:r>
    </w:p>
    <w:p>
      <w:pPr>
        <w:spacing w:after="0" w:line="208" w:lineRule="exact"/>
        <w:rPr>
          <w:rFonts w:ascii="Arial" w:cs="Arial" w:eastAsia="Arial" w:hAnsi="Arial"/>
          <w:sz w:val="21"/>
          <w:szCs w:val="21"/>
          <w:color w:val="auto"/>
        </w:rPr>
      </w:pPr>
    </w:p>
    <w:p>
      <w:pPr>
        <w:ind w:left="1960" w:right="1400" w:hanging="655"/>
        <w:spacing w:after="0" w:line="263" w:lineRule="auto"/>
        <w:tabs>
          <w:tab w:leader="none" w:pos="19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Treatment of any and all equity awards will be governed by the individual award agreements, notwithstanding anything to the contrary in this Plan.</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i w:val="1"/>
          <w:iCs w:val="1"/>
          <w:color w:val="auto"/>
        </w:rPr>
        <w:t>Payment of Benefits</w:t>
      </w:r>
      <w:r>
        <w:rPr>
          <w:rFonts w:ascii="Arial" w:cs="Arial" w:eastAsia="Arial" w:hAnsi="Arial"/>
          <w:sz w:val="21"/>
          <w:szCs w:val="21"/>
          <w:color w:val="auto"/>
        </w:rPr>
        <w:t>. Severance Pay will be payable in the form of a lump sum payment, which is subject to applicable federal, state, and local tax deductions and withholdings. The payment will be made as soon as practicable after the Separation Agreement and Release has been fully executed and becomes irrevocable. Other benefits paid under the Plan (such as relocation reimbursements) may be subject to similar withholding as required by federal, state, and local laws.</w:t>
      </w:r>
    </w:p>
    <w:p>
      <w:pPr>
        <w:spacing w:after="0" w:line="21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i w:val="1"/>
          <w:iCs w:val="1"/>
          <w:color w:val="auto"/>
        </w:rPr>
        <w:t>Separation Agreement and Release</w:t>
      </w:r>
      <w:r>
        <w:rPr>
          <w:rFonts w:ascii="Arial" w:cs="Arial" w:eastAsia="Arial" w:hAnsi="Arial"/>
          <w:sz w:val="19"/>
          <w:szCs w:val="19"/>
          <w:color w:val="auto"/>
        </w:rPr>
        <w:t>. Any Severance Pay payable to an Eligible Employee under the Plan shall be conditioned upon the Eligible Employee signing and having notarized a Separation Agreement and Release (and not exercising his or her right of revocation under the Separation Agreement and Release) within such period of time as the Company shall require, in its sole discretion. Any grant of Severance Pay shall be null and void upon an Eligible Employee’s failure to sign, or subsequent revocation of, such Separation Agreement and General Release. Any breach by an Eligible Employee of a Separation Agreement and General Release upon which any grant of Severance Pay has been conditioned shall give the Company the right to terminate any payment otherwise due and/or to the return of such Severance Pay, in addition to any other remedy the Company may have.</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i w:val="1"/>
          <w:iCs w:val="1"/>
          <w:color w:val="auto"/>
        </w:rPr>
        <w:t>Reductions of Severance Pay</w:t>
      </w:r>
      <w:r>
        <w:rPr>
          <w:rFonts w:ascii="Arial" w:cs="Arial" w:eastAsia="Arial" w:hAnsi="Arial"/>
          <w:sz w:val="19"/>
          <w:szCs w:val="19"/>
          <w:color w:val="auto"/>
        </w:rPr>
        <w:t>. Subject to applicable law, any Severance Pay which the Company may grant to an Eligible Employee may, in the sole discretion of the Company, be reduced by any amounts owed by the Eligible Employee to the Company. The Eligible Employee’s right to receive such Severance Pay is conditioned upon his or her agreement to execute any documents deemed necessary or appropriate by the Company to reduce the Severance Pay by any such amounts owed.</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i w:val="1"/>
          <w:iCs w:val="1"/>
          <w:color w:val="auto"/>
        </w:rPr>
        <w:t>Repayment of Severance Pay upon Rehire</w:t>
      </w:r>
      <w:r>
        <w:rPr>
          <w:rFonts w:ascii="Arial" w:cs="Arial" w:eastAsia="Arial" w:hAnsi="Arial"/>
          <w:sz w:val="22"/>
          <w:szCs w:val="22"/>
          <w:color w:val="auto"/>
        </w:rPr>
        <w:t>. If an Eligible Employee who has incurred an Eligible Termination and has received Severance Pay is rehired by the Company during the period for which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604" w:right="239" w:bottom="1440" w:gutter="0" w:footer="0" w:header="0"/>
        </w:sectPr>
      </w:pPr>
    </w:p>
    <w:bookmarkStart w:id="210" w:name="page211"/>
    <w:bookmarkEnd w:id="210"/>
    <w:p>
      <w:pPr>
        <w:jc w:val="both"/>
        <w:spacing w:after="0" w:line="248" w:lineRule="auto"/>
        <w:rPr>
          <w:sz w:val="20"/>
          <w:szCs w:val="20"/>
          <w:color w:val="auto"/>
        </w:rPr>
      </w:pPr>
      <w:r>
        <w:rPr>
          <w:rFonts w:ascii="Arial" w:cs="Arial" w:eastAsia="Arial" w:hAnsi="Arial"/>
          <w:sz w:val="22"/>
          <w:szCs w:val="22"/>
          <w:color w:val="auto"/>
        </w:rPr>
        <w:t>Severance Pay was calculated, the Company shall require the Eligible Employee to return any or all amounts of Severance Pay that have been paid to the Eligible Employee for weeks that the Employee was re-hired. For example, if the Eligible Employee receives a lump sum severance payment of six Months of Base Pay but is rehired by the Company four months later, he/she must repay the equivalent of two Months of Base Pay. The amount of any COBRA subsidy (as described in Section 3.1(b)(2)) is not required to be repaid.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4—Interpretation and Administration</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Duties of the Plan Administrator</w:t>
      </w:r>
      <w:r>
        <w:rPr>
          <w:rFonts w:ascii="Arial" w:cs="Arial" w:eastAsia="Arial" w:hAnsi="Arial"/>
          <w:sz w:val="19"/>
          <w:szCs w:val="19"/>
          <w:color w:val="auto"/>
        </w:rPr>
        <w:t>. The Plan Administrator shall be responsible for the administration of the Plan and may appoint other persons or entities to perform or assist in the performance of any of its duties, subject to its review and approval. The Plan Administrator shall have the right to remove any such appointee from his position without cause upon notice.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Powers</w:t>
      </w:r>
      <w:r>
        <w:rPr>
          <w:rFonts w:ascii="Arial" w:cs="Arial" w:eastAsia="Arial" w:hAnsi="Arial"/>
          <w:sz w:val="19"/>
          <w:szCs w:val="19"/>
          <w:color w:val="auto"/>
        </w:rPr>
        <w:t>. The Plan Administrator shall administer the Plan in accordance with its terms and shall have all powers necessary to carry out the provisions of the Plan as more particularly set forth herein. The Plan Administrator shall have discretionary authority to interpret the Plan, and to determine all questions arising in the administration, interpretation, and application of the Plan; provided, however, that such discretionary authority shall be exercised in good faith in order to achieve the principal purposes of the Plan to provide severance benefits, including enhanced severance benefits upon a Change of Control, as described above. All such determinations shall be conclusive and binding on all interested persons. The Plan Administrator shall adopt such procedures and regulations necessary and/or desirable for the discharge of its duties hereunder and may appoint such accountants, counsel, actuaries, specialists, and other agents as it deems necessary and/or desirable in connection with the administration of this Plan.</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color w:val="auto"/>
        </w:rPr>
        <w:t>Compensation of the Plan Administrator</w:t>
      </w:r>
      <w:r>
        <w:rPr>
          <w:rFonts w:ascii="Arial" w:cs="Arial" w:eastAsia="Arial" w:hAnsi="Arial"/>
          <w:sz w:val="22"/>
          <w:szCs w:val="22"/>
          <w:color w:val="auto"/>
        </w:rPr>
        <w:t>. The Plan Administrator shall not receive any compensation from the Plan for its services.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i w:val="1"/>
          <w:iCs w:val="1"/>
          <w:color w:val="auto"/>
        </w:rPr>
        <w:t>Indemnification</w:t>
      </w:r>
      <w:r>
        <w:rPr>
          <w:rFonts w:ascii="Arial" w:cs="Arial" w:eastAsia="Arial" w:hAnsi="Arial"/>
          <w:sz w:val="21"/>
          <w:szCs w:val="21"/>
          <w:color w:val="auto"/>
        </w:rPr>
        <w:t>. Ocwen Financial Corporation shall indemnify the Plan Administrator against any and all claims, losses, damages, expenses, and liability arising from its actions or omissions, except when the same is finally adjudicated to be due to the Plan Administrator’s gross negligence or willful misconduct. The Company may purchase at its own expense sufficient liability insurance for the Plan Administrator to cover any and all claims, losses, damages, and expenses arising from any action or omission in connection with the execution of the duties as the Plan Administrator.</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i w:val="1"/>
          <w:iCs w:val="1"/>
          <w:color w:val="auto"/>
        </w:rPr>
        <w:t>Claims Procedure</w:t>
      </w:r>
      <w:r>
        <w:rPr>
          <w:rFonts w:ascii="Arial" w:cs="Arial" w:eastAsia="Arial" w:hAnsi="Arial"/>
          <w:sz w:val="19"/>
          <w:szCs w:val="19"/>
          <w:color w:val="auto"/>
        </w:rPr>
        <w:t>.</w:t>
      </w:r>
    </w:p>
    <w:p>
      <w:pPr>
        <w:spacing w:after="0" w:line="260" w:lineRule="exact"/>
        <w:rPr>
          <w:sz w:val="20"/>
          <w:szCs w:val="20"/>
          <w:color w:val="auto"/>
        </w:rPr>
      </w:pPr>
    </w:p>
    <w:p>
      <w:pPr>
        <w:jc w:val="both"/>
        <w:ind w:left="1300" w:hanging="644"/>
        <w:spacing w:after="0" w:line="297" w:lineRule="auto"/>
        <w:tabs>
          <w:tab w:leader="none" w:pos="13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Any Eligible Employee who believes that he or she is entitled to receive benefits under this Plan, including benefits other than those initially determined by the Plan Administrator to be payable, may file a claim in writing with the Plan Administrator, specifying the reasons for such claim. The Plan Administrator shall then evaluate the claim and notify the Eligible Employee of the approval or disapproval in accordance with the provisions of this Plan not later than 90 days after the Company’s receipt of such claim unless special circumstances require an extension of time for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04" w:right="239" w:bottom="1440" w:gutter="0" w:footer="0" w:header="0"/>
        </w:sectPr>
      </w:pPr>
    </w:p>
    <w:bookmarkStart w:id="211" w:name="page212"/>
    <w:bookmarkEnd w:id="211"/>
    <w:p>
      <w:pPr>
        <w:jc w:val="both"/>
        <w:ind w:left="644"/>
        <w:spacing w:after="0" w:line="294" w:lineRule="auto"/>
        <w:rPr>
          <w:sz w:val="20"/>
          <w:szCs w:val="20"/>
          <w:color w:val="auto"/>
        </w:rPr>
      </w:pPr>
      <w:r>
        <w:rPr>
          <w:rFonts w:ascii="Arial" w:cs="Arial" w:eastAsia="Arial" w:hAnsi="Arial"/>
          <w:sz w:val="19"/>
          <w:szCs w:val="19"/>
          <w:color w:val="auto"/>
        </w:rPr>
        <w:t>processing the claims. If such an extension of time for processing is required, written notice of the extension shall be furnished to the Eligible Employee prior to the termination of the initial 90 day period which shall specify the special circumstances requiring an extension and the date by which a final decision will be reached (which date shall not be later than 180 days after the date on which the claim was filed). If the Eligible Employee does not provide all the necessary information for the Plan Administrator to process the claim, the Plan Administrator may request additional information and set deadlines for the Eligible Employee to provide that information.</w:t>
      </w:r>
    </w:p>
    <w:p>
      <w:pPr>
        <w:spacing w:after="0" w:line="190" w:lineRule="exact"/>
        <w:rPr>
          <w:sz w:val="20"/>
          <w:szCs w:val="20"/>
          <w:color w:val="auto"/>
        </w:rPr>
      </w:pPr>
    </w:p>
    <w:p>
      <w:pPr>
        <w:jc w:val="both"/>
        <w:ind w:left="644" w:hanging="644"/>
        <w:spacing w:after="0" w:line="246" w:lineRule="auto"/>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the event that such claim is denied in whole or in part, the Eligible Employee shall be given a written notification which shall be written in a manner calculated to be understood by the Eligible Employee and shall (i) state the specific reason(s) for the denial, (ii) make specific reference to the pertinent Plan provision(s) on which the denial is based, (iii) provide a description of any additional material or information necessary for the Eligible Employee to perfect the claim and an explanation of why such material or information is necessary, and (iv) set forth the procedure by which the Eligible Employee may appeal the denial of such claim, which shall also include a statement of the Eligible Employee’s right to bring a civil action under Section 502(a) of ERISA following a denial of the claim upon review.</w:t>
      </w:r>
    </w:p>
    <w:p>
      <w:pPr>
        <w:spacing w:after="0" w:line="235" w:lineRule="exact"/>
        <w:rPr>
          <w:rFonts w:ascii="Arial" w:cs="Arial" w:eastAsia="Arial" w:hAnsi="Arial"/>
          <w:sz w:val="22"/>
          <w:szCs w:val="22"/>
          <w:color w:val="auto"/>
        </w:rPr>
      </w:pPr>
    </w:p>
    <w:p>
      <w:pPr>
        <w:jc w:val="both"/>
        <w:ind w:left="644" w:hanging="644"/>
        <w:spacing w:after="0" w:line="261" w:lineRule="auto"/>
        <w:tabs>
          <w:tab w:leader="none" w:pos="64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Eligible Employee may request a review of the denial of any such claim or portion thereof by making application in writing to the Plan Administrator within 60 days after receipt of such denial. Such Eligible Employee may, upon written request to the Plan Administrator, review or receive copies, upon request and free of charge, any documents, records or other information “relevant” (within the meaning of Department of Labor Regulation 2560.503-1(m)(8)) to the Eligible Employee’s claim. The Eligible Employee may also submit written comments, documents, records and other information relating to his or her claim.</w:t>
      </w:r>
    </w:p>
    <w:p>
      <w:pPr>
        <w:spacing w:after="0" w:line="220" w:lineRule="exact"/>
        <w:rPr>
          <w:rFonts w:ascii="Arial" w:cs="Arial" w:eastAsia="Arial" w:hAnsi="Arial"/>
          <w:sz w:val="21"/>
          <w:szCs w:val="21"/>
          <w:color w:val="auto"/>
        </w:rPr>
      </w:pPr>
    </w:p>
    <w:p>
      <w:pPr>
        <w:jc w:val="both"/>
        <w:ind w:left="644" w:hanging="644"/>
        <w:spacing w:after="0" w:line="288" w:lineRule="auto"/>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deciding an Eligible Employee’s appeal, the Plan Administrator shall take into account all comments, documents, records and other information submitted by the Eligible Employee relating to the claim, without regard to whether such information was submitted or considered in the initial review of the claim. If the Eligible Employee does not provide all the necessary information for the Plan Administrator to decide the appeal, the Plan Administrator may request additional information and set deadlines for the Eligible Employee to submit that information. Within 60 days after a request for review is received, the review shall be made and the Eligible Employee shall be advised in writing of the decision on review, unless special circumstances require an extension of time for processing the review, in which case the Eligible Employee shall be given a written notification within such initial 60 day period specifying the reasons for the extension and when such review shall be completed (provided that such review shall be completed within 120 days after the date on which the request for review was filed).</w:t>
      </w:r>
    </w:p>
    <w:p>
      <w:pPr>
        <w:spacing w:after="0" w:line="200" w:lineRule="exact"/>
        <w:rPr>
          <w:sz w:val="20"/>
          <w:szCs w:val="20"/>
          <w:color w:val="auto"/>
        </w:rPr>
      </w:pPr>
    </w:p>
    <w:p>
      <w:pPr>
        <w:spacing w:after="0" w:line="235"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64"/>
          </w:cols>
          <w:pgMar w:left="896" w:top="604" w:right="239" w:bottom="1440" w:gutter="0" w:footer="0" w:header="0"/>
        </w:sectPr>
      </w:pPr>
    </w:p>
    <w:bookmarkStart w:id="212" w:name="page213"/>
    <w:bookmarkEnd w:id="212"/>
    <w:p>
      <w:pPr>
        <w:jc w:val="both"/>
        <w:ind w:left="1300" w:hanging="644"/>
        <w:spacing w:after="0" w:line="287" w:lineRule="auto"/>
        <w:tabs>
          <w:tab w:leader="none" w:pos="13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decision on review shall be forwarded to the Eligible Employee in writing and, in the case of a denial, shall include (i) specific reasons for the decision, (ii) specific references to the pertinent Plan provision(s) upon which the decision is based, (iii) a statement that the Eligible Employee is entitled to receive, upon request and free of charge, reasonable access to, and copies of, all documents, records, or other information relevant to the Eligible Employee’s claim and (iv) a statement of the Eligible Employee’s right to bring a civil action under Section 502(a) of ERISA following a wholly or partially denied claim for benefits. Any lawsuit must be commenced within six months of the date on the appeal denial letter. Claims submitted outside that time limit are time-barred. The Plan Administrator’s decision on review shall be final and binding on all persons for benefits. If an Eligible Employee shall fail to file a request for review in accordance with the procedures herein outlined, such Eligible Employee shall have no right to review and shall have no right to bring an action in any court, and the denial of the claim shall become final and binding on all persons for all purposes. Any notice and decisions by the Plan Administrator under this Section may be furnished electronically in accordance with Department of Labor Regulation 2520.104b-1(c)(i), (iii) and (iv).</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5—Amendment and Termination</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i w:val="1"/>
          <w:iCs w:val="1"/>
          <w:color w:val="auto"/>
        </w:rPr>
        <w:t>Amendments.</w:t>
      </w:r>
      <w:r>
        <w:rPr>
          <w:rFonts w:ascii="Arial" w:cs="Arial" w:eastAsia="Arial" w:hAnsi="Arial"/>
          <w:sz w:val="22"/>
          <w:szCs w:val="22"/>
          <w:color w:val="auto"/>
        </w:rPr>
        <w:t xml:space="preserve"> The Company shall have the right to amend or terminate the Plan in any respect and at any time without notice, pursuant to a determination of the Compensation Committee of the Board (or a delegate of such committee) or a determination of the Board.</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i w:val="1"/>
          <w:iCs w:val="1"/>
          <w:color w:val="auto"/>
        </w:rPr>
        <w:t>Plan Interpretation and Benefit Determination.</w:t>
      </w:r>
      <w:r>
        <w:rPr>
          <w:rFonts w:ascii="Arial" w:cs="Arial" w:eastAsia="Arial" w:hAnsi="Arial"/>
          <w:sz w:val="21"/>
          <w:szCs w:val="21"/>
          <w:color w:val="auto"/>
        </w:rPr>
        <w:t xml:space="preserve"> The Plan is administered by the Plan Administrator, who has the exclusive discretionary authority and power to determine eligibility for benefits and to construe the terms and provisions of the Plan, to determine questions of fact and law arising under the Plan, to direct disbursements pursuant to the Plan and to exercise all other powers specified herein or which may be implied from the provisions hereof. The Plan Administrator may adopt such rules for the conduct of the administration of the Plan as it may deem appropriate. All interpretations and determinations of the Plan Administrator shall be final and binding upon all parties and persons affected thereby. The Plan Administrator may appoint one or more individuals and delegate such of its powers and duties as it deems desirable to any such individual(s), in which case every reference herein made to the Plan Administrator shall be deemed to mean or include the appointed individual(s) as to matters within their jurisdiction.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Section 6—General Provisions</w:t>
      </w:r>
    </w:p>
    <w:p>
      <w:pPr>
        <w:spacing w:after="0" w:line="26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i w:val="1"/>
          <w:iCs w:val="1"/>
          <w:color w:val="auto"/>
        </w:rPr>
        <w:t>Eligible Employee’s Rights Unsecured and Unfunded</w:t>
      </w:r>
      <w:r>
        <w:rPr>
          <w:rFonts w:ascii="Arial" w:cs="Arial" w:eastAsia="Arial" w:hAnsi="Arial"/>
          <w:sz w:val="19"/>
          <w:szCs w:val="19"/>
          <w:color w:val="auto"/>
        </w:rPr>
        <w:t>. The Plan at all times shall be entirely unfunded. No assets of the Company shall be segregated or earmarked to represent the liability for benefits under the Plan. The right of an Eligible Employee to receive a payment hereunder shall be an unsecured claim against the general assets of the Participating Company that was the employer of such Eligible Employee. All payments under the Plan shall be made from the general assets of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05" w:right="239" w:bottom="1440" w:gutter="0" w:footer="0" w:header="0"/>
        </w:sectPr>
      </w:pPr>
    </w:p>
    <w:bookmarkStart w:id="213" w:name="page214"/>
    <w:bookmarkEnd w:id="213"/>
    <w:p>
      <w:pPr>
        <w:jc w:val="both"/>
        <w:spacing w:after="0" w:line="26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i w:val="1"/>
          <w:iCs w:val="1"/>
          <w:color w:val="auto"/>
        </w:rPr>
        <w:t>No Guarantee of Benefits</w:t>
      </w:r>
      <w:r>
        <w:rPr>
          <w:rFonts w:ascii="Arial" w:cs="Arial" w:eastAsia="Arial" w:hAnsi="Arial"/>
          <w:sz w:val="22"/>
          <w:szCs w:val="22"/>
          <w:color w:val="auto"/>
        </w:rPr>
        <w:t>. Nothing contained in the Plan shall constitute a guarantee by the Company or any other person or entity that the assets of the Company will be sufficient to pay any benefit hereunder.</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i w:val="1"/>
          <w:iCs w:val="1"/>
          <w:color w:val="auto"/>
        </w:rPr>
        <w:t>No Enlargement of Employee Rights</w:t>
      </w:r>
      <w:r>
        <w:rPr>
          <w:rFonts w:ascii="Arial" w:cs="Arial" w:eastAsia="Arial" w:hAnsi="Arial"/>
          <w:sz w:val="21"/>
          <w:szCs w:val="21"/>
          <w:color w:val="auto"/>
        </w:rPr>
        <w:t>. The existence of this Plan or any payment of Severance Pay under the Plan shall not be deemed to constitute a contract of employment between the Company and any Eligible Employee, nor shall it constitute a right to remain in the employ of the Company. Employment with the Company is employment-at-will and either party may terminate the Employee’s employment at any time, for any reason, with or without cause or notice.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i w:val="1"/>
          <w:iCs w:val="1"/>
          <w:color w:val="auto"/>
        </w:rPr>
        <w:t>Non-Alienation Provision</w:t>
      </w:r>
      <w:r>
        <w:rPr>
          <w:rFonts w:ascii="Arial" w:cs="Arial" w:eastAsia="Arial" w:hAnsi="Arial"/>
          <w:sz w:val="21"/>
          <w:szCs w:val="21"/>
          <w:color w:val="auto"/>
        </w:rPr>
        <w:t>. Except as set forth elsewhere in the Plan, and subject to the provisions of applicable law, no interest of any person or entity in, or right to receive a benefit or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 or entity, including claims for alimony, support, separate maintenance and claims in bankruptcy proceedings the extent that such laws are preempted by ERISA.</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i w:val="1"/>
          <w:iCs w:val="1"/>
          <w:color w:val="auto"/>
        </w:rPr>
        <w:t>Excess Payments</w:t>
      </w:r>
      <w:r>
        <w:rPr>
          <w:rFonts w:ascii="Arial" w:cs="Arial" w:eastAsia="Arial" w:hAnsi="Arial"/>
          <w:sz w:val="19"/>
          <w:szCs w:val="19"/>
          <w:color w:val="auto"/>
        </w:rPr>
        <w:t>. If compensation, Years of Service or any other relevant fact relating to any person is found to have been misstated, the Plan benefit payable by the Participating Company to an Eligible Employee shall be the Plan benefit that would have been provided on the basis of the correct information. Any excess payments due to such misstatement, or due to any other mistake of fact or law, shall be refunded to the Company or withheld by it from any further amounts otherwise payable under the Plan.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i w:val="1"/>
          <w:iCs w:val="1"/>
          <w:color w:val="auto"/>
        </w:rPr>
        <w:t>Impact on Other Benefits</w:t>
      </w:r>
      <w:r>
        <w:rPr>
          <w:rFonts w:ascii="Arial" w:cs="Arial" w:eastAsia="Arial" w:hAnsi="Arial"/>
          <w:sz w:val="21"/>
          <w:szCs w:val="21"/>
          <w:color w:val="auto"/>
        </w:rPr>
        <w:t>. Amounts paid under this Plan shall not be included in an Eligible Employee’s compensation for purposes of calculating benefits under any other plan, program or arrangement sponsored by the Company, unless such plan, program or arrangement expressly provides that amounts paid under this Plan shall be included.</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i w:val="1"/>
          <w:iCs w:val="1"/>
          <w:color w:val="auto"/>
        </w:rPr>
        <w:t>Usage of Terms and Headings</w:t>
      </w:r>
      <w:r>
        <w:rPr>
          <w:rFonts w:ascii="Arial" w:cs="Arial" w:eastAsia="Arial" w:hAnsi="Arial"/>
          <w:sz w:val="22"/>
          <w:szCs w:val="22"/>
          <w:color w:val="auto"/>
        </w:rPr>
        <w:t>. Words in the masculine gender shall include the feminine and the singular shall include the plural, and vice versa, unless qualified by the context. Any headings are included for ease of reference only, and are not to be construed to alter the terms of the Plan.</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i w:val="1"/>
          <w:iCs w:val="1"/>
          <w:color w:val="auto"/>
        </w:rPr>
        <w:t>Supersession</w:t>
      </w:r>
      <w:r>
        <w:rPr>
          <w:rFonts w:ascii="Arial" w:cs="Arial" w:eastAsia="Arial" w:hAnsi="Arial"/>
          <w:sz w:val="22"/>
          <w:szCs w:val="22"/>
          <w:color w:val="auto"/>
        </w:rPr>
        <w:t>. The Plan supersedes all plans, statements, practices or policies, if any, with respect to providing severance benefits to any Employee whose employment terminates on or after the Effective Date, except for those with specific written contracts that pre-date this Plan that provide for benefits payable upon the termination of employment and those Employees that have already been notified prior to the Effective Date of a termination of their employment and provided with different severance terms.</w:t>
      </w:r>
    </w:p>
    <w:p>
      <w:pPr>
        <w:spacing w:after="0" w:line="23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i w:val="1"/>
          <w:iCs w:val="1"/>
          <w:color w:val="auto"/>
        </w:rPr>
        <w:t>Effective Date</w:t>
      </w:r>
      <w:r>
        <w:rPr>
          <w:rFonts w:ascii="Arial" w:cs="Arial" w:eastAsia="Arial" w:hAnsi="Arial"/>
          <w:sz w:val="19"/>
          <w:szCs w:val="19"/>
          <w:color w:val="auto"/>
        </w:rPr>
        <w:t>. The Plan shall be effective as to Eligible Terminations that occur on or after February __, 2019.</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04" w:right="239" w:bottom="1440" w:gutter="0" w:footer="0" w:header="0"/>
        </w:sectPr>
      </w:pPr>
    </w:p>
    <w:bookmarkStart w:id="214" w:name="page215"/>
    <w:bookmarkEnd w:id="214"/>
    <w:p>
      <w:pPr>
        <w:jc w:val="both"/>
        <w:ind w:right="60"/>
        <w:spacing w:after="0" w:line="250"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i w:val="1"/>
          <w:iCs w:val="1"/>
          <w:color w:val="auto"/>
        </w:rPr>
        <w:t>Clawback</w:t>
      </w:r>
      <w:r>
        <w:rPr>
          <w:rFonts w:ascii="Arial" w:cs="Arial" w:eastAsia="Arial" w:hAnsi="Arial"/>
          <w:sz w:val="22"/>
          <w:szCs w:val="22"/>
          <w:color w:val="auto"/>
        </w:rPr>
        <w:t>. Payments made pursuant to this Plan are subject to any Company clawback policy in effect at any time. In addition, to the extent required by the Sarbanes-Oxley Act of 2002, the Dodd-Frank Wall Street Reform and Consumer Protection Act, or any other applicable law, or the rules and regulations promulgated pursuant thereto, Eligible Employees agree to return payments made pursuant to this Plan to the Company.</w:t>
      </w:r>
    </w:p>
    <w:p>
      <w:pPr>
        <w:spacing w:after="0" w:line="229"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i w:val="1"/>
          <w:iCs w:val="1"/>
          <w:color w:val="auto"/>
        </w:rPr>
        <w:t>Choice of Law</w:t>
      </w:r>
      <w:r>
        <w:rPr>
          <w:rFonts w:ascii="Arial" w:cs="Arial" w:eastAsia="Arial" w:hAnsi="Arial"/>
          <w:sz w:val="22"/>
          <w:szCs w:val="22"/>
          <w:color w:val="auto"/>
        </w:rPr>
        <w:t>. This Plan shall be construed in accordance with and governed by the laws of the State of Florida, to the extent such laws are otherwise superseded by the laws of the United States, in which case such laws of the United States shall govern and the Plan shall be construed in accordance with such laws.</w:t>
      </w: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i w:val="1"/>
          <w:iCs w:val="1"/>
          <w:color w:val="auto"/>
        </w:rPr>
        <w:t>Section 7 – ERISA Information</w:t>
      </w:r>
    </w:p>
    <w:p>
      <w:pPr>
        <w:spacing w:after="0" w:line="200" w:lineRule="exact"/>
        <w:rPr>
          <w:sz w:val="20"/>
          <w:szCs w:val="20"/>
          <w:color w:val="auto"/>
        </w:rPr>
      </w:pPr>
    </w:p>
    <w:p>
      <w:pPr>
        <w:spacing w:after="0" w:line="317"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u w:val="single" w:color="auto"/>
          <w:color w:val="auto"/>
        </w:rPr>
        <w:t>Plan Name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Ocwen Financial Corporation United States Change in Control Severance Plan</w:t>
      </w:r>
    </w:p>
    <w:p>
      <w:pPr>
        <w:spacing w:after="0" w:line="260"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u w:val="single" w:color="auto"/>
          <w:color w:val="auto"/>
        </w:rPr>
        <w:t>Plan Number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516</w:t>
      </w:r>
    </w:p>
    <w:p>
      <w:pPr>
        <w:spacing w:after="0" w:line="260"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February 22, 2019</w:t>
      </w:r>
    </w:p>
    <w:p>
      <w:pPr>
        <w:spacing w:after="0" w:line="260"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u w:val="single" w:color="auto"/>
          <w:color w:val="auto"/>
        </w:rPr>
        <w:t>Plan Sponsor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Ocwen Financial Corporation</w:t>
      </w:r>
    </w:p>
    <w:p>
      <w:pPr>
        <w:spacing w:after="0" w:line="22"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1661 Worthington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Suite 100</w:t>
      </w:r>
    </w:p>
    <w:p>
      <w:pPr>
        <w:spacing w:after="0" w:line="4"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West Palm Beach, FL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33409</w:t>
      </w:r>
    </w:p>
    <w:p>
      <w:pPr>
        <w:spacing w:after="0" w:line="24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EIN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65-0039856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Plan Administrator</w:t>
      </w:r>
      <w:r>
        <w:rPr>
          <w:rFonts w:ascii="Arial" w:cs="Arial" w:eastAsia="Arial" w:hAnsi="Arial"/>
          <w:sz w:val="22"/>
          <w:szCs w:val="22"/>
          <w:color w:val="auto"/>
        </w:rPr>
        <w:t>: Ocwen Financial Corporation (see contact information above).</w:t>
      </w:r>
    </w:p>
    <w:p>
      <w:pPr>
        <w:spacing w:after="0" w:line="260" w:lineRule="exact"/>
        <w:rPr>
          <w:sz w:val="20"/>
          <w:szCs w:val="20"/>
          <w:color w:val="auto"/>
        </w:rPr>
      </w:pPr>
    </w:p>
    <w:p>
      <w:pPr>
        <w:spacing w:after="0"/>
        <w:tabs>
          <w:tab w:leader="none" w:pos="3520" w:val="left"/>
        </w:tabs>
        <w:rPr>
          <w:sz w:val="20"/>
          <w:szCs w:val="20"/>
          <w:color w:val="auto"/>
        </w:rPr>
      </w:pPr>
      <w:r>
        <w:rPr>
          <w:rFonts w:ascii="Arial" w:cs="Arial" w:eastAsia="Arial" w:hAnsi="Arial"/>
          <w:sz w:val="22"/>
          <w:szCs w:val="22"/>
          <w:u w:val="single" w:color="auto"/>
          <w:color w:val="auto"/>
        </w:rPr>
        <w:t>Agent for Service of Legal Process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Ocwen Financial Corporation</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Attn: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General Counsel</w:t>
      </w:r>
    </w:p>
    <w:p>
      <w:pPr>
        <w:spacing w:after="0" w:line="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1661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Worthington Road, Suite 100</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80"/>
          </w:cols>
          <w:pgMar w:left="240" w:top="861" w:right="179" w:bottom="1440" w:gutter="0" w:footer="0" w:header="0"/>
        </w:sectPr>
      </w:pPr>
    </w:p>
    <w:bookmarkStart w:id="215" w:name="page216"/>
    <w:bookmarkEnd w:id="215"/>
    <w:p>
      <w:pPr>
        <w:jc w:val="right"/>
        <w:spacing w:after="0"/>
        <w:rPr>
          <w:sz w:val="20"/>
          <w:szCs w:val="20"/>
          <w:color w:val="auto"/>
        </w:rPr>
      </w:pPr>
      <w:r>
        <w:rPr>
          <w:rFonts w:ascii="Arial" w:cs="Arial" w:eastAsia="Arial" w:hAnsi="Arial"/>
          <w:sz w:val="22"/>
          <w:szCs w:val="22"/>
          <w:color w:val="auto"/>
        </w:rPr>
        <w:t>West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Palm Beach, FL 33409</w:t>
      </w:r>
    </w:p>
    <w:p>
      <w:pPr>
        <w:spacing w:after="0" w:line="24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u w:val="single" w:color="auto"/>
          <w:color w:val="auto"/>
        </w:rPr>
        <w:t>Plan Year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Plan Year shall be the 12-month period commencing each year on June 28.</w:t>
      </w:r>
    </w:p>
    <w:p>
      <w:pPr>
        <w:spacing w:after="0" w:line="260" w:lineRule="exact"/>
        <w:rPr>
          <w:sz w:val="20"/>
          <w:szCs w:val="20"/>
          <w:color w:val="auto"/>
        </w:rPr>
      </w:pPr>
    </w:p>
    <w:p>
      <w:pPr>
        <w:jc w:val="both"/>
        <w:ind w:left="1300" w:right="60" w:hanging="1296"/>
        <w:spacing w:after="0" w:line="263" w:lineRule="auto"/>
        <w:rPr>
          <w:sz w:val="20"/>
          <w:szCs w:val="20"/>
          <w:color w:val="auto"/>
        </w:rPr>
      </w:pPr>
      <w:r>
        <w:rPr>
          <w:rFonts w:ascii="Arial" w:cs="Arial" w:eastAsia="Arial" w:hAnsi="Arial"/>
          <w:sz w:val="22"/>
          <w:szCs w:val="22"/>
          <w:u w:val="single" w:color="auto"/>
          <w:color w:val="auto"/>
        </w:rPr>
        <w:t>Type of Plan</w:t>
      </w:r>
      <w:r>
        <w:rPr>
          <w:rFonts w:ascii="Arial" w:cs="Arial" w:eastAsia="Arial" w:hAnsi="Arial"/>
          <w:sz w:val="22"/>
          <w:szCs w:val="22"/>
          <w:color w:val="auto"/>
        </w:rPr>
        <w:t>: The Plan is a severance benefit plan that provides income replacement benefits following a qualifying termination of employment.</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u w:val="single" w:color="auto"/>
          <w:color w:val="auto"/>
        </w:rPr>
        <w:t>Funding</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Plan is funded from the general assets of Ocwen Financial Corporation.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ERISA Rights:</w:t>
      </w:r>
    </w:p>
    <w:p>
      <w:pPr>
        <w:spacing w:after="0" w:line="266"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Receiving Information about Plan Benefits</w:t>
      </w:r>
    </w:p>
    <w:p>
      <w:pPr>
        <w:spacing w:after="0" w:line="260" w:lineRule="exact"/>
        <w:rPr>
          <w:sz w:val="20"/>
          <w:szCs w:val="20"/>
          <w:color w:val="auto"/>
        </w:rPr>
      </w:pPr>
    </w:p>
    <w:p>
      <w:pPr>
        <w:jc w:val="both"/>
        <w:ind w:right="40" w:firstLine="4214"/>
        <w:spacing w:after="0" w:line="253" w:lineRule="auto"/>
        <w:rPr>
          <w:sz w:val="20"/>
          <w:szCs w:val="20"/>
          <w:color w:val="auto"/>
        </w:rPr>
      </w:pPr>
      <w:r>
        <w:rPr>
          <w:rFonts w:ascii="Arial" w:cs="Arial" w:eastAsia="Arial" w:hAnsi="Arial"/>
          <w:sz w:val="22"/>
          <w:szCs w:val="22"/>
          <w:color w:val="auto"/>
        </w:rPr>
        <w:t>Participants in the Plan are entitled to certain rights and protections under the Employee Retirement Income Security Act of 1974, as amended (“ERISA”). ERISA provides that all plan participants shall be entitled to:</w:t>
      </w:r>
    </w:p>
    <w:p>
      <w:pPr>
        <w:spacing w:after="0" w:line="226" w:lineRule="exact"/>
        <w:rPr>
          <w:sz w:val="20"/>
          <w:szCs w:val="20"/>
          <w:color w:val="auto"/>
        </w:rPr>
      </w:pPr>
    </w:p>
    <w:p>
      <w:pPr>
        <w:jc w:val="both"/>
        <w:ind w:left="660" w:right="40" w:hanging="328"/>
        <w:spacing w:after="0" w:line="312" w:lineRule="auto"/>
        <w:tabs>
          <w:tab w:leader="none" w:pos="6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Examine, without charge, at the Plan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spacing w:after="0" w:line="174" w:lineRule="exact"/>
        <w:rPr>
          <w:rFonts w:ascii="Arial" w:cs="Arial" w:eastAsia="Arial" w:hAnsi="Arial"/>
          <w:sz w:val="19"/>
          <w:szCs w:val="19"/>
          <w:color w:val="auto"/>
        </w:rPr>
      </w:pPr>
    </w:p>
    <w:p>
      <w:pPr>
        <w:jc w:val="both"/>
        <w:ind w:left="660" w:right="40" w:hanging="328"/>
        <w:spacing w:after="0" w:line="253" w:lineRule="auto"/>
        <w:tabs>
          <w:tab w:leader="none" w:pos="6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Obtain, upon written request to the Plan Administrator, copies of documents governing the operation of the Plan and copies of the latest annual report (Form 5500 Series) and updated summary plan description. The Plan Administrator may make a reasonable charge for the copies.</w:t>
      </w: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Prudent Actions by Plan Fiduciaries</w:t>
      </w:r>
    </w:p>
    <w:p>
      <w:pPr>
        <w:spacing w:after="0" w:line="260" w:lineRule="exact"/>
        <w:rPr>
          <w:sz w:val="20"/>
          <w:szCs w:val="20"/>
          <w:color w:val="auto"/>
        </w:rPr>
      </w:pPr>
    </w:p>
    <w:p>
      <w:pPr>
        <w:jc w:val="both"/>
        <w:ind w:right="40" w:firstLine="4214"/>
        <w:spacing w:after="0" w:line="263" w:lineRule="auto"/>
        <w:rPr>
          <w:sz w:val="20"/>
          <w:szCs w:val="20"/>
          <w:color w:val="auto"/>
        </w:rPr>
      </w:pPr>
      <w:r>
        <w:rPr>
          <w:rFonts w:ascii="Arial" w:cs="Arial" w:eastAsia="Arial" w:hAnsi="Arial"/>
          <w:sz w:val="21"/>
          <w:szCs w:val="21"/>
          <w:color w:val="auto"/>
        </w:rPr>
        <w:t>In addition to creating rights for plan participants, ERISA imposes duties upon the people who are responsible for the operation of an employee benefit plan. The people who operate the Plan, called “fiduciaries” of the Plan, have a duty to do so prudently and in the interest of Plan participants and beneficiaries. No one, including an employer or any other person, may fire a participant or otherwise discriminate against a participant in any way to prevent the participant from obtaining a severance benefit or exercising the participant’s rights under ERISA.</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Enforcing ERISA Rights</w:t>
      </w:r>
    </w:p>
    <w:p>
      <w:pPr>
        <w:spacing w:after="0" w:line="260" w:lineRule="exact"/>
        <w:rPr>
          <w:sz w:val="20"/>
          <w:szCs w:val="20"/>
          <w:color w:val="auto"/>
        </w:rPr>
      </w:pPr>
    </w:p>
    <w:p>
      <w:pPr>
        <w:jc w:val="both"/>
        <w:ind w:right="40" w:firstLine="4214"/>
        <w:spacing w:after="0" w:line="253" w:lineRule="auto"/>
        <w:rPr>
          <w:sz w:val="20"/>
          <w:szCs w:val="20"/>
          <w:color w:val="auto"/>
        </w:rPr>
      </w:pPr>
      <w:r>
        <w:rPr>
          <w:rFonts w:ascii="Arial" w:cs="Arial" w:eastAsia="Arial" w:hAnsi="Arial"/>
          <w:sz w:val="22"/>
          <w:szCs w:val="22"/>
          <w:color w:val="auto"/>
        </w:rPr>
        <w:t>If a participant’s claim for a severance benefit is denied or ignored, in whole or in part, the participant has a right to know why this was done, to receive a written explanation of the reason for the denial, to obtain copies of documents and relevant information relating to the decision without</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60"/>
          </w:cols>
          <w:pgMar w:left="240" w:top="604" w:right="199" w:bottom="1440" w:gutter="0" w:footer="0" w:header="0"/>
        </w:sectPr>
      </w:pPr>
    </w:p>
    <w:bookmarkStart w:id="216" w:name="page217"/>
    <w:bookmarkEnd w:id="216"/>
    <w:p>
      <w:pPr>
        <w:jc w:val="both"/>
        <w:spacing w:after="0" w:line="263" w:lineRule="auto"/>
        <w:rPr>
          <w:sz w:val="20"/>
          <w:szCs w:val="20"/>
          <w:color w:val="auto"/>
        </w:rPr>
      </w:pPr>
      <w:r>
        <w:rPr>
          <w:rFonts w:ascii="Arial" w:cs="Arial" w:eastAsia="Arial" w:hAnsi="Arial"/>
          <w:sz w:val="22"/>
          <w:szCs w:val="22"/>
          <w:color w:val="auto"/>
        </w:rPr>
        <w:t>charge, and to appeal any denial, all within certain time schedules. The participant has the right to have the Plan Administrator review and reconsider the claim.</w:t>
      </w:r>
    </w:p>
    <w:p>
      <w:pPr>
        <w:spacing w:after="0" w:line="215" w:lineRule="exact"/>
        <w:rPr>
          <w:sz w:val="20"/>
          <w:szCs w:val="20"/>
          <w:color w:val="auto"/>
        </w:rPr>
      </w:pPr>
    </w:p>
    <w:p>
      <w:pPr>
        <w:jc w:val="both"/>
        <w:ind w:firstLine="4214"/>
        <w:spacing w:after="0" w:line="287" w:lineRule="auto"/>
        <w:rPr>
          <w:sz w:val="20"/>
          <w:szCs w:val="20"/>
          <w:color w:val="auto"/>
        </w:rPr>
      </w:pPr>
      <w:r>
        <w:rPr>
          <w:rFonts w:ascii="Arial" w:cs="Arial" w:eastAsia="Arial" w:hAnsi="Arial"/>
          <w:sz w:val="19"/>
          <w:szCs w:val="19"/>
          <w:color w:val="auto"/>
        </w:rPr>
        <w:t>Under ERISA, there are steps a participant can take to enforce the above rights. For instance, if a participant requests a copy of Plan documents or the latest annual report from the Plan and does not receive them within 30 days, the participant may file suit in a Federal court. In such a case, the court may require the Plan Administrator to provide the materials and pay the participant up to $110 a day until the participant receives the materials, unless the materials were not sent because of reasons beyond the control of the Plan Administrator. If the participant has a claim for benefits that is denied or ignored, in whole or in part, and the participant has exhausted the Plan’s claims procedures, the participant may file suit in a state or Federal court. In addition, if the participant disagrees with the Plan's decision or lack thereof concerning the qualified status of a domestic relations order or a medical child support order, the participant may file suit in Federal court. If it should happen that plan fiduciaries misuse the Plan's money, or if the participant is discriminated against for asserting ERISA rights, the participant may seek assistance from the U.S. Department of Labor, or may file suit in a Federal court. The court will decide who should pay court costs and legal fees. If the participant is successful the court may order the person the participant has sued to pay these costs and fees. If the participant loses, the court may order the participant to pay these costs and fees, for example, if it finds the participant’s claim is frivolous.</w:t>
      </w: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Assistance with Questions</w:t>
      </w:r>
    </w:p>
    <w:p>
      <w:pPr>
        <w:spacing w:after="0" w:line="260" w:lineRule="exact"/>
        <w:rPr>
          <w:sz w:val="20"/>
          <w:szCs w:val="20"/>
          <w:color w:val="auto"/>
        </w:rPr>
      </w:pPr>
    </w:p>
    <w:p>
      <w:pPr>
        <w:jc w:val="both"/>
        <w:ind w:firstLine="4214"/>
        <w:spacing w:after="0" w:line="292" w:lineRule="auto"/>
        <w:rPr>
          <w:sz w:val="20"/>
          <w:szCs w:val="20"/>
          <w:color w:val="auto"/>
        </w:rPr>
      </w:pPr>
      <w:r>
        <w:rPr>
          <w:rFonts w:ascii="Arial" w:cs="Arial" w:eastAsia="Arial" w:hAnsi="Arial"/>
          <w:sz w:val="19"/>
          <w:szCs w:val="19"/>
          <w:color w:val="auto"/>
        </w:rPr>
        <w:t>If a participant has any questions about the Plan, the participant should contact the Plan Administrator as described above. If the participant has any questions about this statement or about the participant’s rights under ERISA, or if the participant needs assistance in obtaining documents from the plan administrator, the participant should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The Participant may also obtain certain publications about such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604"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AND INDIRECT SUBSIDIARIES OF OCWEN FINANCIAL CORPORATION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2018, omitting certain subsidiaries which, considered in the aggregate, would not constitute a significant subsidiary.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34"/>
        </w:trPr>
        <w:tc>
          <w:tcPr>
            <w:tcW w:w="360" w:type="dxa"/>
            <w:vAlign w:val="bottom"/>
          </w:tcPr>
          <w:p>
            <w:pPr>
              <w:spacing w:after="0"/>
              <w:rPr>
                <w:sz w:val="20"/>
                <w:szCs w:val="20"/>
                <w:color w:val="auto"/>
              </w:rPr>
            </w:pPr>
          </w:p>
        </w:tc>
        <w:tc>
          <w:tcPr>
            <w:tcW w:w="8660" w:type="dxa"/>
            <w:vAlign w:val="bottom"/>
            <w:gridSpan w:val="2"/>
          </w:tcPr>
          <w:p>
            <w:pPr>
              <w:ind w:left="3880"/>
              <w:spacing w:after="0"/>
              <w:rPr>
                <w:sz w:val="20"/>
                <w:szCs w:val="20"/>
                <w:color w:val="auto"/>
              </w:rPr>
            </w:pPr>
            <w:r>
              <w:rPr>
                <w:rFonts w:ascii="Arial" w:cs="Arial" w:eastAsia="Arial" w:hAnsi="Arial"/>
                <w:sz w:val="18"/>
                <w:szCs w:val="18"/>
                <w:b w:val="1"/>
                <w:bCs w:val="1"/>
                <w:color w:val="auto"/>
              </w:rPr>
              <w:t>Name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8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Loan Servicing,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Mortgage Servicing,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PHH Mortgage Corporation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New Jersey</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PHH Corporation (1)</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Maryland</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Homeward Residential,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Homeward Residential Holdings,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Liberty Home Equity Solutions,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Financial Solutions Private Limited (1)</w:t>
            </w:r>
          </w:p>
        </w:tc>
        <w:tc>
          <w:tcPr>
            <w:tcW w:w="240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REO Management,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CR Limited (1)</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Master Advance Receivables Trust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Operating company</w:t>
            </w:r>
          </w:p>
        </w:tc>
        <w:tc>
          <w:tcPr>
            <w:tcW w:w="24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Special purpose entity</w:t>
            </w:r>
          </w:p>
        </w:tc>
        <w:tc>
          <w:tcPr>
            <w:tcW w:w="2400" w:type="dxa"/>
            <w:vAlign w:val="bottom"/>
          </w:tcPr>
          <w:p>
            <w:pPr>
              <w:spacing w:after="0"/>
              <w:rPr>
                <w:sz w:val="20"/>
                <w:szCs w:val="20"/>
                <w:color w:val="auto"/>
              </w:rPr>
            </w:pPr>
          </w:p>
        </w:tc>
      </w:tr>
    </w:tbl>
    <w:p>
      <w:pPr>
        <w:sectPr>
          <w:pgSz w:w="11900" w:h="16838" w:orient="portrait"/>
          <w:cols w:equalWidth="0" w:num="1">
            <w:col w:w="11420"/>
          </w:cols>
          <w:pgMar w:left="240" w:top="689"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333-163996 and 333-188464 on Form S-3 and Registration Statement Nos. 333-218218, 333-143275 and 333-44999 on Form S-8 of our reports dated February 27, 2019, relating to the financial statements of Ocwen Financial Corporation and subsidiaries (the Company) and the effectiveness of Company’s internal control over financial reporting appearing in this Annual Report on Form 10-K of the Company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688"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27, 2019</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Glen A. Messina,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Catherine M. Dondzila, certify that:</w:t>
      </w:r>
    </w:p>
    <w:p>
      <w:pPr>
        <w:spacing w:after="0" w:line="225"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27, 2019</w:t>
      </w:r>
      <w:r>
        <w:rPr>
          <w:sz w:val="20"/>
          <w:szCs w:val="20"/>
          <w:color w:val="auto"/>
        </w:rPr>
        <w:tab/>
      </w:r>
      <w:r>
        <w:rPr>
          <w:rFonts w:ascii="Arial" w:cs="Arial" w:eastAsia="Arial" w:hAnsi="Arial"/>
          <w:sz w:val="16"/>
          <w:szCs w:val="16"/>
          <w:color w:val="auto"/>
        </w:rPr>
        <w:t>/s/ 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Catherine M. Dondzila, Senior Vice President and Chief Accounting</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420"/>
          </w:cols>
          <w:pgMar w:left="240" w:top="864"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5" w:lineRule="exact"/>
        <w:rPr>
          <w:sz w:val="20"/>
          <w:szCs w:val="20"/>
          <w:color w:val="auto"/>
        </w:rPr>
      </w:pPr>
    </w:p>
    <w:p>
      <w:pPr>
        <w:ind w:left="500" w:hanging="411"/>
        <w:spacing w:after="0"/>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2018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Glen A. Messina</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27, 2019</w:t>
            </w:r>
          </w:p>
        </w:tc>
      </w:tr>
    </w:tbl>
    <w:p>
      <w:pPr>
        <w:sectPr>
          <w:pgSz w:w="11900" w:h="16838" w:orient="portrait"/>
          <w:cols w:equalWidth="0" w:num="1">
            <w:col w:w="11420"/>
          </w:cols>
          <w:pgMar w:left="240" w:top="86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Catherine M. Dondzila, state and attest that:</w:t>
      </w:r>
    </w:p>
    <w:p>
      <w:pPr>
        <w:spacing w:after="0" w:line="225" w:lineRule="exact"/>
        <w:rPr>
          <w:sz w:val="20"/>
          <w:szCs w:val="20"/>
          <w:color w:val="auto"/>
        </w:rPr>
      </w:pPr>
    </w:p>
    <w:p>
      <w:pPr>
        <w:ind w:left="500" w:hanging="411"/>
        <w:spacing w:after="0"/>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2018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Name:</w:t>
        <w:tab/>
        <w:t>/s/ 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3601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Senior Vice President and Chief Accounting Officer (principal financial</w:t>
      </w:r>
    </w:p>
    <w:p>
      <w:pPr>
        <w:spacing w:after="0" w:line="2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officer)</w:t>
      </w:r>
    </w:p>
    <w:p>
      <w:pPr>
        <w:spacing w:after="0" w:line="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2019</w:t>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x"/>
      <w:numFmt w:val="bullet"/>
      <w:start w:val="1"/>
    </w:lvl>
  </w:abstractNum>
  <w:abstractNum w:abstractNumId="1">
    <w:nsid w:val="2F305DEF"/>
    <w:multiLevelType w:val="hybridMultilevel"/>
    <w:lvl w:ilvl="0">
      <w:lvlJc w:val="left"/>
      <w:lvlText w:val="o"/>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1)"/>
      <w:numFmt w:val="decimal"/>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1)"/>
      <w:numFmt w:val="decimal"/>
      <w:start w:val="1"/>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1)"/>
      <w:numFmt w:val="decimal"/>
      <w:start w:val="1"/>
    </w:lvl>
  </w:abstractNum>
  <w:abstractNum w:abstractNumId="24">
    <w:nsid w:val="BF72B14"/>
    <w:multiLevelType w:val="hybridMultilevel"/>
    <w:lvl w:ilvl="0">
      <w:lvlJc w:val="left"/>
      <w:lvlText w:val="(%1)"/>
      <w:numFmt w:val="decimal"/>
      <w:start w:val="2"/>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1)"/>
      <w:numFmt w:val="decimal"/>
      <w:start w:val="1"/>
    </w:lvl>
  </w:abstractNum>
  <w:abstractNum w:abstractNumId="27">
    <w:nsid w:val="A0382C5"/>
    <w:multiLevelType w:val="hybridMultilevel"/>
    <w:lvl w:ilvl="0">
      <w:lvlJc w:val="left"/>
      <w:lvlText w:val="(%1)"/>
      <w:numFmt w:val="decimal"/>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1)"/>
      <w:numFmt w:val="decimal"/>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1)"/>
      <w:numFmt w:val="decimal"/>
      <w:start w:val="1"/>
    </w:lvl>
  </w:abstractNum>
  <w:abstractNum w:abstractNumId="34">
    <w:nsid w:val="6A5EE64"/>
    <w:multiLevelType w:val="hybridMultilevel"/>
    <w:lvl w:ilvl="0">
      <w:lvlJc w:val="left"/>
      <w:lvlText w:val="(%1)"/>
      <w:numFmt w:val="decimal"/>
      <w:start w:val="1"/>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1)"/>
      <w:numFmt w:val="decimal"/>
      <w:start w:val="1"/>
    </w:lvl>
  </w:abstractNum>
  <w:abstractNum w:abstractNumId="39">
    <w:nsid w:val="100F59DC"/>
    <w:multiLevelType w:val="hybridMultilevel"/>
    <w:lvl w:ilvl="0">
      <w:lvlJc w:val="left"/>
      <w:lvlText w:val="(%1)"/>
      <w:numFmt w:val="decimal"/>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1)"/>
      <w:numFmt w:val="decimal"/>
      <w:start w:val="1"/>
    </w:lvl>
    <w:lvl w:ilvl="1">
      <w:lvlJc w:val="left"/>
      <w:lvlText w:val="(%2)"/>
      <w:numFmt w:val="decimal"/>
      <w:start w:val="3"/>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decimal"/>
      <w:start w:val="28"/>
    </w:lvl>
  </w:abstractNum>
  <w:abstractNum w:abstractNumId="51">
    <w:nsid w:val="68EBC550"/>
    <w:multiLevelType w:val="hybridMultilevel"/>
    <w:lvl w:ilvl="0">
      <w:lvlJc w:val="left"/>
      <w:lvlText w:val="(%1)"/>
      <w:numFmt w:val="decimal"/>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1)"/>
      <w:numFmt w:val="decimal"/>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1)"/>
      <w:numFmt w:val="lowerLetter"/>
      <w:start w:val="1"/>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1)"/>
      <w:numFmt w:val="decimal"/>
      <w:start w:val="1"/>
    </w:lvl>
  </w:abstractNum>
  <w:abstractNum w:abstractNumId="60">
    <w:nsid w:val="26F324BA"/>
    <w:multiLevelType w:val="hybridMultilevel"/>
    <w:lvl w:ilvl="0">
      <w:lvlJc w:val="left"/>
      <w:lvlText w:val="(%1)"/>
      <w:numFmt w:val="decimal"/>
      <w:start w:val="1"/>
    </w:lvl>
  </w:abstractNum>
  <w:abstractNum w:abstractNumId="61">
    <w:nsid w:val="7F01579B"/>
    <w:multiLevelType w:val="hybridMultilevel"/>
    <w:lvl w:ilvl="0">
      <w:lvlJc w:val="left"/>
      <w:lvlText w:val="(%1)"/>
      <w:numFmt w:val="decimal"/>
      <w:start w:val="1"/>
    </w:lvl>
  </w:abstractNum>
  <w:abstractNum w:abstractNumId="62">
    <w:nsid w:val="49DA307D"/>
    <w:multiLevelType w:val="hybridMultilevel"/>
    <w:lvl w:ilvl="0">
      <w:lvlJc w:val="left"/>
      <w:lvlText w:val="(%1)"/>
      <w:numFmt w:val="decimal"/>
      <w:start w:val="1"/>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decimal"/>
      <w:start w:val="1"/>
    </w:lvl>
  </w:abstractNum>
  <w:abstractNum w:abstractNumId="65">
    <w:nsid w:val="50801EE1"/>
    <w:multiLevelType w:val="hybridMultilevel"/>
    <w:lvl w:ilvl="0">
      <w:lvlJc w:val="left"/>
      <w:lvlText w:val="(%1)"/>
      <w:numFmt w:val="decimal"/>
      <w:start w:val="1"/>
    </w:lvl>
  </w:abstractNum>
  <w:abstractNum w:abstractNumId="66">
    <w:nsid w:val="488AC1A"/>
    <w:multiLevelType w:val="hybridMultilevel"/>
    <w:lvl w:ilvl="0">
      <w:lvlJc w:val="left"/>
      <w:lvlText w:val="(%1)"/>
      <w:numFmt w:val="decimal"/>
      <w:start w:val="1"/>
    </w:lvl>
  </w:abstractNum>
  <w:abstractNum w:abstractNumId="67">
    <w:nsid w:val="5FB8011C"/>
    <w:multiLevelType w:val="hybridMultilevel"/>
    <w:lvl w:ilvl="0">
      <w:lvlJc w:val="left"/>
      <w:lvlText w:val="(%1)"/>
      <w:numFmt w:val="decimal"/>
      <w:start w:val="1"/>
    </w:lvl>
  </w:abstractNum>
  <w:abstractNum w:abstractNumId="68">
    <w:nsid w:val="6AA78F7F"/>
    <w:multiLevelType w:val="hybridMultilevel"/>
    <w:lvl w:ilvl="0">
      <w:lvlJc w:val="left"/>
      <w:lvlText w:val="(%1)"/>
      <w:numFmt w:val="decimal"/>
      <w:start w:val="1"/>
    </w:lvl>
  </w:abstractNum>
  <w:abstractNum w:abstractNumId="69">
    <w:nsid w:val="7672BD23"/>
    <w:multiLevelType w:val="hybridMultilevel"/>
    <w:lvl w:ilvl="0">
      <w:lvlJc w:val="left"/>
      <w:lvlText w:val="(%1)"/>
      <w:numFmt w:val="decimal"/>
      <w:start w:val="1"/>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1)"/>
      <w:numFmt w:val="decimal"/>
      <w:start w:val="1"/>
    </w:lvl>
  </w:abstractNum>
  <w:abstractNum w:abstractNumId="72">
    <w:nsid w:val="7D5E18F8"/>
    <w:multiLevelType w:val="hybridMultilevel"/>
    <w:lvl w:ilvl="0">
      <w:lvlJc w:val="left"/>
      <w:lvlText w:val="(%1)"/>
      <w:numFmt w:val="decimal"/>
      <w:start w:val="6"/>
    </w:lvl>
  </w:abstractNum>
  <w:abstractNum w:abstractNumId="73">
    <w:nsid w:val="5F3534A4"/>
    <w:multiLevelType w:val="hybridMultilevel"/>
    <w:lvl w:ilvl="0">
      <w:lvlJc w:val="left"/>
      <w:lvlText w:val="(%1)"/>
      <w:numFmt w:val="decimal"/>
      <w:start w:val="1"/>
    </w:lvl>
  </w:abstractNum>
  <w:abstractNum w:abstractNumId="74">
    <w:nsid w:val="73A1821B"/>
    <w:multiLevelType w:val="hybridMultilevel"/>
    <w:lvl w:ilvl="0">
      <w:lvlJc w:val="left"/>
      <w:lvlText w:val="(%1)"/>
      <w:numFmt w:val="decimal"/>
      <w:start w:val="1"/>
    </w:lvl>
  </w:abstractNum>
  <w:abstractNum w:abstractNumId="75">
    <w:nsid w:val="7DE67713"/>
    <w:multiLevelType w:val="hybridMultilevel"/>
    <w:lvl w:ilvl="0">
      <w:lvlJc w:val="left"/>
      <w:lvlText w:val="(%1)"/>
      <w:numFmt w:val="decimal"/>
      <w:start w:val="5"/>
    </w:lvl>
  </w:abstractNum>
  <w:abstractNum w:abstractNumId="76">
    <w:nsid w:val="555C55B5"/>
    <w:multiLevelType w:val="hybridMultilevel"/>
    <w:lvl w:ilvl="0">
      <w:lvlJc w:val="left"/>
      <w:lvlText w:val="(%1)"/>
      <w:numFmt w:val="decimal"/>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1)"/>
      <w:numFmt w:val="decimal"/>
      <w:start w:val="1"/>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1)"/>
      <w:numFmt w:val="decimal"/>
      <w:start w:val="1"/>
    </w:lvl>
  </w:abstractNum>
  <w:abstractNum w:abstractNumId="83">
    <w:nsid w:val="1FBFE8E0"/>
    <w:multiLevelType w:val="hybridMultilevel"/>
    <w:lvl w:ilvl="0">
      <w:lvlJc w:val="left"/>
      <w:lvlText w:val="(%1)"/>
      <w:numFmt w:val="decimal"/>
      <w:start w:val="1"/>
    </w:lvl>
  </w:abstractNum>
  <w:abstractNum w:abstractNumId="84">
    <w:nsid w:val="5092CA79"/>
    <w:multiLevelType w:val="hybridMultilevel"/>
    <w:lvl w:ilvl="0">
      <w:lvlJc w:val="left"/>
      <w:lvlText w:val="(%1)"/>
      <w:numFmt w:val="decimal"/>
      <w:start w:val="1"/>
    </w:lvl>
  </w:abstractNum>
  <w:abstractNum w:abstractNumId="85">
    <w:nsid w:val="1D545C4D"/>
    <w:multiLevelType w:val="hybridMultilevel"/>
    <w:lvl w:ilvl="0">
      <w:lvlJc w:val="left"/>
      <w:lvlText w:val="(%1)"/>
      <w:numFmt w:val="decimal"/>
      <w:start w:val="1"/>
    </w:lvl>
  </w:abstractNum>
  <w:abstractNum w:abstractNumId="86">
    <w:nsid w:val="59ADEA3D"/>
    <w:multiLevelType w:val="hybridMultilevel"/>
    <w:lvl w:ilvl="0">
      <w:lvlJc w:val="left"/>
      <w:lvlText w:val="(%1)"/>
      <w:numFmt w:val="decimal"/>
      <w:start w:val="1"/>
    </w:lvl>
  </w:abstractNum>
  <w:abstractNum w:abstractNumId="87">
    <w:nsid w:val="288F1A34"/>
    <w:multiLevelType w:val="hybridMultilevel"/>
    <w:lvl w:ilvl="0">
      <w:lvlJc w:val="left"/>
      <w:lvlText w:val="(%1)"/>
      <w:numFmt w:val="decimal"/>
      <w:start w:val="6"/>
    </w:lvl>
  </w:abstractNum>
  <w:abstractNum w:abstractNumId="88">
    <w:nsid w:val="2A155DBC"/>
    <w:multiLevelType w:val="hybridMultilevel"/>
    <w:lvl w:ilvl="0">
      <w:lvlJc w:val="left"/>
      <w:lvlText w:val="(%1)"/>
      <w:numFmt w:val="decimal"/>
      <w:start w:val="1"/>
    </w:lvl>
  </w:abstractNum>
  <w:abstractNum w:abstractNumId="89">
    <w:nsid w:val="1D9F6E5F"/>
    <w:multiLevelType w:val="hybridMultilevel"/>
    <w:lvl w:ilvl="0">
      <w:lvlJc w:val="left"/>
      <w:lvlText w:val="(%1)"/>
      <w:numFmt w:val="decimal"/>
      <w:start w:val="1"/>
    </w:lvl>
  </w:abstractNum>
  <w:abstractNum w:abstractNumId="90">
    <w:nsid w:val="97E1B4E"/>
    <w:multiLevelType w:val="hybridMultilevel"/>
    <w:lvl w:ilvl="0">
      <w:lvlJc w:val="left"/>
      <w:lvlText w:val="(%1)"/>
      <w:numFmt w:val="decimal"/>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1)"/>
      <w:numFmt w:val="decimal"/>
      <w:start w:val="1"/>
    </w:lvl>
  </w:abstractNum>
  <w:abstractNum w:abstractNumId="95">
    <w:nsid w:val="7C58FD05"/>
    <w:multiLevelType w:val="hybridMultilevel"/>
    <w:lvl w:ilvl="0">
      <w:lvlJc w:val="left"/>
      <w:lvlText w:val="(%1)"/>
      <w:numFmt w:val="decimal"/>
      <w:start w:val="1"/>
    </w:lvl>
  </w:abstractNum>
  <w:abstractNum w:abstractNumId="96">
    <w:nsid w:val="23D86AAC"/>
    <w:multiLevelType w:val="hybridMultilevel"/>
    <w:lvl w:ilvl="0">
      <w:lvlJc w:val="left"/>
      <w:lvlText w:val="(%1)"/>
      <w:numFmt w:val="decimal"/>
      <w:start w:val="1"/>
    </w:lvl>
  </w:abstractNum>
  <w:abstractNum w:abstractNumId="97">
    <w:nsid w:val="45E6D486"/>
    <w:multiLevelType w:val="hybridMultilevel"/>
    <w:lvl w:ilvl="0">
      <w:lvlJc w:val="left"/>
      <w:lvlText w:val="(%1)"/>
      <w:numFmt w:val="decimal"/>
      <w:start w:val="2"/>
    </w:lvl>
  </w:abstractNum>
  <w:abstractNum w:abstractNumId="98">
    <w:nsid w:val="5C10FE21"/>
    <w:multiLevelType w:val="hybridMultilevel"/>
    <w:lvl w:ilvl="0">
      <w:lvlJc w:val="left"/>
      <w:lvlText w:val="(%1)"/>
      <w:numFmt w:val="lowerLetter"/>
      <w:start w:val="2"/>
    </w:lvl>
  </w:abstractNum>
  <w:abstractNum w:abstractNumId="99">
    <w:nsid w:val="E7FFA2B"/>
    <w:multiLevelType w:val="hybridMultilevel"/>
    <w:lvl w:ilvl="0">
      <w:lvlJc w:val="left"/>
      <w:lvlText w:val="(%1)"/>
      <w:numFmt w:val="lowerLetter"/>
      <w:start w:val="3"/>
    </w:lvl>
  </w:abstractNum>
  <w:abstractNum w:abstractNumId="100">
    <w:nsid w:val="3C5991AA"/>
    <w:multiLevelType w:val="hybridMultilevel"/>
    <w:lvl w:ilvl="0">
      <w:lvlJc w:val="left"/>
      <w:lvlText w:val="(%1)"/>
      <w:numFmt w:val="lowerLetter"/>
      <w:start w:val="2"/>
    </w:lvl>
  </w:abstractNum>
  <w:abstractNum w:abstractNumId="101">
    <w:nsid w:val="4BD8591A"/>
    <w:multiLevelType w:val="hybridMultilevel"/>
    <w:lvl w:ilvl="0">
      <w:lvlJc w:val="left"/>
      <w:lvlText w:val="%1."/>
      <w:numFmt w:val="decimal"/>
      <w:start w:val="1"/>
    </w:lvl>
    <w:lvl w:ilvl="1">
      <w:lvlJc w:val="left"/>
      <w:lvlText w:val="(%2)"/>
      <w:numFmt w:val="lowerLetter"/>
      <w:start w:val="1"/>
    </w:lvl>
  </w:abstractNum>
  <w:abstractNum w:abstractNumId="102">
    <w:nsid w:val="78DF6A55"/>
    <w:multiLevelType w:val="hybridMultilevel"/>
    <w:lvl w:ilvl="0">
      <w:lvlJc w:val="left"/>
      <w:lvlText w:val="%1."/>
      <w:numFmt w:val="decimal"/>
      <w:start w:val="3"/>
    </w:lvl>
    <w:lvl w:ilvl="1">
      <w:lvlJc w:val="left"/>
      <w:lvlText w:val="(%2)"/>
      <w:numFmt w:val="lowerLetter"/>
      <w:start w:val="1"/>
    </w:lvl>
  </w:abstractNum>
  <w:abstractNum w:abstractNumId="103">
    <w:nsid w:val="39B7AAA2"/>
    <w:multiLevelType w:val="hybridMultilevel"/>
    <w:lvl w:ilvl="0">
      <w:lvlJc w:val="left"/>
      <w:lvlText w:val="%1."/>
      <w:numFmt w:val="decimal"/>
      <w:start w:val="12"/>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1"/>
    </w:lvl>
  </w:abstractNum>
  <w:abstractNum w:abstractNumId="106">
    <w:nsid w:val="379E21B5"/>
    <w:multiLevelType w:val="hybridMultilevel"/>
    <w:lvl w:ilvl="0">
      <w:lvlJc w:val="left"/>
      <w:lvlText w:val="%1"/>
      <w:numFmt w:val="lowerLetter"/>
      <w:start w:val="1"/>
    </w:lvl>
    <w:lvl w:ilvl="1">
      <w:lvlJc w:val="left"/>
      <w:lvlText w:val="(%2)"/>
      <w:numFmt w:val="lowerLetter"/>
      <w:start w:val="1"/>
    </w:lvl>
  </w:abstractNum>
  <w:abstractNum w:abstractNumId="107">
    <w:nsid w:val="69E373"/>
    <w:multiLevelType w:val="hybridMultilevel"/>
    <w:lvl w:ilvl="0">
      <w:lvlJc w:val="left"/>
      <w:lvlText w:val="(%1)"/>
      <w:numFmt w:val="lowerLetter"/>
      <w:start w:val="3"/>
    </w:lvl>
    <w:lvl w:ilvl="1">
      <w:lvlJc w:val="left"/>
      <w:lvlText w:val="%2"/>
      <w:numFmt w:val="lowerLetter"/>
      <w:start w:val="1"/>
    </w:lvl>
  </w:abstractNum>
  <w:abstractNum w:abstractNumId="108">
    <w:nsid w:val="2C27173B"/>
    <w:multiLevelType w:val="hybridMultilevel"/>
    <w:lvl w:ilvl="0">
      <w:lvlJc w:val="left"/>
      <w:lvlText w:val="(%1)"/>
      <w:numFmt w:val="lowerLetter"/>
      <w:start w:val="1"/>
    </w:lvl>
    <w:lvl w:ilvl="1">
      <w:lvlJc w:val="left"/>
      <w:lvlText w:val="(%2)"/>
      <w:numFmt w:val="decimal"/>
      <w:start w:val="1"/>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2"/>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1)"/>
      <w:numFmt w:val="lowerLetter"/>
      <w:start w:val="1"/>
    </w:lvl>
  </w:abstractNum>
  <w:abstractNum w:abstractNumId="113">
    <w:nsid w:val="3DD15094"/>
    <w:multiLevelType w:val="hybridMultilevel"/>
    <w:lvl w:ilvl="0">
      <w:lvlJc w:val="left"/>
      <w:lvlText w:val="(%1)"/>
      <w:numFmt w:val="lowerLetter"/>
      <w:start w:val="1"/>
    </w:lvl>
  </w:abstractNum>
  <w:abstractNum w:abstractNumId="114">
    <w:nsid w:val="3DB012B3"/>
    <w:multiLevelType w:val="hybridMultilevel"/>
    <w:lvl w:ilvl="0">
      <w:lvlJc w:val="left"/>
      <w:lvlText w:val="(%1)"/>
      <w:numFmt w:val="lowerLetter"/>
      <w:start w:val="2"/>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lowerLetter"/>
      <w:start w:val="1"/>
    </w:lvl>
  </w:abstractNum>
  <w:abstractNum w:abstractNumId="117">
    <w:nsid w:val="175DFCF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8">
    <w:nsid w:val="4F97E3E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9">
    <w:nsid w:val="53B0A9E"/>
    <w:multiLevelType w:val="hybridMultilevel"/>
    <w:lvl w:ilvl="0">
      <w:lvlJc w:val="left"/>
      <w:lvlText w:val="(%1)"/>
      <w:numFmt w:val="decimal"/>
      <w:start w:val="3"/>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lowerLetter"/>
      <w:start w:val="2"/>
    </w:lvl>
  </w:abstractNum>
  <w:abstractNum w:abstractNumId="122">
    <w:nsid w:val="56438D15"/>
    <w:multiLevelType w:val="hybridMultilevel"/>
    <w:lvl w:ilvl="0">
      <w:lvlJc w:val="left"/>
      <w:lvlText w:val="(%1)"/>
      <w:numFmt w:val="lowerLetter"/>
      <w:start w:val="5"/>
    </w:lvl>
  </w:abstractNum>
  <w:abstractNum w:abstractNumId="123">
    <w:nsid w:val="519E3149"/>
    <w:multiLevelType w:val="hybridMultilevel"/>
    <w:lvl w:ilvl="0">
      <w:lvlJc w:val="left"/>
      <w:lvlText w:val="•"/>
      <w:numFmt w:val="bullet"/>
      <w:start w:val="1"/>
    </w:lvl>
  </w:abstractNum>
  <w:abstractNum w:abstractNumId="124">
    <w:nsid w:val="2C6E4AFD"/>
    <w:multiLevelType w:val="hybridMultilevel"/>
    <w:lvl w:ilvl="0">
      <w:lvlJc w:val="left"/>
      <w:lvlText w:val="(%1)"/>
      <w:numFmt w:val="decimal"/>
      <w:start w:val="1"/>
    </w:lvl>
    <w:lvl w:ilvl="1">
      <w:lvlJc w:val="left"/>
      <w:lvlText w:val="%2."/>
      <w:numFmt w:val="lowerLetter"/>
      <w:start w:val="1"/>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lvl w:ilvl="1">
      <w:lvlJc w:val="left"/>
      <w:lvlText w:val="•"/>
      <w:numFmt w:val="bullet"/>
      <w:start w:val="1"/>
    </w:lvl>
  </w:abstractNum>
  <w:abstractNum w:abstractNumId="127">
    <w:nsid w:val="5046B5A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99" Type="http://schemas.openxmlformats.org/officeDocument/2006/relationships/image" Target="media/image8.png"/><Relationship Id="rId100" Type="http://schemas.openxmlformats.org/officeDocument/2006/relationships/image" Target="media/image9.png"/><Relationship Id="rId101" Type="http://schemas.openxmlformats.org/officeDocument/2006/relationships/image" Target="media/image10.png"/><Relationship Id="rId102" Type="http://schemas.openxmlformats.org/officeDocument/2006/relationships/image" Target="media/image11.png"/><Relationship Id="rId103" Type="http://schemas.openxmlformats.org/officeDocument/2006/relationships/image" Target="media/image12.png"/><Relationship Id="rId104" Type="http://schemas.openxmlformats.org/officeDocument/2006/relationships/image" Target="media/image13.png"/><Relationship Id="rId105" Type="http://schemas.openxmlformats.org/officeDocument/2006/relationships/image" Target="media/image14.png"/><Relationship Id="rId106" Type="http://schemas.openxmlformats.org/officeDocument/2006/relationships/image" Target="media/image15.png"/><Relationship Id="rId107" Type="http://schemas.openxmlformats.org/officeDocument/2006/relationships/image" Target="media/image16.png"/><Relationship Id="rId108" Type="http://schemas.openxmlformats.org/officeDocument/2006/relationships/image" Target="media/image17.png"/><Relationship Id="rId109" Type="http://schemas.openxmlformats.org/officeDocument/2006/relationships/image" Target="media/image18.png"/><Relationship Id="rId110" Type="http://schemas.openxmlformats.org/officeDocument/2006/relationships/image" Target="media/image19.png"/><Relationship Id="rId111" Type="http://schemas.openxmlformats.org/officeDocument/2006/relationships/image" Target="media/image20.png"/><Relationship Id="rId112" Type="http://schemas.openxmlformats.org/officeDocument/2006/relationships/image" Target="media/image21.png"/><Relationship Id="rId113" Type="http://schemas.openxmlformats.org/officeDocument/2006/relationships/image" Target="media/image22.png"/><Relationship Id="rId114" Type="http://schemas.openxmlformats.org/officeDocument/2006/relationships/image" Target="media/image23.png"/><Relationship Id="rId115" Type="http://schemas.openxmlformats.org/officeDocument/2006/relationships/image" Target="media/image24.png"/><Relationship Id="rId116" Type="http://schemas.openxmlformats.org/officeDocument/2006/relationships/image" Target="media/image25.png"/><Relationship Id="rId117" Type="http://schemas.openxmlformats.org/officeDocument/2006/relationships/image" Target="media/image26.png"/><Relationship Id="rId118" Type="http://schemas.openxmlformats.org/officeDocument/2006/relationships/image" Target="media/image27.png"/><Relationship Id="rId119" Type="http://schemas.openxmlformats.org/officeDocument/2006/relationships/image" Target="media/image28.png"/><Relationship Id="rId120" Type="http://schemas.openxmlformats.org/officeDocument/2006/relationships/image" Target="media/image29.png"/><Relationship Id="rId121" Type="http://schemas.openxmlformats.org/officeDocument/2006/relationships/image" Target="media/image30.png"/><Relationship Id="rId122" Type="http://schemas.openxmlformats.org/officeDocument/2006/relationships/image" Target="media/image31.png"/><Relationship Id="rId123" Type="http://schemas.openxmlformats.org/officeDocument/2006/relationships/image" Target="media/image32.png"/><Relationship Id="rId124" Type="http://schemas.openxmlformats.org/officeDocument/2006/relationships/image" Target="media/image33.png"/><Relationship Id="rId125" Type="http://schemas.openxmlformats.org/officeDocument/2006/relationships/image" Target="media/image34.png"/><Relationship Id="rId126" Type="http://schemas.openxmlformats.org/officeDocument/2006/relationships/image" Target="media/image35.png"/><Relationship Id="rId127" Type="http://schemas.openxmlformats.org/officeDocument/2006/relationships/image" Target="media/image36.png"/><Relationship Id="rId128" Type="http://schemas.openxmlformats.org/officeDocument/2006/relationships/image" Target="media/image37.png"/><Relationship Id="rId129" Type="http://schemas.openxmlformats.org/officeDocument/2006/relationships/image" Target="media/image38.png"/><Relationship Id="rId130" Type="http://schemas.openxmlformats.org/officeDocument/2006/relationships/image" Target="media/image39.png"/><Relationship Id="rId131" Type="http://schemas.openxmlformats.org/officeDocument/2006/relationships/image" Target="media/image40.png"/><Relationship Id="rId132" Type="http://schemas.openxmlformats.org/officeDocument/2006/relationships/image" Target="media/image41.png"/><Relationship Id="rId133" Type="http://schemas.openxmlformats.org/officeDocument/2006/relationships/image" Target="media/image42.png"/><Relationship Id="rId15" Type="http://schemas.openxmlformats.org/officeDocument/2006/relationships/hyperlink" Target="http://www.sec.gov/Archives/edgar/data/873860/000101905612001095/ex2_1.htm" TargetMode="External"/><Relationship Id="rId16" Type="http://schemas.openxmlformats.org/officeDocument/2006/relationships/hyperlink" Target="http://www.sec.gov/Archives/edgar/data/873860/000101905612001171/ex2_1.htm" TargetMode="External"/><Relationship Id="rId17" Type="http://schemas.openxmlformats.org/officeDocument/2006/relationships/hyperlink" Target="http://www.sec.gov/Archives/edgar/data/873860/000162828018005611/a20180331ex21.htm" TargetMode="External"/><Relationship Id="rId18" Type="http://schemas.openxmlformats.org/officeDocument/2006/relationships/hyperlink" Target="http://www.sec.gov/Archives/edgar/data/873860/000110465913027150/a13-9549_1ex2d1.htm" TargetMode="External"/><Relationship Id="rId19" Type="http://schemas.openxmlformats.org/officeDocument/2006/relationships/hyperlink" Target="http://www.sec.gov/Archives/edgar/data/77776/000110465916164072/a16-23698_1ex2d1.htm" TargetMode="External"/><Relationship Id="rId20" Type="http://schemas.openxmlformats.org/officeDocument/2006/relationships/hyperlink" Target="http://www.sec.gov/Archives/edgar/data/873860/000162828017008009/a20170630ex31.htm" TargetMode="External"/><Relationship Id="rId21" Type="http://schemas.openxmlformats.org/officeDocument/2006/relationships/hyperlink" Target="http://www.sec.gov/Archives/edgar/data/873860/000144530514002107/a20140512ex41indenture.htm" TargetMode="External"/><Relationship Id="rId22" Type="http://schemas.openxmlformats.org/officeDocument/2006/relationships/hyperlink" Target="http://www.sec.gov/Archives/edgar/data/873860/000144530514002107/a20140512ex42regrightsagmt.htm" TargetMode="External"/><Relationship Id="rId23" Type="http://schemas.openxmlformats.org/officeDocument/2006/relationships/hyperlink" Target="http://www.sec.gov/Archives/edgar/data/873860/000101905616001682/ex4_1.htm" TargetMode="External"/><Relationship Id="rId24" Type="http://schemas.openxmlformats.org/officeDocument/2006/relationships/hyperlink" Target="http://www.sec.gov/Archives/edgar/data/77776/000110465912002407/a12-2810_1ex4d1.htm" TargetMode="External"/><Relationship Id="rId25" Type="http://schemas.openxmlformats.org/officeDocument/2006/relationships/hyperlink" Target="http://www.sec.gov/Archives/edgar/data/873860/000149315218014073/ex4-1.htm" TargetMode="External"/><Relationship Id="rId26" Type="http://schemas.openxmlformats.org/officeDocument/2006/relationships/hyperlink" Target="http://www.sec.gov/Archives/edgar/data/77776/000110465912059784/a12-18919_1ex4d2.htm" TargetMode="External"/><Relationship Id="rId27" Type="http://schemas.openxmlformats.org/officeDocument/2006/relationships/hyperlink" Target="http://www.sec.gov/Archives/edgar/data/77776/000110465913065027/a13-17930_2ex4d2.htm" TargetMode="External"/><Relationship Id="rId28" Type="http://schemas.openxmlformats.org/officeDocument/2006/relationships/hyperlink" Target="http://www.sec.gov/Archives/edgar/data/77776/000110465917043328/a17-16875_1ex4d1.htm" TargetMode="External"/><Relationship Id="rId29" Type="http://schemas.openxmlformats.org/officeDocument/2006/relationships/hyperlink" Target="http://www.sec.gov/Archives/edgar/data/77776/000110465917043328/a17-16875_1ex4d2.htm" TargetMode="External"/><Relationship Id="rId30" Type="http://schemas.openxmlformats.org/officeDocument/2006/relationships/hyperlink" Target="http://www.sec.gov/Archives/edgar/data/873860/000162828016014863/a20160331ex102.htm" TargetMode="External"/><Relationship Id="rId31" Type="http://schemas.openxmlformats.org/officeDocument/2006/relationships/hyperlink" Target="http://www.sec.gov/Archives/edgar/data/873860/000101905605000309/ex10_7.txt" TargetMode="External"/><Relationship Id="rId32" Type="http://schemas.openxmlformats.org/officeDocument/2006/relationships/hyperlink" Target="http://www.sec.gov/Archives/edgar/data/873860/000101905607000302/ocwen_def14a.htm" TargetMode="External"/><Relationship Id="rId33" Type="http://schemas.openxmlformats.org/officeDocument/2006/relationships/hyperlink" Target="http://www.sec.gov/Archives/edgar/data/873860/000144530514000799/a20131231ex106.htm" TargetMode="External"/><Relationship Id="rId34" Type="http://schemas.openxmlformats.org/officeDocument/2006/relationships/hyperlink" Target="http://www.sec.gov/Archives/edgar/data/873860/000101905617000495/ex10_1.htm" TargetMode="External"/><Relationship Id="rId35" Type="http://schemas.openxmlformats.org/officeDocument/2006/relationships/hyperlink" Target="http://www.sec.gov/Archives/edgar/data/873860/000101905609000816/ex10_4.htm" TargetMode="External"/><Relationship Id="rId36" Type="http://schemas.openxmlformats.org/officeDocument/2006/relationships/hyperlink" Target="http://www.sec.gov/Archives/edgar/data/873860/000101905609000816/ex10_5.htm" TargetMode="External"/><Relationship Id="rId37" Type="http://schemas.openxmlformats.org/officeDocument/2006/relationships/hyperlink" Target="http://www.sec.gov/Archives/edgar/data/873860/000101905609000816/ex10_6.htm" TargetMode="External"/><Relationship Id="rId38" Type="http://schemas.openxmlformats.org/officeDocument/2006/relationships/hyperlink" Target="http://www.sec.gov/Archives/edgar/data/873860/000101905609000816/ex10_7.htm" TargetMode="External"/><Relationship Id="rId39" Type="http://schemas.openxmlformats.org/officeDocument/2006/relationships/hyperlink" Target="http://www.sec.gov/Archives/edgar/data/873860/000101905612001097/ex10_1.htm" TargetMode="External"/><Relationship Id="rId40" Type="http://schemas.openxmlformats.org/officeDocument/2006/relationships/hyperlink" Target="http://www.sec.gov/Archives/edgar/data/873860/000101905612001097/ex10_2.htm" TargetMode="External"/><Relationship Id="rId41" Type="http://schemas.openxmlformats.org/officeDocument/2006/relationships/hyperlink" Target="http://www.sec.gov/Archives/edgar/data/873860/000101905612001097/ex10_3.htm" TargetMode="External"/><Relationship Id="rId42" Type="http://schemas.openxmlformats.org/officeDocument/2006/relationships/hyperlink" Target="http://www.sec.gov/Archives/edgar/data/873860/000101905612001097/ex10_4.htm" TargetMode="External"/><Relationship Id="rId43" Type="http://schemas.openxmlformats.org/officeDocument/2006/relationships/hyperlink" Target="http://www.sec.gov/Archives/edgar/data/873860/000101905612001097/ex10_6.htm" TargetMode="External"/><Relationship Id="rId44" Type="http://schemas.openxmlformats.org/officeDocument/2006/relationships/hyperlink" Target="http://www.sec.gov/Archives/edgar/data/873860/000101905612001097/ex10_7.htm" TargetMode="External"/><Relationship Id="rId45" Type="http://schemas.openxmlformats.org/officeDocument/2006/relationships/hyperlink" Target="http://www.sec.gov/Archives/edgar/data/873860/000101905612001097/ex10_8.htm" TargetMode="External"/><Relationship Id="rId46" Type="http://schemas.openxmlformats.org/officeDocument/2006/relationships/hyperlink" Target="http://www.sec.gov/Archives/edgar/data/873860/000101905612001097/ex10_9.htm" TargetMode="External"/><Relationship Id="rId47" Type="http://schemas.openxmlformats.org/officeDocument/2006/relationships/hyperlink" Target="http://www.sec.gov/Archives/edgar/data/873860/000110465913027150/a13-9549_1ex10d1.htm" TargetMode="External"/><Relationship Id="rId48" Type="http://schemas.openxmlformats.org/officeDocument/2006/relationships/hyperlink" Target="http://www.sec.gov/Archives/edgar/data/873860/000110465913027150/a13-9549_1ex10d2.htm" TargetMode="External"/><Relationship Id="rId49" Type="http://schemas.openxmlformats.org/officeDocument/2006/relationships/hyperlink" Target="http://www.sec.gov/Archives/edgar/data/873860/000110465913027150/a13-9549_1ex10d3.htm" TargetMode="External"/><Relationship Id="rId50" Type="http://schemas.openxmlformats.org/officeDocument/2006/relationships/hyperlink" Target="http://www.sec.gov/Archives/edgar/data/873860/000110465913027150/a13-9549_1ex10d4.htm" TargetMode="External"/><Relationship Id="rId51" Type="http://schemas.openxmlformats.org/officeDocument/2006/relationships/hyperlink" Target="http://www.sec.gov/Archives/edgar/data/873860/000110465913027150/a13-9549_1ex10d5.htm" TargetMode="External"/><Relationship Id="rId52" Type="http://schemas.openxmlformats.org/officeDocument/2006/relationships/hyperlink" Target="http://www.sec.gov/Archives/edgar/data/873860/000110465913027150/a13-9549_1ex10d6.htm" TargetMode="External"/><Relationship Id="rId53" Type="http://schemas.openxmlformats.org/officeDocument/2006/relationships/hyperlink" Target="http://www.sec.gov/Archives/edgar/data/873860/000110465913027150/a13-9549_1ex10d7.htm" TargetMode="External"/><Relationship Id="rId54" Type="http://schemas.openxmlformats.org/officeDocument/2006/relationships/hyperlink" Target="http://www.sec.gov/Archives/edgar/data/873860/000110465913027150/a13-9549_1ex10d8.htm" TargetMode="External"/><Relationship Id="rId55" Type="http://schemas.openxmlformats.org/officeDocument/2006/relationships/hyperlink" Target="http://www.sec.gov/Archives/edgar/data/873860/000144530514000799/a20131231ex1031.htm" TargetMode="External"/><Relationship Id="rId56" Type="http://schemas.openxmlformats.org/officeDocument/2006/relationships/hyperlink" Target="http://www.sec.gov/Archives/edgar/data/873860/000144530514000799/a20131231ex1032.htm" TargetMode="External"/><Relationship Id="rId57" Type="http://schemas.openxmlformats.org/officeDocument/2006/relationships/hyperlink" Target="http://www.sec.gov/Archives/edgar/data/873860/000110465913030676/a13-10363_1ex10d1.htm" TargetMode="External"/><Relationship Id="rId58" Type="http://schemas.openxmlformats.org/officeDocument/2006/relationships/hyperlink" Target="http://www.sec.gov/Archives/edgar/data/873860/000144530514000799/a20131231ex1035.htm" TargetMode="External"/><Relationship Id="rId59" Type="http://schemas.openxmlformats.org/officeDocument/2006/relationships/hyperlink" Target="http://www.sec.gov/Archives/edgar/data/873860/000144530514000799/a20131231ex1037.htm" TargetMode="External"/><Relationship Id="rId60" Type="http://schemas.openxmlformats.org/officeDocument/2006/relationships/hyperlink" Target="http://www.sec.gov/Archives/edgar/data/873860/000162828017001600/a20161231ex1037.htm" TargetMode="External"/><Relationship Id="rId61" Type="http://schemas.openxmlformats.org/officeDocument/2006/relationships/hyperlink" Target="http://www.sec.gov/Archives/edgar/data/873860/000119312513283923/d564958dex101.htm" TargetMode="External"/><Relationship Id="rId62" Type="http://schemas.openxmlformats.org/officeDocument/2006/relationships/hyperlink" Target="http://www.sec.gov/Archives/edgar/data/873860/000119312513283923/d564958dex102.htm" TargetMode="External"/><Relationship Id="rId63" Type="http://schemas.openxmlformats.org/officeDocument/2006/relationships/hyperlink" Target="http://www.sec.gov/Archives/edgar/data/873860/000101905613001221/ex10_4.htm" TargetMode="External"/><Relationship Id="rId64" Type="http://schemas.openxmlformats.org/officeDocument/2006/relationships/hyperlink" Target="http://www.sec.gov/Archives/edgar/data/873860/000101905613001221/ex10_5.htm" TargetMode="External"/><Relationship Id="rId65" Type="http://schemas.openxmlformats.org/officeDocument/2006/relationships/hyperlink" Target="http://www.sec.gov/Archives/edgar/data/873860/000144530514000799/a20131231ex1044.htm" TargetMode="External"/><Relationship Id="rId66" Type="http://schemas.openxmlformats.org/officeDocument/2006/relationships/hyperlink" Target="http://www.sec.gov/Archives/edgar/data/873860/000144530514000799/a20131231ex1045.htm" TargetMode="External"/><Relationship Id="rId67" Type="http://schemas.openxmlformats.org/officeDocument/2006/relationships/hyperlink" Target="http://www.sec.gov/Archives/edgar/data/873860/000101905615000363/ex10_1.htm" TargetMode="External"/><Relationship Id="rId68" Type="http://schemas.openxmlformats.org/officeDocument/2006/relationships/hyperlink" Target="http://www.sec.gov/Archives/edgar/data/873860/000162828017001600/a20161231ex1045.htm" TargetMode="External"/><Relationship Id="rId69" Type="http://schemas.openxmlformats.org/officeDocument/2006/relationships/hyperlink" Target="http://www.sec.gov/Archives/edgar/data/873860/000101905616001682/ex10_3.htm" TargetMode="External"/><Relationship Id="rId70" Type="http://schemas.openxmlformats.org/officeDocument/2006/relationships/hyperlink" Target="http://www.sec.gov/Archives/edgar/data/873860/000119312513064182/d488213dex102.htm" TargetMode="External"/><Relationship Id="rId71" Type="http://schemas.openxmlformats.org/officeDocument/2006/relationships/hyperlink" Target="http://www.sec.gov/Archives/edgar/data/873860/000101905616001682/ex10_1.htm" TargetMode="External"/><Relationship Id="rId72" Type="http://schemas.openxmlformats.org/officeDocument/2006/relationships/hyperlink" Target="http://www.sec.gov/Archives/edgar/data/873860/000101905616001682/ex10_2.htm" TargetMode="External"/><Relationship Id="rId73" Type="http://schemas.openxmlformats.org/officeDocument/2006/relationships/hyperlink" Target="http://www.sec.gov/Archives/edgar/data/873860/000144530514001791/a20140331ex105.htm" TargetMode="External"/><Relationship Id="rId74" Type="http://schemas.openxmlformats.org/officeDocument/2006/relationships/hyperlink" Target="http://www.sec.gov/Archives/edgar/data/873860/000101905615000025/ex10_1.htm" TargetMode="External"/><Relationship Id="rId75" Type="http://schemas.openxmlformats.org/officeDocument/2006/relationships/hyperlink" Target="http://www.sec.gov/Archives/edgar/data/873860/000101905615000355/ex10_1.htm" TargetMode="External"/><Relationship Id="rId76" Type="http://schemas.openxmlformats.org/officeDocument/2006/relationships/hyperlink" Target="http://www.sec.gov/Archives/edgar/data/873860/000101905615000355/ex10_2.htm" TargetMode="External"/><Relationship Id="rId77" Type="http://schemas.openxmlformats.org/officeDocument/2006/relationships/hyperlink" Target="http://www.sec.gov/Archives/edgar/data/873860/000162828017010588/a20170930ex101.htm" TargetMode="External"/><Relationship Id="rId78" Type="http://schemas.openxmlformats.org/officeDocument/2006/relationships/hyperlink" Target="http://www.sec.gov/Archives/edgar/data/873860/000162828017010588/a20170930ex102.htm" TargetMode="External"/><Relationship Id="rId79" Type="http://schemas.openxmlformats.org/officeDocument/2006/relationships/hyperlink" Target="http://www.sec.gov/Archives/edgar/data/873860/000162828017010588/a20170930ex103.htm" TargetMode="External"/><Relationship Id="rId80" Type="http://schemas.openxmlformats.org/officeDocument/2006/relationships/hyperlink" Target="http://www.sec.gov/Archives/edgar/data/873860/000162828017010588/a20170930ex104.htm" TargetMode="External"/><Relationship Id="rId81" Type="http://schemas.openxmlformats.org/officeDocument/2006/relationships/hyperlink" Target="http://www.sec.gov/Archives/edgar/data/873860/000162828017010588/a20170930ex105.htm" TargetMode="External"/><Relationship Id="rId82" Type="http://schemas.openxmlformats.org/officeDocument/2006/relationships/hyperlink" Target="http://www.sec.gov/Archives/edgar/data/873860/000162828018005611/a20180331ex101.htm" TargetMode="External"/><Relationship Id="rId83" Type="http://schemas.openxmlformats.org/officeDocument/2006/relationships/hyperlink" Target="http://www.sec.gov/Archives/edgar/data/873860/000162828018005611/a20180331ex102.htm" TargetMode="External"/><Relationship Id="rId84" Type="http://schemas.openxmlformats.org/officeDocument/2006/relationships/hyperlink" Target="http://www.sec.gov/Archives/edgar/data/873860/000149315218001792/ex10-1.htm" TargetMode="External"/><Relationship Id="rId85" Type="http://schemas.openxmlformats.org/officeDocument/2006/relationships/hyperlink" Target="http://www.sec.gov/Archives/edgar/data/873860/000149315218005447/ex10-1.htm" TargetMode="External"/><Relationship Id="rId86" Type="http://schemas.openxmlformats.org/officeDocument/2006/relationships/hyperlink" Target="http://www.sec.gov/Archives/edgar/data/873860/000149315218005447/ex10-2.htm" TargetMode="External"/><Relationship Id="rId87" Type="http://schemas.openxmlformats.org/officeDocument/2006/relationships/hyperlink" Target="http://www.sec.gov/Archives/edgar/data/873860/000149315218007928/ex10-1.htm" TargetMode="External"/><Relationship Id="rId88" Type="http://schemas.openxmlformats.org/officeDocument/2006/relationships/hyperlink" Target="http://www.sec.gov/Archives/edgar/data/873860/000149315218014073/ex10-1.htm" TargetMode="External"/><Relationship Id="rId89" Type="http://schemas.openxmlformats.org/officeDocument/2006/relationships/hyperlink" Target="http://www.sec.gov/Archives/edgar/data/873860/000162828018013669/a20180930ex106.htm" TargetMode="External"/><Relationship Id="rId90" Type="http://schemas.openxmlformats.org/officeDocument/2006/relationships/hyperlink" Target="http://www.sec.gov/Archives/edgar/data/873860/000162828018013669/a20180930ex107.htm" TargetMode="External"/><Relationship Id="rId91" Type="http://schemas.openxmlformats.org/officeDocument/2006/relationships/hyperlink" Target="http://www.sec.gov/Archives/edgar/data/873860/000162828018013669/a20180930ex108.htm" TargetMode="External"/><Relationship Id="rId92" Type="http://schemas.openxmlformats.org/officeDocument/2006/relationships/hyperlink" Target="http://www.sec.gov/Archives/edgar/data/77776/000110465916164072/a16-23698_1ex10d1.htm" TargetMode="External"/><Relationship Id="rId93" Type="http://schemas.openxmlformats.org/officeDocument/2006/relationships/hyperlink" Target="http://www.sec.gov/Archives/edgar/data/77776/000110465917040017/a17-15314_1ex10d1.htm" TargetMode="External"/><Relationship Id="rId94" Type="http://schemas.openxmlformats.org/officeDocument/2006/relationships/hyperlink" Target="http://www.sec.gov/Archives/edgar/data/77776/000110465917040017/a17-15314_1ex10d2.htm" TargetMode="External"/><Relationship Id="rId95" Type="http://schemas.openxmlformats.org/officeDocument/2006/relationships/hyperlink" Target="http://www.sec.gov/Archives/edgar/data/77776/000110465916123343/a16-12136_1ex10d1.htm" TargetMode="External"/><Relationship Id="rId96" Type="http://schemas.openxmlformats.org/officeDocument/2006/relationships/hyperlink" Target="http://www.sec.gov/Archives/edgar/data/77776/000110465915015004/a14-25744_1ex10d17.htm" TargetMode="External"/><Relationship Id="rId97" Type="http://schemas.openxmlformats.org/officeDocument/2006/relationships/hyperlink" Target="http://www.sec.gov/Archives/edgar/data/77776/000007777618000005/ex-1010120171231.htm" TargetMode="External"/><Relationship Id="rId98" Type="http://schemas.openxmlformats.org/officeDocument/2006/relationships/hyperlink" Target="http://www.sec.gov/Archives/edgar/data/77776/000007777617000027/phhex1052017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2019-12-28T16:08:07Z</dcterms:created>
  <dcterms:modified xsi:type="dcterms:W3CDTF">2019-12-28T16:08:07Z</dcterms:modified>
</cp:coreProperties>
</file>