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283845</wp:posOffset>
            </wp:positionV>
            <wp:extent cx="71393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4064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332740</wp:posOffset>
            </wp:positionV>
            <wp:extent cx="71393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16510"/>
                    </a:xfrm>
                    <a:prstGeom prst="rect">
                      <a:avLst/>
                    </a:prstGeom>
                    <a:noFill/>
                  </pic:spPr>
                </pic:pic>
              </a:graphicData>
            </a:graphic>
          </wp:anchor>
        </w:drawing>
        <w:t>UNITED STATES</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 INFORMATION</w:t>
      </w: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14" w:lineRule="exact"/>
        <w:rPr>
          <w:sz w:val="24"/>
          <w:szCs w:val="24"/>
          <w:color w:val="auto"/>
        </w:rPr>
      </w:pPr>
    </w:p>
    <w:p>
      <w:pPr>
        <w:ind w:left="920" w:hanging="303"/>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7" w:lineRule="exact"/>
        <w:rPr>
          <w:rFonts w:ascii="MS PGothic" w:cs="MS PGothic" w:eastAsia="MS PGothic" w:hAnsi="MS PGothic"/>
          <w:sz w:val="17"/>
          <w:szCs w:val="17"/>
          <w:color w:val="auto"/>
        </w:rPr>
      </w:pPr>
    </w:p>
    <w:p>
      <w:pPr>
        <w:ind w:left="620" w:right="3659" w:hanging="3"/>
        <w:spacing w:after="0" w:line="205" w:lineRule="exact"/>
        <w:tabs>
          <w:tab w:leader="none" w:pos="9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ind w:left="920" w:hanging="303"/>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9" w:lineRule="exact"/>
        <w:rPr>
          <w:rFonts w:ascii="MS PGothic" w:cs="MS PGothic" w:eastAsia="MS PGothic" w:hAnsi="MS PGothic"/>
          <w:sz w:val="17"/>
          <w:szCs w:val="17"/>
          <w:color w:val="auto"/>
        </w:rPr>
      </w:pPr>
    </w:p>
    <w:p>
      <w:pPr>
        <w:ind w:left="920" w:hanging="303"/>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ss.240.14a-12</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71393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4" w:lineRule="exact"/>
        <w:rPr>
          <w:sz w:val="24"/>
          <w:szCs w:val="24"/>
          <w:color w:val="auto"/>
        </w:rPr>
      </w:pPr>
    </w:p>
    <w:p>
      <w:pPr>
        <w:ind w:left="200" w:hanging="198"/>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1" w:lineRule="exact"/>
        <w:rPr>
          <w:sz w:val="24"/>
          <w:szCs w:val="24"/>
          <w:color w:val="auto"/>
        </w:rPr>
      </w:pPr>
    </w:p>
    <w:p>
      <w:pPr>
        <w:ind w:left="200" w:hanging="198"/>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5" w:lineRule="exact"/>
        <w:rPr>
          <w:rFonts w:ascii="MS PGothic" w:cs="MS PGothic" w:eastAsia="MS PGothic" w:hAnsi="MS PGothic"/>
          <w:sz w:val="17"/>
          <w:szCs w:val="17"/>
          <w:color w:val="auto"/>
        </w:rPr>
      </w:pPr>
    </w:p>
    <w:p>
      <w:pPr>
        <w:ind w:left="200" w:hanging="198"/>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71393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167640</wp:posOffset>
            </wp:positionV>
            <wp:extent cx="71393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468630</wp:posOffset>
            </wp:positionV>
            <wp:extent cx="71393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39"/>
          </w:cols>
          <w:pgMar w:left="320" w:top="70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3107690</wp:posOffset>
            </wp:positionH>
            <wp:positionV relativeFrom="page">
              <wp:posOffset>430530</wp:posOffset>
            </wp:positionV>
            <wp:extent cx="1357630" cy="1593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57630" cy="159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April 12,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Fellow Shareholder: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On behalf of the Board of Directors, I cordially invite you to participate in the Annual Meeting of Shareholders of Ocwen Financial Corporation, which will be held on Tuesday, May 28, 2024, at 9:00 a.m., Eastern Daylight Time. Our experience continues to demonstrate that virtual-format shareholder meetings allow more shareholders to participate online than would be able to travel to the meeting to attend in person, so we will again be hosting this year’s Annual Meeting in a virtual format only via live audiocast on the Internet at </w:t>
      </w:r>
      <w:r>
        <w:rPr>
          <w:rFonts w:ascii="Times New Roman" w:cs="Times New Roman" w:eastAsia="Times New Roman" w:hAnsi="Times New Roman"/>
          <w:sz w:val="17"/>
          <w:szCs w:val="17"/>
          <w:u w:val="single" w:color="auto"/>
          <w:color w:val="auto"/>
        </w:rPr>
        <w:t>www.virtualshareholdermeeting.com/OCN2024</w:t>
      </w:r>
      <w:r>
        <w:rPr>
          <w:rFonts w:ascii="Times New Roman" w:cs="Times New Roman" w:eastAsia="Times New Roman" w:hAnsi="Times New Roman"/>
          <w:sz w:val="17"/>
          <w:szCs w:val="17"/>
          <w:color w:val="auto"/>
        </w:rPr>
        <w:t>. To participate, vote or submit questions during the Annual Meeting via live audiocast, please review the detailed procedures included in our Notice of Annual Meeting. You will not be able to attend the Annual Meeting physically in person. For purposes of attendance at the Annual Meeting, all references herein to “present,” “participate,” or “in person,” shall mean virtually present at the Annual Meeting.</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Details of the business to be conducted at the Annual Meeting and instructions for how to participate in the Annual Meeting are set forth in the accompanying Notice of 2024 Annual Meeting of Stockholders and Proxy Statement. Only stockholders of record and beneficial owners at the close of business on March 25, 2024 are entitled to notice of and to vote at the Annual Meeting and any adjournments or postponements thereof.</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is very important that you be represented at the Annual Meeting regardless of the number of shares you own or whether you are able to participate in our virtual Annual Meeting. We encourage you to complete your proxy card in one of the manners described in the accompanying materials even if you plan to participate in the Annual Meeting. This will not prevent you from voting during the Annual Meeting if you choose to participate and vote at that time, but will ensure that your vote is counted if you are unable to participate. If you are a beneficial owner holding shares through a brokerage firm, bank, broker-dealer, or similar organization you should follow the instructions on your voting instruction form to vote your shares. Please note that if you are a beneficial owner of our shares you may not be able to vote your shares at the Annual Meeting unless you have obtained a legal proxy from your brokerage firm, bank, broker-dealer, or similar organization. Please contact your brokerage firm, bank, broker-dealer or other similar organization for information about specific requirements if you would like to vote your shares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 continued support of, and interest in, Ocwen Financial Corporation is sincerely appreciated.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1569085" cy="455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9085" cy="45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Glen A. Messina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265430</wp:posOffset>
            </wp:positionV>
            <wp:extent cx="71393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1661 Worthington Road, Suite 100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West Palm Beach, Florida 33409</w:t>
      </w:r>
    </w:p>
    <w:p>
      <w:pPr>
        <w:spacing w:after="0" w:line="193"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17"/>
          <w:szCs w:val="17"/>
          <w:b w:val="1"/>
          <w:bCs w:val="1"/>
          <w:color w:val="auto"/>
        </w:rPr>
        <w:t>NOTICE OF ANNUAL MEETING OF SHAREHOLDERS AND IMPORTANT NOTICE REGARDING THE AVAILABILITY OF PROXY MATERIALS FOR THE SHAREHOLDER MEETING TO BE HELD ON MAY 28,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Annual Meeting of Shareholders will be held:</w:t>
      </w:r>
    </w:p>
    <w:p>
      <w:pPr>
        <w:spacing w:after="0" w:line="210"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Date:</w:t>
      </w:r>
      <w:r>
        <w:rPr>
          <w:sz w:val="20"/>
          <w:szCs w:val="20"/>
          <w:color w:val="auto"/>
        </w:rPr>
        <w:tab/>
      </w:r>
      <w:r>
        <w:rPr>
          <w:rFonts w:ascii="Times New Roman" w:cs="Times New Roman" w:eastAsia="Times New Roman" w:hAnsi="Times New Roman"/>
          <w:sz w:val="17"/>
          <w:szCs w:val="17"/>
          <w:color w:val="auto"/>
        </w:rPr>
        <w:t>Tuesday, May 28, 2024</w:t>
      </w:r>
    </w:p>
    <w:p>
      <w:pPr>
        <w:spacing w:after="0" w:line="31"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Time:</w:t>
      </w:r>
      <w:r>
        <w:rPr>
          <w:sz w:val="20"/>
          <w:szCs w:val="20"/>
          <w:color w:val="auto"/>
        </w:rPr>
        <w:tab/>
      </w:r>
      <w:r>
        <w:rPr>
          <w:rFonts w:ascii="Times New Roman" w:cs="Times New Roman" w:eastAsia="Times New Roman" w:hAnsi="Times New Roman"/>
          <w:sz w:val="17"/>
          <w:szCs w:val="17"/>
          <w:color w:val="auto"/>
        </w:rPr>
        <w:t>9:00 a.m., Eastern Daylight Time</w:t>
      </w:r>
    </w:p>
    <w:p>
      <w:pPr>
        <w:spacing w:after="0" w:line="9"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Location:</w:t>
      </w:r>
      <w:r>
        <w:rPr>
          <w:sz w:val="20"/>
          <w:szCs w:val="20"/>
          <w:color w:val="auto"/>
        </w:rPr>
        <w:tab/>
      </w:r>
      <w:r>
        <w:rPr>
          <w:rFonts w:ascii="Times New Roman" w:cs="Times New Roman" w:eastAsia="Times New Roman" w:hAnsi="Times New Roman"/>
          <w:sz w:val="17"/>
          <w:szCs w:val="17"/>
          <w:color w:val="auto"/>
        </w:rPr>
        <w:t>Virtual Meeting Only via Live Audiocast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review the instructions contained in this Proxy Statement if you wish to participate in the virtual Annual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PURPOSE</w:t>
      </w:r>
    </w:p>
    <w:p>
      <w:pPr>
        <w:spacing w:after="0" w:line="218" w:lineRule="exact"/>
        <w:rPr>
          <w:sz w:val="20"/>
          <w:szCs w:val="20"/>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seven directors listed in the accompanying proxy statement for one-year terms or until their successors are elected and qualified;</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Articles of Incorporation, as amended, to change our name to “Onity Group Inc.”;</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by the Audit Committee of our Board of Directors of Deloitte &amp; Touche LLP as the independent registered public accounting firm of Ocwen Financial Corporation for the fiscal year ending December 31, 2024;</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an advisory basis, our named executive officer compensation (Say-on-Pay);</w:t>
      </w:r>
    </w:p>
    <w:p>
      <w:pPr>
        <w:spacing w:after="0" w:line="214"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Ocwen Financial Corporation 2021 Equity Incentive Plan to increase the number of available shares; and</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meeting and any postponement or adjournment of the meeting. Management is not aware of any such other business at this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PROCEDURES</w:t>
      </w:r>
    </w:p>
    <w:p>
      <w:pPr>
        <w:spacing w:after="0" w:line="218" w:lineRule="exact"/>
        <w:rPr>
          <w:sz w:val="20"/>
          <w:szCs w:val="20"/>
          <w:color w:val="auto"/>
        </w:rPr>
      </w:pPr>
    </w:p>
    <w:p>
      <w:pPr>
        <w:jc w:val="both"/>
        <w:ind w:left="620" w:hanging="310"/>
        <w:spacing w:after="0" w:line="262"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Board of Directors has fixed March 25, 2024 as the record date for the determination of shareholders entitled to notice of and to vote at the Annual Meeting. A list of shareholders entitled to vote at the Annual Meeting will be available for examination at our offices for ten days prior to the Annual Meeting. The list of shareholders may also be accessed during the virtual Annual Meeting at </w:t>
      </w:r>
      <w:r>
        <w:rPr>
          <w:rFonts w:ascii="Times New Roman" w:cs="Times New Roman" w:eastAsia="Times New Roman" w:hAnsi="Times New Roman"/>
          <w:sz w:val="17"/>
          <w:szCs w:val="17"/>
          <w:u w:val="single" w:color="auto"/>
          <w:color w:val="auto"/>
        </w:rPr>
        <w:t>www.virtualshareholdermeeting.com/OCN2024</w:t>
      </w:r>
      <w:r>
        <w:rPr>
          <w:rFonts w:ascii="Times New Roman" w:cs="Times New Roman" w:eastAsia="Times New Roman" w:hAnsi="Times New Roman"/>
          <w:sz w:val="17"/>
          <w:szCs w:val="17"/>
          <w:color w:val="auto"/>
        </w:rPr>
        <w:t xml:space="preserve"> by using the control number on your proxy card or voting instruction form.</w:t>
      </w:r>
    </w:p>
    <w:p>
      <w:pPr>
        <w:spacing w:after="0" w:line="170"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of record at the close of business on the record date will be entitled to vote and ask questions online at the Annual Meeting. Please note that if you do not have your control number, you will be able to access and listen to the Annual Meeting, but you will not be able to vote your shares or submit questions during the Annual Meeting.</w:t>
      </w:r>
    </w:p>
    <w:p>
      <w:pPr>
        <w:spacing w:after="0" w:line="167"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would like to attend the virtual meeting and you have your control number, please go to </w:t>
      </w:r>
      <w:r>
        <w:rPr>
          <w:rFonts w:ascii="Times New Roman" w:cs="Times New Roman" w:eastAsia="Times New Roman" w:hAnsi="Times New Roman"/>
          <w:sz w:val="17"/>
          <w:szCs w:val="17"/>
          <w:u w:val="single" w:color="auto"/>
          <w:color w:val="auto"/>
        </w:rPr>
        <w:t>www.virtualshareholdermeeting.com/OCN2024</w:t>
      </w:r>
      <w:r>
        <w:rPr>
          <w:rFonts w:ascii="Times New Roman" w:cs="Times New Roman" w:eastAsia="Times New Roman" w:hAnsi="Times New Roman"/>
          <w:sz w:val="17"/>
          <w:szCs w:val="17"/>
          <w:color w:val="auto"/>
        </w:rPr>
        <w:t xml:space="preserve"> 15 minutes prior to the start of the meeting to log in. For shareholders who hold shares in street name, if you came through your brokerage firm’s website and do not have your control number, you can gain access to the meeting by logging into your brokerage firm’s website 15 minutes prior to the meeting start, selecting the shareholder communications mailbox to link through to the meeting and the control number will automatically populate. For technical assistance when logging into Ocwen’s Annual Meeting, please call 800-586-1548 (US) or 303-562-9288 (International).</w:t>
      </w:r>
    </w:p>
    <w:p>
      <w:pPr>
        <w:spacing w:after="0" w:line="17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wish to submit a question during the Annual Meeting, log into the virtual meeting platform at </w:t>
      </w:r>
      <w:r>
        <w:rPr>
          <w:rFonts w:ascii="Times New Roman" w:cs="Times New Roman" w:eastAsia="Times New Roman" w:hAnsi="Times New Roman"/>
          <w:sz w:val="17"/>
          <w:szCs w:val="17"/>
          <w:u w:val="single" w:color="auto"/>
          <w:color w:val="auto"/>
        </w:rPr>
        <w:t>www.virtualshareholdermeeting.com/OCN2024</w:t>
      </w:r>
      <w:r>
        <w:rPr>
          <w:rFonts w:ascii="Times New Roman" w:cs="Times New Roman" w:eastAsia="Times New Roman" w:hAnsi="Times New Roman"/>
          <w:sz w:val="17"/>
          <w:szCs w:val="17"/>
          <w:color w:val="auto"/>
        </w:rPr>
        <w:t>, type your question into the “Ask a Question” field, and click “Submit.”</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This proxy statement for our 2024 Annual Meeting of Shareholders and our Annual Report to shareholders on Form 10-K for the year ended December 31, 2023 will be available on or about April 23, 2024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Financial Information section under the “Shareholders” tab. The approximate date on which this proxy statement, the proxy card and other accompanying materials are first being sent or given to shareholders is April 23, 2024. Additionally, and in accordance with Securities and Exchange Commission rules, you may access our annual report and proxy materials at </w:t>
      </w:r>
      <w:r>
        <w:rPr>
          <w:rFonts w:ascii="Times New Roman" w:cs="Times New Roman" w:eastAsia="Times New Roman" w:hAnsi="Times New Roman"/>
          <w:sz w:val="17"/>
          <w:szCs w:val="17"/>
          <w:u w:val="single" w:color="auto"/>
          <w:color w:val="auto"/>
        </w:rPr>
        <w:t>http://shareholders.ocwen.com/sec.cfm</w:t>
      </w:r>
      <w:r>
        <w:rPr>
          <w:rFonts w:ascii="Times New Roman" w:cs="Times New Roman" w:eastAsia="Times New Roman" w:hAnsi="Times New Roman"/>
          <w:sz w:val="17"/>
          <w:szCs w:val="17"/>
          <w:color w:val="auto"/>
        </w:rPr>
        <w:t>, a website that does not identify or track visitors of the site.</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If you have questions for Ocwen Financial Corporation regarding this virtual Annual Meeting, please contact our shareholder relations department at </w:t>
      </w:r>
      <w:r>
        <w:rPr>
          <w:rFonts w:ascii="Times New Roman" w:cs="Times New Roman" w:eastAsia="Times New Roman" w:hAnsi="Times New Roman"/>
          <w:sz w:val="17"/>
          <w:szCs w:val="17"/>
          <w:u w:val="single" w:color="auto"/>
          <w:color w:val="auto"/>
        </w:rPr>
        <w:t>shareholderrelations@ocwen.com</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1626235" cy="357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6235" cy="35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Joseph J. Samarias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12, 2024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512"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SHAREHOLDERS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This proxy statement is being furnished to you in connection with the solicitation of proxies by the Board of Directors of Ocwen Financial Corporation (Ocwen, the Company, we, us, or our) for use at our 2024 Annual Meeting of Shareholders (the Annual Meeting) and at any postponement or adjournment of this meeting. The approximate date on which this proxy statement, the proxy card and other accompanying materials are first being sent or given to shareholders is April 23, 2024. The Annual Meeting will be held on Tuesday, May 28, 2024, at 9:00 a.m., Eastern Daylight Time, for the purposes listed in the Notice of Annual Meeting of Shareholders. We will be hosting this year’s Annual Meeting via live audiocast on the Internet at </w:t>
      </w:r>
      <w:r>
        <w:rPr>
          <w:rFonts w:ascii="Times New Roman" w:cs="Times New Roman" w:eastAsia="Times New Roman" w:hAnsi="Times New Roman"/>
          <w:sz w:val="17"/>
          <w:szCs w:val="17"/>
          <w:u w:val="single" w:color="auto"/>
          <w:color w:val="auto"/>
        </w:rPr>
        <w:t>www.virtualshareholdermeeting.com/OCN2024</w:t>
      </w:r>
      <w:r>
        <w:rPr>
          <w:rFonts w:ascii="Times New Roman" w:cs="Times New Roman" w:eastAsia="Times New Roman" w:hAnsi="Times New Roman"/>
          <w:sz w:val="17"/>
          <w:szCs w:val="17"/>
          <w:color w:val="auto"/>
        </w:rPr>
        <w:t>. If you are interested in participating in the virtual meeting, voting or submitting questions at that time, please see “Annual Meeting Participation” below for further details. You will not be able to attend the Annual Meeting physically in person. For purposes of attendance at the Annual Meeting, all references herein to “present,” “participate,” or “in person,” shall mean virtually present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a Proxy Works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Board of Directors has appointed Glen A. Messina, Chair of the Board, President and Chief Executive Officer, and Joseph J. Samarias, Executive Vice President, Chief Legal Officer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71" w:lineRule="exact"/>
        <w:rPr>
          <w:sz w:val="20"/>
          <w:szCs w:val="20"/>
          <w:color w:val="auto"/>
        </w:rPr>
      </w:pPr>
    </w:p>
    <w:p>
      <w:pPr>
        <w:ind w:left="620" w:hanging="310"/>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One (Election of Directors) - “FOR ALL” of the seven nominees for Director listed herein;</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Two (Approval of Name Change) - “FOR” approval of an amendment to our Articles of Incorporation, as amended, to change our name to “Onity Group Inc.” (our Name Change);</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Three (Ratification of Appointment of Independent Registered Public Accounting Firm) - “FOR” ratification of the appointment of Deloitte &amp; Touche LLP as our independent registered public accounting firm for 2024;</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Four (Advisory Resolution on Named Executive Officer Compensation, or Say-on-Pay) - “FOR” approval, on an advisory basis, of the compensation of Ocwen’s executive officers whose compensation is disclosed in this proxy statement (named executive officers);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Five (Approval of the amendment to the Ocwen Financial Corporation 2021 Equity Incentive Plan (the 2021 Plan Amendment)) - “FOR” approval of an amendment to the Ocwen Financial Corporation 2021 Equity Incentive Plan to increase the number of shares available for awards; and</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regard to any other business that properly comes before the meeting, in accordance with the best judgment of the management proxy holders. As of the date of this proxy statement, we do not know of any other business that may come before the Annual Meeting.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How to Revoke a Proxy</w:t>
      </w:r>
    </w:p>
    <w:p>
      <w:pPr>
        <w:spacing w:after="0" w:line="2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52" w:lineRule="exact"/>
        <w:rPr>
          <w:sz w:val="20"/>
          <w:szCs w:val="20"/>
          <w:color w:val="auto"/>
        </w:rPr>
      </w:pPr>
    </w:p>
    <w:p>
      <w:pPr>
        <w:ind w:left="620" w:right="5300" w:hanging="310"/>
        <w:spacing w:after="0" w:line="262"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written notice of revocation with our Secretary at the following address: Joseph J. Samarias, Secretary</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Ocwen Financial Corporation</w:t>
      </w:r>
    </w:p>
    <w:p>
      <w:pPr>
        <w:spacing w:after="0" w:line="9" w:lineRule="exact"/>
        <w:rPr>
          <w:rFonts w:ascii="Times New Roman" w:cs="Times New Roman" w:eastAsia="Times New Roman" w:hAnsi="Times New Roman"/>
          <w:sz w:val="17"/>
          <w:szCs w:val="17"/>
          <w:color w:val="auto"/>
        </w:rPr>
      </w:pPr>
    </w:p>
    <w:p>
      <w:pPr>
        <w:ind w:left="620" w:right="8240"/>
        <w:spacing w:after="0" w:line="29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1661 Worthington Road, Suite 100 West Palm Beach, Florida 33409</w:t>
      </w:r>
    </w:p>
    <w:p>
      <w:pPr>
        <w:spacing w:after="0" w:line="146"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properly executed proxy card bearing a later date or submitting another proxy using the Internet or by telephone (your latest Internet or telephone voting instructions will be followed), or</w:t>
      </w:r>
    </w:p>
    <w:p>
      <w:pPr>
        <w:spacing w:after="0" w:line="152"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participating in the virtual Annual Meeting and giving the Secretary notice of your intention to vote at that time.</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you are interested in participating in the virtual Annual Meeting, voting or submitting questions at that time, please see “Annual Meeting Participation” below for further details.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May Vote at the Annual Meeting</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all matters properly presented at the Annual Meeting, each share of our common stock is entitled to one vote. All shareholders who owned our common stock as of the close of business on March 25, 2024 (the Record Date) are cordially invited to participate in the 2024 Annual Meeting. Only shareholders of record or beneficial owners of shares of our common stock at the close of business on the Record Date are entitled to participate and vote at the Annual Meeting or any postponement or adjournment of this meeting. If your shares are registered directly in your name with Computershare,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7,764,754 shares of common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to Vote if you are a Shareholder of Record</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participate in the Annual Meeting, you may, if you desire, revoke your proxy in accordance with the procedures described in this Proxy Statement and vote your shares during the meeting. Please note that your presence (without further action) at the Annual Meeting will not constitute revocation of a previously given proxy.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to Give Voting Instructions if you are a Beneficial Owner of Shares held in Street Name</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you are considered the beneficial owner of the shares, and your shares may be voted at the Annual Meeting only by the Broker that holds your shares. To instruct your Broker how your shares are to be voted at the Annual Meeting, you will need to follow the instructions provided by the Broker that holds your shares. Many Brokers offer the option of submitting voting instructions over the Internet or by telephone. You are also welcome to participate in the Annual Meeting, but you will need to follow the instructions provided to you by your Broker. Please note that if you are a beneficial owner of our shares, you may not be able to vote your shares at the Annual Meeting unless you have obtained a legal proxy from your Broker. Please contact your Broker for further information. If you wish to revoke your proxy any time before the Annual Meeting you should contact your Broker to find out how to change or revoke your voting instructions.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7"/>
          <w:szCs w:val="17"/>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approval of our Name Change or ratification of the appointment of the independent registered public accounting firm, then the rules of the New York Stock Exchange provide Brokers discretionary power to vote your shares even if you do not provide instructions. If, however, the proposal involves a “non-routine” matter, such as the proposals to elect directors, approve Say-on-Pay, and approve the 2021 Plan Amendment, then Brokers are not permitted to vote your shares without instruction from you. If you do not submit voting instructions to your Broker and your Broker exercises its discretion to vote your shares on Proposal Two to approve the Name Change and Proposal Three to ratify the appointment of Deloitte &amp; Touche LLP as our independent registered public accounting firm for 2024, your shares will constitute broker “non-votes” on each of the other proposals at the Annual Meeting. Therefore, it is important that you provide instructions to your Broker if your shares are held by a Broker so that your votes with respect to election of directors, Say-on-Pay, and the 2021 Plan Amendment are counted.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 and Voting Information</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presence at the Annual Meeting of a majority of the votes of our common stock entitled to vote, represented in person or by proxy, will constitute a quorum for the transaction of business at the Annual Meeting.</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Assuming a quorum, the seven nominees for director receiving a plurality of the votes cast for director will be elected as directors of Ocwen. A plurality vote requirement means that the director nominees with the greatest number of votes cast, even if less than a majority, will be elected. There is no cumulative voting. You may vote in favor of or withhold authority to vote for one or more nominees for director. For Proposal Two to amend our Articles of Incorporation, as amended, to change our name to Onity Group Inc., Proposal Three to ratify the appointment of Deloitte &amp; Touche LLP as our independent registered public accounting firm for 2024, Proposal Four to approve Say-on-Pay, and Proposal Five to approve the 2021 Plan Amendment, the proposal will be approved if the votes cast by the holders of the shares represented at the Annual Meeting and entitled to vote in favor of the action exceed the votes cast opposing the action. Because Proposal Three to ratify the appointment of Deloitte &amp; Touche LLP as our independent registered public accounting firm for 2024 and Proposal Four to approve Say-on-Pay are advisory in nature, there is no specific requirement for approval for these proposals. It will be up to the Audit Committee with respect to Proposal Three and the Compensation and Human Capital Committee with respect to Proposal Four, as well as the Board of Directors, to determine whether and how to implement the advisory votes on the ratification of the appointment of our independent registered public accounting firm and Say-on-Pay.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approve the Name Change, Proposal Three to ratify the appointment of Deloitte &amp; Touche LLP as our independent registered public accounting firm for 2024, Proposal Four to approve Say-on-Pay, or Proposal Five to approve the 2021 Plan Amendment.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Proposal Four to approve Say-on-Pay, or Proposal Five to approve the 2021 Plan Amendment and therefore will not be counted in determining the outcome of those proposals presented for your vote.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Annual Meeting Participation</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Our experience conducting virtual-format shareholder meetings over the past three years has demonstrated that virtual meetings allow far more shareholders to participate online than would be able to travel to the meeting to attend in person. Accordingly, we will again be hosting our Annual Meeting via live audiocast on the Internet at </w:t>
      </w:r>
      <w:r>
        <w:rPr>
          <w:rFonts w:ascii="Times New Roman" w:cs="Times New Roman" w:eastAsia="Times New Roman" w:hAnsi="Times New Roman"/>
          <w:sz w:val="17"/>
          <w:szCs w:val="17"/>
          <w:u w:val="single" w:color="auto"/>
          <w:color w:val="auto"/>
        </w:rPr>
        <w:t>www.virtualshareholdermeeting.com/OCN2024</w:t>
      </w:r>
      <w:r>
        <w:rPr>
          <w:rFonts w:ascii="Times New Roman" w:cs="Times New Roman" w:eastAsia="Times New Roman" w:hAnsi="Times New Roman"/>
          <w:sz w:val="17"/>
          <w:szCs w:val="17"/>
          <w:color w:val="auto"/>
        </w:rPr>
        <w:t>. You will not be able to attend the Annual Meeting physically in person. Our shareholders will be afforded the same opportunities to participate at the virtual Annual Meeting as they would at an in-person annual meeting of shareholders.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hareholders of record will be able to vote and ask questions online during the meeting. If you would like to attend the virtual Annual Meeting and you have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control number, please go to </w:t>
      </w:r>
      <w:r>
        <w:rPr>
          <w:rFonts w:ascii="Times New Roman" w:cs="Times New Roman" w:eastAsia="Times New Roman" w:hAnsi="Times New Roman"/>
          <w:sz w:val="17"/>
          <w:szCs w:val="17"/>
          <w:u w:val="single" w:color="auto"/>
          <w:color w:val="auto"/>
        </w:rPr>
        <w:t>www.virtualshareholdermeeting.com/OCN2024</w:t>
      </w:r>
      <w:r>
        <w:rPr>
          <w:rFonts w:ascii="Times New Roman" w:cs="Times New Roman" w:eastAsia="Times New Roman" w:hAnsi="Times New Roman"/>
          <w:sz w:val="17"/>
          <w:szCs w:val="17"/>
          <w:color w:val="auto"/>
        </w:rPr>
        <w:t xml:space="preserve"> 15 minutes prior to the start of the meeting to log in. Please note that if you do not have your control number, you will be able to access and listen to the Annual Meeting but you will not be able to vote your shares or submit questions during the Annual Meeting. For shareholders who hold shares in street name, if you came through your brokerage firm’s website and do not have your control number, you can gain access to the meeting by logging into your brokerage firm’s website site 15 minutes prior to the meeting start, selecting the shareholder communications mailbox to link through to the meeting and the control number will automatically populate. Please note that if you are a beneficial owner of our shares you may not be able to vote your shares at the Annual Meeting unless you have obtained a legal proxy from your Broker. Please contact your Broker for further information.</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After the Annual Meeting, we will spend up to 15 minutes answering shareholder questions that comply with the meeting rules of conduct, which will be posted on the website above prior to the Annual Meeting. To the extent time doesn’t allow us to answer all of the appropriately submitted questions, we will answer them in writing on our investor relations website, at </w:t>
      </w:r>
      <w:r>
        <w:rPr>
          <w:rFonts w:ascii="Times New Roman" w:cs="Times New Roman" w:eastAsia="Times New Roman" w:hAnsi="Times New Roman"/>
          <w:sz w:val="17"/>
          <w:szCs w:val="17"/>
          <w:u w:val="single" w:color="auto"/>
          <w:color w:val="auto"/>
        </w:rPr>
        <w:t>http://www.ocwen.com</w:t>
      </w:r>
      <w:r>
        <w:rPr>
          <w:rFonts w:ascii="Times New Roman" w:cs="Times New Roman" w:eastAsia="Times New Roman" w:hAnsi="Times New Roman"/>
          <w:sz w:val="17"/>
          <w:szCs w:val="17"/>
          <w:color w:val="auto"/>
        </w:rPr>
        <w:t xml:space="preserve"> in the Shareholder Relations section, soon after the meeting and the answers will remain available until one week after posting. If we receive substantially similar questions, we will group such questions together and provide a single response to avoid repetition.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technical assistance when logging into the virtual Annual Meeting, please call 800-586-1548 (US) or 303-562-9288 (International).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This proxy statement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and address matters that are, to different degrees, uncertain. Because forward-looking statements involve a number of assumptions, risks and uncertainties that could cause actual results to differ materially, readers should not place undue reliance on such statements. In the past, actual results have differed from those suggested by forward looking statements and this may happen again. Important factors that could cause actual results to differ materially from those suggested by the forward-looking statements include those described in Ocwen’s reports and filings with the SEC, including our Annual Report on Form 10-K for the year ended December 31, 2023 and any current and quarterly reports since such date. Anyone wishing to understand Ocwen’s business should review our SEC filings. Ocwen’s forward-looking statements speak only as of the date they are made and we disclaim any obligation to update or revise forward-looking statements whether as a result of new information, future events or otherwise. Ocwen may post information that is important to investors on our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factors that could cause actual results to differ include, but are not limited to, the risks discussed above and the following:</w:t>
      </w:r>
    </w:p>
    <w:p>
      <w:pPr>
        <w:spacing w:after="0" w:line="214" w:lineRule="exact"/>
        <w:rPr>
          <w:sz w:val="20"/>
          <w:szCs w:val="20"/>
          <w:color w:val="auto"/>
        </w:rPr>
      </w:pPr>
    </w:p>
    <w:p>
      <w:pPr>
        <w:ind w:left="620" w:hanging="310"/>
        <w:spacing w:after="0" w:line="262"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ongoing disruption in the financial markets and in commercial activity generally related to changes in monetary and fiscal policy, United States (U.S.) political developments, geopolitical events and other sources of instability;</w:t>
      </w: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inflation, employment disruption, and other financial difficulties facing our borrowers;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recent failures and re-organization of banking institutions and continued uncertainty in the banking industry;</w:t>
      </w:r>
    </w:p>
    <w:p>
      <w:pPr>
        <w:spacing w:after="0" w:line="9" w:lineRule="exact"/>
        <w:rPr>
          <w:rFonts w:ascii="Times New Roman" w:cs="Times New Roman" w:eastAsia="Times New Roman" w:hAnsi="Times New Roman"/>
          <w:sz w:val="17"/>
          <w:szCs w:val="17"/>
          <w:color w:val="auto"/>
        </w:rPr>
      </w:pPr>
    </w:p>
    <w:p>
      <w:pPr>
        <w:ind w:left="620" w:hanging="310"/>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reduce operating costs or generate offsetting revenue in proportion to the industry-wide decrease in originations activity, and the impact of cost-reduction initiatives on our business, operations, and financial performance;</w:t>
      </w: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market share in our target markets, including in forward and reverse servicing;</w:t>
      </w:r>
    </w:p>
    <w:p>
      <w:pPr>
        <w:spacing w:after="0" w:line="9" w:lineRule="exact"/>
        <w:rPr>
          <w:rFonts w:ascii="Times New Roman" w:cs="Times New Roman" w:eastAsia="Times New Roman" w:hAnsi="Times New Roman"/>
          <w:sz w:val="17"/>
          <w:szCs w:val="17"/>
          <w:color w:val="auto"/>
        </w:rPr>
      </w:pPr>
    </w:p>
    <w:p>
      <w:pPr>
        <w:jc w:val="both"/>
        <w:ind w:left="620" w:hanging="310"/>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perceived failure to comply with existing or future laws, regulations, contracts, self-regulatory schemes, standards, and other obligations related to data privacy and security, including any failure to protect customers’ data, could result in disruption to our operations, loss of income, reputational damage, costly litigation and regulatory penalties and otherwise negatively affect our business;</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interpret correctly and comply with current or future liquidity, net worth and other financial and other requirements of regulators, the Federal National Mortgage Association (Fannie Mae), and Federal Home Loan Mortgage Corporation (Freddie Mac) (together, the GSEs), and the Government National Mortgage Association (Ginnie Mae), as well as those set forth in our debt and other agreements, including our ability to identify and implement a cost-effective response to Ginnie Mae’s risk-based capital requirements that take effect in late 2024;</w:t>
      </w:r>
    </w:p>
    <w:p>
      <w:pPr>
        <w:spacing w:after="0" w:line="1" w:lineRule="exact"/>
        <w:rPr>
          <w:rFonts w:ascii="Times New Roman" w:cs="Times New Roman" w:eastAsia="Times New Roman" w:hAnsi="Times New Roman"/>
          <w:sz w:val="17"/>
          <w:szCs w:val="17"/>
          <w:color w:val="auto"/>
        </w:rPr>
      </w:pPr>
    </w:p>
    <w:p>
      <w:pPr>
        <w:ind w:left="620" w:hanging="310"/>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common stock or senior secured notes that we may repurchase under any future stock or debt repurchase programs, the timing of such repurchases, and the long-term impact, if any, of repurchases on the trading price of our stock or our financial condition;</w:t>
      </w:r>
    </w:p>
    <w:p>
      <w:pPr>
        <w:ind w:left="620" w:hanging="310"/>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mortgage servicing rights (MSR) joint venture with Oaktree Capital Management L.P. and its affiliates (Oaktree), other transactions and our enterprise sales initiatives will generate additional subservicing volume and result in increased profitability;</w:t>
      </w:r>
    </w:p>
    <w:p>
      <w:pPr>
        <w:ind w:left="620" w:hanging="310"/>
        <w:spacing w:after="0" w:line="25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MSR Asset Vehicle LLC (MAV), to bid competitively for, and close acquisitions of, MSRs on terms that will enable us to achieve our growth objectives and a favorable return on our investment in MAV;</w:t>
      </w:r>
    </w:p>
    <w:p>
      <w:pPr>
        <w:ind w:left="620" w:hanging="310"/>
        <w:spacing w:after="0" w:line="263"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future of MAV, one of our largest subservicing clients as of December 31, 2023, MAV’s continued ownership of its MSR portfolio after May 3, 2024, and any impact on our servicing revenue and MSR valuation adjustments as a result of the sale of MAV’s MSRs;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ind w:left="320" w:hanging="310"/>
        <w:spacing w:after="0" w:line="262"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ownership stake in MAV’s holding company may be diluted, resulting in a reduced ability for us to participate in certain routine management decisions;</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long-term relationship with Rithm Capital Corp. (Rithm), one of our largest subservicing clients as of December 31, 2023;</w:t>
      </w:r>
    </w:p>
    <w:p>
      <w:pPr>
        <w:spacing w:after="0" w:line="9"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integrate the operations and assets of acquired businesses and to retain their employees and customers over time;</w:t>
      </w:r>
    </w:p>
    <w:p>
      <w:pPr>
        <w:spacing w:after="0" w:line="9"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ability of third party obligors and financing sources to fund servicing advances on a timely basis on loans serviced by us;</w:t>
      </w:r>
    </w:p>
    <w:p>
      <w:pPr>
        <w:spacing w:after="0" w:line="9"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repay, renew and extend borrowings, borrow additional amounts as and when required, meet our MSR or other asset investment objectives and comply with our debt agreements, including the financial and other covenants contained in them;</w:t>
      </w: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servicing costs and reduced or delayed servicing income due to rising borrower delinquency levels , forbearance plans, moratoria on evictions and delays in foreclosure proceedings;</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7"/>
          <w:szCs w:val="17"/>
          <w:color w:val="auto"/>
        </w:rPr>
      </w:pP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severe weather or natural disaster events resulting in costly disruptions to our operations and increased servicing costs due to property damage;</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modify delinquent loans, manage foreclosures and maintain and sell foreclosed properties;</w:t>
      </w:r>
    </w:p>
    <w:p>
      <w:pPr>
        <w:spacing w:after="0" w:line="9" w:lineRule="exact"/>
        <w:rPr>
          <w:rFonts w:ascii="Times New Roman" w:cs="Times New Roman" w:eastAsia="Times New Roman" w:hAnsi="Times New Roman"/>
          <w:sz w:val="17"/>
          <w:szCs w:val="17"/>
          <w:color w:val="auto"/>
        </w:rPr>
      </w:pPr>
    </w:p>
    <w:p>
      <w:pPr>
        <w:jc w:val="both"/>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scrutiny of our compliance with COVID-19-related rules and regulations, including requirements instituted by state governments, the GSEs, Ginnie Mae and regulators;</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reactions of key counterparties, including lenders, the GSEs and Ginnie Mae, to our regulatory engagements and litigation matters;</w:t>
      </w:r>
    </w:p>
    <w:p>
      <w:pPr>
        <w:spacing w:after="0" w:line="9" w:lineRule="exact"/>
        <w:rPr>
          <w:rFonts w:ascii="Times New Roman" w:cs="Times New Roman" w:eastAsia="Times New Roman" w:hAnsi="Times New Roman"/>
          <w:sz w:val="17"/>
          <w:szCs w:val="17"/>
          <w:color w:val="auto"/>
        </w:rPr>
      </w:pP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efficiently manage our regulatory and contractual compliance obligations and fully comply with all applicable requirements, and the costs of doing so;</w:t>
      </w: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changes in legislation, regulations, government programs and policies, industry initiatives, best servicing and lending practices, and media scrutiny of our business and industry;</w:t>
      </w: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changes in, or in the interpretation of, laws or regulations may require us to modify our business practices and expose us to increased expense and litigation risk, including with respect to the collection of expedited payment, or convenience, fees;</w:t>
      </w: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servicing agreements, including our ability to comply with our agreements with the GSEs and Ginnie Mae and maintain our seller/servicer and other statuses with them;</w:t>
      </w: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servicer and credit ratings as well as other actions from various rating agencies, including the impact of prior or future downgrades of our servicer and credit ratings;</w:t>
      </w: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actions of loan owners and guarantors, including mortgage-backed securities investors, the GSEs, Ginnie Mae and trustees regarding loan put-backs, penalties and legal actions;</w:t>
      </w: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recruit and retain senior managers and key employees;</w:t>
      </w:r>
    </w:p>
    <w:p>
      <w:pPr>
        <w:spacing w:after="0" w:line="9" w:lineRule="exact"/>
        <w:rPr>
          <w:rFonts w:ascii="Times New Roman" w:cs="Times New Roman" w:eastAsia="Times New Roman" w:hAnsi="Times New Roman"/>
          <w:sz w:val="17"/>
          <w:szCs w:val="17"/>
          <w:color w:val="auto"/>
        </w:rPr>
      </w:pP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compensation and benefits expense as a result of rising inflation and labor market trends;</w:t>
      </w:r>
    </w:p>
    <w:p>
      <w:pPr>
        <w:spacing w:after="0" w:line="9" w:lineRule="exact"/>
        <w:rPr>
          <w:rFonts w:ascii="Times New Roman" w:cs="Times New Roman" w:eastAsia="Times New Roman" w:hAnsi="Times New Roman"/>
          <w:sz w:val="17"/>
          <w:szCs w:val="17"/>
          <w:color w:val="auto"/>
        </w:rPr>
      </w:pP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7"/>
          <w:szCs w:val="17"/>
          <w:color w:val="auto"/>
        </w:rPr>
      </w:pP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transform our operations in response to changing business needs, including our ability to do so without unanticipated adverse tax consequences;</w:t>
      </w:r>
    </w:p>
    <w:p>
      <w:pPr>
        <w:ind w:left="320" w:hanging="310"/>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for completion of our proposed rebranding and its impact on our business and third parties’ perceptions of us; and</w:t>
      </w:r>
    </w:p>
    <w:p>
      <w:pPr>
        <w:spacing w:after="0" w:line="9" w:lineRule="exact"/>
        <w:rPr>
          <w:rFonts w:ascii="Times New Roman" w:cs="Times New Roman" w:eastAsia="Times New Roman" w:hAnsi="Times New Roman"/>
          <w:sz w:val="17"/>
          <w:szCs w:val="17"/>
          <w:color w:val="auto"/>
        </w:rPr>
      </w:pPr>
    </w:p>
    <w:p>
      <w:pPr>
        <w:ind w:left="320" w:hanging="310"/>
        <w:spacing w:after="0" w:line="251"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positive relationships with our large shareholders and obtain their support for management proposals requiring shareholder approval.</w:t>
      </w:r>
    </w:p>
    <w:p>
      <w:pPr>
        <w:spacing w:after="0" w:line="200" w:lineRule="exact"/>
        <w:rPr>
          <w:sz w:val="20"/>
          <w:szCs w:val="20"/>
          <w:color w:val="auto"/>
        </w:rPr>
      </w:pPr>
    </w:p>
    <w:p>
      <w:pPr>
        <w:spacing w:after="0" w:line="21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16510</wp:posOffset>
            </wp:positionV>
            <wp:extent cx="71393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940"/>
          </w:cols>
          <w:pgMar w:left="620" w:top="6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(Proposal One)</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Bylaws provide that our Board of Directors shall consist of no less than three and no more than eleven members with the exact number to be fixed by our Board of Directors. Effective April 1, 2024, concurrent with the appointment of Claudia J. Merkle as a director, our Board of Directors fixed the number of directors at eight. As Phyllis R. Caldwell has informed the Board of Directors that she does not intend to stand for re-election and is retiring from the Board of Directors immediately prior to the Annual Meeting, our Board of Directors has fixed the number of directors at seven, effective immediately prior to the commencement of the Annual Meeting.</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further described below under “Board of Directors and Corporate Governance” and, in particular, under “Annual Board Assessment” and “Director Nomination Process,” it is the responsibility of the Nomination/Governance Committee and the Board to periodically review Board size and composition and, if deemed appropriate, to make changes that the Board believes will best position the Board to enhance our ability to create value for shareholders and address changes in the market and business environment in which we operate.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Under the leadership of our Board, the Company demonstrated strong execution on our key strategic initiatives throughout 2023. Driven by our servicing segment, Ocwen produced strong 2023 results in terms of both adjusted pre-tax income and adjusted return on equity. The Company’s industry-leading servicing cost and operating performance, combined with special servicing capabilities, positioned us to execute on opportunistic asset management transactions that were accretive to earnings. Originations delivered year-over-year growth in average total servicing and subservicing portfolio unpaid principal balance (UPB) and responded to depressed industry volume levels by reducing expenses and increasing the volume mix of higher-margin products, while maintaining disciplined MSR investing. In an effort to address the impact of interest rate volatility on GAAP earnings, the Company increased our target MSR hedge coverage ratio throughout the year and</w:t>
      </w:r>
    </w:p>
    <w:p>
      <w:pPr>
        <w:jc w:val="both"/>
        <w:spacing w:after="0" w:line="236" w:lineRule="auto"/>
        <w:rPr>
          <w:sz w:val="20"/>
          <w:szCs w:val="20"/>
          <w:color w:val="auto"/>
        </w:rPr>
      </w:pPr>
      <w:r>
        <w:rPr>
          <w:rFonts w:ascii="Times New Roman" w:cs="Times New Roman" w:eastAsia="Times New Roman" w:hAnsi="Times New Roman"/>
          <w:sz w:val="17"/>
          <w:szCs w:val="17"/>
          <w:color w:val="auto"/>
        </w:rPr>
        <w:t>management is working to continue to optimize our hedging strategy. Ocwen was again honored with Fannie Mae’s 2023 STAR</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award for servicing excellence and achieved Housing and Urban Development (HUD) Tier 1 servicer ranking, demonstrating the strength and quality of our servicing platform. During 2023 Ocwen continued to benefit from our long-term strategic relationship with Oaktree, extending the investment period for our joint MSR acquisition vehicle through May 2025. In addition, we launched a debt retirement initiative for our senior corporate notes to strengthen the Company’s leverage profile ahead of future refinancing activity. Throughout, the Board provided management with the guidance and oversight as we concluded our litigation with the Consumer Financial Protection Bureau and continued to fulfil our regulatory commitments, work toward the resolution of remaining legacy matters, and respond with speed and agility to new regulatory frameworks and disruption in the financial markets.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put the Company in the best position to execute on these initiatives, the Nomination/Governance Committee and the Board evaluate on an ongoing basis the skillsets and experiential perspectives of our directors as well as individuals recommended as potential nominees. Consistent with our Board Diversity Policy and our Corporate Governance Guidelines, the Board has identified a set of director nominees with individual backgrounds that, when combined, provide a portfolio of experience and knowledge that will best serve the Company’s strategic and governance needs.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The following provides additional information about the attributes of our current Board of Directors: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Board of Directors Skills and Experiences</w:t>
      </w:r>
      <w:r>
        <w:rPr>
          <w:rFonts w:ascii="Times New Roman" w:cs="Times New Roman" w:eastAsia="Times New Roman" w:hAnsi="Times New Roman"/>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 or Head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Comparably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Community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Experience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260" w:type="dxa"/>
            <w:vAlign w:val="bottom"/>
            <w:gridSpan w:val="2"/>
          </w:tcPr>
          <w:p>
            <w:pPr>
              <w:jc w:val="center"/>
              <w:ind w:right="220"/>
              <w:spacing w:after="0" w:line="190" w:lineRule="exact"/>
              <w:rPr>
                <w:sz w:val="20"/>
                <w:szCs w:val="20"/>
                <w:color w:val="auto"/>
              </w:rPr>
            </w:pPr>
            <w:r>
              <w:rPr>
                <w:rFonts w:ascii="Times New Roman" w:cs="Times New Roman" w:eastAsia="Times New Roman" w:hAnsi="Times New Roman"/>
                <w:sz w:val="17"/>
                <w:szCs w:val="17"/>
                <w:b w:val="1"/>
                <w:bCs w:val="1"/>
                <w:color w:val="auto"/>
              </w:rPr>
              <w:t>Glen A.</w:t>
            </w:r>
          </w:p>
        </w:tc>
        <w:tc>
          <w:tcPr>
            <w:tcW w:w="1240" w:type="dxa"/>
            <w:vAlign w:val="bottom"/>
            <w:gridSpan w:val="2"/>
          </w:tcPr>
          <w:p>
            <w:pPr>
              <w:jc w:val="center"/>
              <w:ind w:right="240"/>
              <w:spacing w:after="0" w:line="190" w:lineRule="exact"/>
              <w:rPr>
                <w:sz w:val="20"/>
                <w:szCs w:val="20"/>
                <w:color w:val="auto"/>
              </w:rPr>
            </w:pPr>
            <w:r>
              <w:rPr>
                <w:rFonts w:ascii="Times New Roman" w:cs="Times New Roman" w:eastAsia="Times New Roman" w:hAnsi="Times New Roman"/>
                <w:sz w:val="17"/>
                <w:szCs w:val="17"/>
                <w:b w:val="1"/>
                <w:bCs w:val="1"/>
                <w:color w:val="auto"/>
                <w:w w:val="99"/>
              </w:rPr>
              <w:t>Alan J.</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7"/>
                <w:szCs w:val="17"/>
                <w:b w:val="1"/>
                <w:bCs w:val="1"/>
                <w:color w:val="auto"/>
                <w:w w:val="99"/>
              </w:rPr>
              <w:t>Jacques J.</w:t>
            </w:r>
          </w:p>
        </w:tc>
        <w:tc>
          <w:tcPr>
            <w:tcW w:w="1240" w:type="dxa"/>
            <w:vAlign w:val="bottom"/>
            <w:gridSpan w:val="2"/>
          </w:tcPr>
          <w:p>
            <w:pPr>
              <w:jc w:val="center"/>
              <w:ind w:right="220"/>
              <w:spacing w:after="0" w:line="190" w:lineRule="exact"/>
              <w:rPr>
                <w:sz w:val="20"/>
                <w:szCs w:val="20"/>
                <w:color w:val="auto"/>
              </w:rPr>
            </w:pPr>
            <w:r>
              <w:rPr>
                <w:rFonts w:ascii="Times New Roman" w:cs="Times New Roman" w:eastAsia="Times New Roman" w:hAnsi="Times New Roman"/>
                <w:sz w:val="17"/>
                <w:szCs w:val="17"/>
                <w:b w:val="1"/>
                <w:bCs w:val="1"/>
                <w:color w:val="auto"/>
              </w:rPr>
              <w:t>Phyllis R.</w:t>
            </w:r>
          </w:p>
        </w:tc>
        <w:tc>
          <w:tcPr>
            <w:tcW w:w="1220" w:type="dxa"/>
            <w:vAlign w:val="bottom"/>
            <w:gridSpan w:val="2"/>
          </w:tcPr>
          <w:p>
            <w:pPr>
              <w:jc w:val="center"/>
              <w:ind w:right="220"/>
              <w:spacing w:after="0" w:line="190" w:lineRule="exact"/>
              <w:rPr>
                <w:sz w:val="20"/>
                <w:szCs w:val="20"/>
                <w:color w:val="auto"/>
              </w:rPr>
            </w:pPr>
            <w:r>
              <w:rPr>
                <w:rFonts w:ascii="Times New Roman" w:cs="Times New Roman" w:eastAsia="Times New Roman" w:hAnsi="Times New Roman"/>
                <w:sz w:val="17"/>
                <w:szCs w:val="17"/>
                <w:b w:val="1"/>
                <w:bCs w:val="1"/>
                <w:color w:val="auto"/>
              </w:rPr>
              <w:t>Claudia J.</w:t>
            </w:r>
          </w:p>
        </w:tc>
        <w:tc>
          <w:tcPr>
            <w:tcW w:w="146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7"/>
                <w:szCs w:val="17"/>
                <w:b w:val="1"/>
                <w:bCs w:val="1"/>
                <w:color w:val="auto"/>
              </w:rPr>
              <w:t>DeForest B.</w:t>
            </w:r>
          </w:p>
        </w:tc>
        <w:tc>
          <w:tcPr>
            <w:tcW w:w="1000" w:type="dxa"/>
            <w:vAlign w:val="bottom"/>
          </w:tcPr>
          <w:p>
            <w:pPr>
              <w:spacing w:after="0"/>
              <w:rPr>
                <w:sz w:val="16"/>
                <w:szCs w:val="16"/>
                <w:color w:val="auto"/>
              </w:rPr>
            </w:pPr>
          </w:p>
        </w:tc>
      </w:tr>
      <w:tr>
        <w:trPr>
          <w:trHeight w:val="262"/>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Messina</w:t>
            </w:r>
          </w:p>
        </w:tc>
        <w:tc>
          <w:tcPr>
            <w:tcW w:w="24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Bowers</w:t>
            </w:r>
          </w:p>
        </w:tc>
        <w:tc>
          <w:tcPr>
            <w:tcW w:w="22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Jenne Britell</w:t>
            </w:r>
          </w:p>
        </w:tc>
        <w:tc>
          <w:tcPr>
            <w:tcW w:w="22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Busquet</w:t>
            </w:r>
          </w:p>
        </w:tc>
        <w:tc>
          <w:tcPr>
            <w:tcW w:w="200" w:type="dxa"/>
            <w:vAlign w:val="bottom"/>
          </w:tcPr>
          <w:p>
            <w:pPr>
              <w:spacing w:after="0"/>
              <w:rPr>
                <w:sz w:val="22"/>
                <w:szCs w:val="22"/>
                <w:color w:val="auto"/>
              </w:rPr>
            </w:pPr>
          </w:p>
        </w:tc>
        <w:tc>
          <w:tcPr>
            <w:tcW w:w="1020" w:type="dxa"/>
            <w:vAlign w:val="bottom"/>
            <w:tcBorders>
              <w:bottom w:val="single" w:sz="8" w:color="auto"/>
            </w:tcBorders>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95"/>
              </w:rPr>
              <w:t>Caldwell</w:t>
            </w:r>
            <w:r>
              <w:rPr>
                <w:rFonts w:ascii="Times New Roman" w:cs="Times New Roman" w:eastAsia="Times New Roman" w:hAnsi="Times New Roman"/>
                <w:sz w:val="28"/>
                <w:szCs w:val="28"/>
                <w:b w:val="1"/>
                <w:bCs w:val="1"/>
                <w:color w:val="auto"/>
                <w:w w:val="95"/>
                <w:vertAlign w:val="superscript"/>
              </w:rPr>
              <w:t>(2)</w:t>
            </w:r>
          </w:p>
        </w:tc>
        <w:tc>
          <w:tcPr>
            <w:tcW w:w="2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Merkle</w:t>
            </w:r>
          </w:p>
        </w:tc>
        <w:tc>
          <w:tcPr>
            <w:tcW w:w="2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Soaries, Jr.</w:t>
            </w:r>
          </w:p>
        </w:tc>
        <w:tc>
          <w:tcPr>
            <w:tcW w:w="2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Kevin Stein</w:t>
            </w:r>
          </w:p>
        </w:tc>
      </w:tr>
      <w:tr>
        <w:trPr>
          <w:trHeight w:val="424"/>
        </w:trPr>
        <w:tc>
          <w:tcPr>
            <w:tcW w:w="1260" w:type="dxa"/>
            <w:vAlign w:val="bottom"/>
            <w:gridSpan w:val="2"/>
          </w:tcPr>
          <w:p>
            <w:pPr>
              <w:jc w:val="center"/>
              <w:ind w:right="24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46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922"/>
        </w:trPr>
        <w:tc>
          <w:tcPr>
            <w:tcW w:w="1260" w:type="dxa"/>
            <w:vAlign w:val="bottom"/>
            <w:gridSpan w:val="2"/>
          </w:tcPr>
          <w:p>
            <w:pPr>
              <w:jc w:val="center"/>
              <w:ind w:right="24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46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1024"/>
        </w:trPr>
        <w:tc>
          <w:tcPr>
            <w:tcW w:w="1260" w:type="dxa"/>
            <w:vAlign w:val="bottom"/>
            <w:gridSpan w:val="2"/>
          </w:tcPr>
          <w:p>
            <w:pPr>
              <w:jc w:val="center"/>
              <w:ind w:right="24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46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820"/>
        </w:trPr>
        <w:tc>
          <w:tcPr>
            <w:tcW w:w="1260" w:type="dxa"/>
            <w:vAlign w:val="bottom"/>
            <w:gridSpan w:val="2"/>
          </w:tcPr>
          <w:p>
            <w:pPr>
              <w:jc w:val="center"/>
              <w:ind w:right="24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922"/>
        </w:trPr>
        <w:tc>
          <w:tcPr>
            <w:tcW w:w="1260" w:type="dxa"/>
            <w:vAlign w:val="bottom"/>
            <w:gridSpan w:val="2"/>
          </w:tcPr>
          <w:p>
            <w:pPr>
              <w:jc w:val="center"/>
              <w:ind w:right="24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46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1229"/>
        </w:trPr>
        <w:tc>
          <w:tcPr>
            <w:tcW w:w="1260" w:type="dxa"/>
            <w:vAlign w:val="bottom"/>
            <w:gridSpan w:val="2"/>
          </w:tcPr>
          <w:p>
            <w:pPr>
              <w:jc w:val="center"/>
              <w:ind w:right="24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20"/>
              <w:spacing w:after="0" w:line="171" w:lineRule="exact"/>
              <w:rPr>
                <w:sz w:val="20"/>
                <w:szCs w:val="20"/>
                <w:color w:val="auto"/>
              </w:rPr>
            </w:pPr>
            <w:r>
              <w:rPr>
                <w:rFonts w:ascii="MS PGothic" w:cs="MS PGothic" w:eastAsia="MS PGothic" w:hAnsi="MS PGothic"/>
                <w:sz w:val="17"/>
                <w:szCs w:val="17"/>
                <w:color w:val="auto"/>
                <w:w w:val="82"/>
              </w:rPr>
              <w:t>✔</w:t>
            </w:r>
          </w:p>
        </w:tc>
        <w:tc>
          <w:tcPr>
            <w:tcW w:w="122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460" w:type="dxa"/>
            <w:vAlign w:val="bottom"/>
            <w:gridSpan w:val="2"/>
          </w:tcPr>
          <w:p>
            <w:pPr>
              <w:jc w:val="center"/>
              <w:ind w:right="200"/>
              <w:spacing w:after="0" w:line="171" w:lineRule="exact"/>
              <w:rPr>
                <w:sz w:val="20"/>
                <w:szCs w:val="20"/>
                <w:color w:val="auto"/>
              </w:rPr>
            </w:pPr>
            <w:r>
              <w:rPr>
                <w:rFonts w:ascii="MS PGothic" w:cs="MS PGothic" w:eastAsia="MS PGothic" w:hAnsi="MS PGothic"/>
                <w:sz w:val="17"/>
                <w:szCs w:val="17"/>
                <w:color w:val="auto"/>
                <w:w w:val="82"/>
              </w:rPr>
              <w:t>✔</w:t>
            </w:r>
          </w:p>
        </w:tc>
        <w:tc>
          <w:tcPr>
            <w:tcW w:w="100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bl>
    <w:p>
      <w:pPr>
        <w:spacing w:after="0" w:line="676" w:lineRule="exact"/>
        <w:rPr>
          <w:sz w:val="20"/>
          <w:szCs w:val="20"/>
          <w:color w:val="auto"/>
        </w:rPr>
      </w:pPr>
    </w:p>
    <w:p>
      <w:pPr>
        <w:sectPr>
          <w:pgSz w:w="11900" w:h="16838" w:orient="portrait"/>
          <w:cols w:equalWidth="0" w:num="2">
            <w:col w:w="1120" w:space="240"/>
            <w:col w:w="9880"/>
          </w:cols>
          <w:pgMar w:left="320" w:top="661" w:right="339" w:bottom="1440" w:gutter="0" w:footer="0" w:header="0"/>
          <w:type w:val="continuous"/>
        </w:sectPr>
      </w:pPr>
    </w:p>
    <w:p>
      <w:pPr>
        <w:ind w:left="300" w:hanging="298"/>
        <w:spacing w:after="0"/>
        <w:tabs>
          <w:tab w:leader="none" w:pos="30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outside managerial and director experience only (i.e., does not include Ocwen-based experience)</w:t>
      </w:r>
    </w:p>
    <w:p>
      <w:pPr>
        <w:ind w:left="300" w:hanging="298"/>
        <w:spacing w:after="0" w:line="185" w:lineRule="auto"/>
        <w:tabs>
          <w:tab w:leader="none" w:pos="3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Ms. Caldwell is not standing for re-election and intends to retire from the Board immediately prior to the Annual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1546225</wp:posOffset>
            </wp:positionH>
            <wp:positionV relativeFrom="page">
              <wp:posOffset>430530</wp:posOffset>
            </wp:positionV>
            <wp:extent cx="4464050" cy="4269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464050"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Nominees for Director</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Board of Directors, upon the recommendation of the Nomination/Governance Committee, is proposing the seven nominees listed below for election as directors at the Annual Meeting. All nominees currently serve as our directors. There are no arrangements or understandings between any nominee and any other person for selection as a nominee.</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of the nominees listed below has consented to being named in this proxy statement and to serving as a director, if elected. If any nominee is unable to or will not stand for election at the time of the Annual Meeting, the person or persons appointed as proxies will nominate and vote for a replacement nominee recommended by our Board of Directors or the Board of Directors may reduce the number of directors constituting the Board. As of the date of this proxy statement, our Board of Directors knows of no reason why any of the nominees would not be able or willing to serve as a director if elected.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84" w:lineRule="auto"/>
        <w:rPr>
          <w:sz w:val="20"/>
          <w:szCs w:val="20"/>
          <w:color w:val="auto"/>
        </w:rPr>
      </w:pPr>
      <w:r>
        <w:rPr>
          <w:rFonts w:ascii="Times New Roman" w:cs="Times New Roman" w:eastAsia="Times New Roman" w:hAnsi="Times New Roman"/>
          <w:sz w:val="17"/>
          <w:szCs w:val="17"/>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52" w:lineRule="exact"/>
        <w:rPr>
          <w:sz w:val="20"/>
          <w:szCs w:val="20"/>
          <w:color w:val="auto"/>
        </w:rPr>
      </w:pPr>
    </w:p>
    <w:p>
      <w:pPr>
        <w:jc w:val="both"/>
        <w:ind w:left="2940"/>
        <w:spacing w:after="0" w:line="256" w:lineRule="auto"/>
        <w:rPr>
          <w:sz w:val="20"/>
          <w:szCs w:val="20"/>
          <w:color w:val="auto"/>
        </w:rPr>
      </w:pPr>
      <w:r>
        <w:rPr>
          <w:rFonts w:ascii="Times New Roman" w:cs="Times New Roman" w:eastAsia="Times New Roman" w:hAnsi="Times New Roman"/>
          <w:sz w:val="17"/>
          <w:szCs w:val="17"/>
          <w:color w:val="auto"/>
        </w:rPr>
        <w:t>Mr. Messina has served as Chair of the Board of Directors since January 2023 and as President and Chief Executive Officer and a director of Ocwen since October 2018. He previously served as the President and Chief Executive Officer of PHH Corporation (PHH Corp.) from January 2012 to June 2017 and Chief Operating Officer of PHH Corp. from July 2011 to December 2011. Mr. Messina also served as a director of PHH Corp. from January 2012 to June 2017 and as a consultant to PHH Corp. through March 2018. Prior to joining PHH Corp., Mr. Messina spent 17 years at General Electric Company (GE), most recently as Chief Executive Officer of GE Chemical and Monitoring Solutions, a global water and process specialty chemicals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-915670</wp:posOffset>
            </wp:positionV>
            <wp:extent cx="1219835" cy="1617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9835" cy="1617980"/>
                    </a:xfrm>
                    <a:prstGeom prst="rect">
                      <a:avLst/>
                    </a:prstGeom>
                    <a:noFill/>
                  </pic:spPr>
                </pic:pic>
              </a:graphicData>
            </a:graphic>
          </wp:anchor>
        </w:drawing>
      </w:r>
    </w:p>
    <w:p>
      <w:pPr>
        <w:spacing w:after="0" w:line="159" w:lineRule="exact"/>
        <w:rPr>
          <w:sz w:val="20"/>
          <w:szCs w:val="20"/>
          <w:color w:val="auto"/>
        </w:rPr>
      </w:pPr>
    </w:p>
    <w:p>
      <w:pPr>
        <w:jc w:val="both"/>
        <w:ind w:left="2940"/>
        <w:spacing w:after="0" w:line="267" w:lineRule="auto"/>
        <w:rPr>
          <w:sz w:val="20"/>
          <w:szCs w:val="20"/>
          <w:color w:val="auto"/>
        </w:rPr>
      </w:pPr>
      <w:r>
        <w:rPr>
          <w:rFonts w:ascii="Times New Roman" w:cs="Times New Roman" w:eastAsia="Times New Roman" w:hAnsi="Times New Roman"/>
          <w:sz w:val="17"/>
          <w:szCs w:val="17"/>
          <w:color w:val="auto"/>
        </w:rPr>
        <w:t>Mr. Messina was selected to serve on our Board of Directors because of his extensive operational and leadership experience, including his service as both our President and Chief Executive Officer and his service as a director and the President and Chief Executive Officer of PHH Corp.</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150495</wp:posOffset>
            </wp:positionV>
            <wp:extent cx="1219835" cy="1219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9835" cy="121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Alan J. Bowers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
        <w:spacing w:after="0" w:line="262" w:lineRule="auto"/>
        <w:rPr>
          <w:sz w:val="20"/>
          <w:szCs w:val="20"/>
          <w:color w:val="auto"/>
        </w:rPr>
      </w:pPr>
      <w:r>
        <w:rPr>
          <w:rFonts w:ascii="Times New Roman" w:cs="Times New Roman" w:eastAsia="Times New Roman" w:hAnsi="Times New Roman"/>
          <w:sz w:val="17"/>
          <w:szCs w:val="17"/>
          <w:color w:val="auto"/>
        </w:rPr>
        <w:t>Mr. Bowers has served as a director of Ocwen since May 2015. In March 2023, Mr. Bowers was appointed as a director of Selina Hospitality PLC (Nasdaq GS: SLNA) and serves as Chair of the Audit Committee and a member of the Finance</w:t>
      </w:r>
    </w:p>
    <w:p>
      <w:pPr>
        <w:jc w:val="both"/>
        <w:ind w:left="5" w:hanging="5"/>
        <w:spacing w:after="0" w:line="252" w:lineRule="auto"/>
        <w:tabs>
          <w:tab w:leader="none" w:pos="20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Allocation Committee. In December 2021, Mr. Bowers was appointed as a Director, the Audit &amp; Finance Committee Chair and a member of the Compensation Committee of CWT Travel Holdings, Inc., a private business-to-business-for-employees (B2B4E) travel management platform. Mr. Bowers also previously served as a Director of Walker &amp; Dunlop, Inc. (NYSE:WD), a commercial real estate finance company, from December 2010 until May, 2022, served as its Lead Director, and served on its Nominating and Corporate Governance Committee and as Chair of its Audit Committee. Mr. Bowers also served on the board and as Audit Committee Chair of CorePoint Lodging Inc., a publicly traded lodging REIT, from April 2018 until March 2022, when the company became a privately held company in a merger transaction. From July 2013 to May 2018, Mr. Bowers served as a Director of hotel chain La Quinta Inns &amp; Suites (NYSE:LQ). Mr. Bowers’ additional prior roles include serving as a Director of American Achievement Corp., a privately-held manufacturer and distributor of graduation products, President, Chief Executive Officer and a board member of Cape Success, LLC, a private equity-backed staffing service and information technology solutions business, President, Chief Executive Officer and a board member of MarketSource Corporation, a marketing and sales support service firm and President, Chief Executive Officer and a board member of MBL Life Assurance Corporation, a life insurance company. Mr. Bowers also previously served on the boards and as Audit Committee Chair of Refrigerated Holdings, Inc., Roadlink Inc., and Fastfrate Holdings, Inc., each a transportation and logistics firm. Mr. Bowers has been a Certified Public Accountant since 1978, with experience including 17 years at Coopers &amp; Lybrand, L.L.P. Mr. Bowers received his Bachelor of Science in Accounting from Montclair State University and his Master of Business Administration from St. John’s University.</w:t>
      </w:r>
    </w:p>
    <w:p>
      <w:pPr>
        <w:spacing w:after="0" w:line="181"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7"/>
          <w:szCs w:val="17"/>
          <w:color w:val="auto"/>
        </w:rPr>
        <w:t>Mr. Bowers was selected to serve as a member of our Board of Directors because he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71" w:lineRule="exact"/>
        <w:rPr>
          <w:sz w:val="20"/>
          <w:szCs w:val="20"/>
          <w:color w:val="auto"/>
        </w:rPr>
      </w:pPr>
    </w:p>
    <w:p>
      <w:pPr>
        <w:ind w:left="2605"/>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16510</wp:posOffset>
            </wp:positionV>
            <wp:extent cx="71393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2">
            <w:col w:w="2215" w:space="720"/>
            <w:col w:w="8305"/>
          </w:cols>
          <w:pgMar w:left="320" w:top="661"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456565</wp:posOffset>
            </wp:positionH>
            <wp:positionV relativeFrom="page">
              <wp:posOffset>430530</wp:posOffset>
            </wp:positionV>
            <wp:extent cx="1219835" cy="1512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19835" cy="151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Jenne K. Britell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719455</wp:posOffset>
            </wp:positionV>
            <wp:extent cx="1439545" cy="1617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9545"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Jacques J. Busquet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7"/>
          <w:szCs w:val="17"/>
          <w:color w:val="auto"/>
        </w:rPr>
        <w:t>Dr. Britell has served as a director of Ocwen since February 2019. Dr. Britell served as a director of United Rentals, Inc. (NYSE:URI) from 2006 to 2019, including as its non-executive Chair from 2008 to 2019. Dr. Britell also served as a director of Quest Diagnostics Inc. (NYSE:DGX), including as a member of its Audit and Finance Committee, from 2005 to 2019. From 2000 through 2017, Dr. Britell served as a director of Crown Holdings, Inc. (NYSE:CCK), including as Chair of the Audit Committee. Previously, Dr. Britell served as Chair and Chief Executive Officer of Structured Ventures, Inc., advisors to U.S. and multinational companies, and as a senior executive of GE Capital, including as the Executive Vice President of Global Consumer Finance and President of Global Commercial and Mortgage Banking. Before joining GE Capital, she held significant management positions with Dime Bancorp, Inc., HomePower, Inc., Citicorp and Republic New York Corporation. Earlier, she was the founding Chair and Chief Executive Officer of the Polish-American Mortgage Bank. Dr. Britell’s extensive prior board service also includes serving as Lead Director for Aames Investment Corp., as a trustee for the Teachers Insurance and Annuity Association (TIAA-CREF), and as a director for Lincoln National Corp., in addition to numerous civic and philanthropic boards. Dr. Britell received a Ph.D. and a master’s degree in business administration from Columbia University and received a master’s degree and an undergraduate degree from Harvard University.</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Dr. Britell was selected to serve as a member of our Board of Directors due to her extensive executive and advisory experience, including in corporate governance, corporate finance, capital markets, international business and strategic planning, with multinational corporations operating in complex, regulated industries.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Mr. Busquet has served as a director of Ocwen since January 2016. Mr. Busquet was formerly Chief Risk Officer and Managing Director of Natixis North America LLC and a member of the Executive Committee from April 2008 to February 2015. Prior to that, Mr. Busquet was Executive Vice President and member of the Executive Committee of Canyon Americas (formerly Credit Lyonnais Americas) in charge of Risks, Compliance, Legal, Regulatory Affairs and Asset Recovery. Since 2021, Mr. Busquet has served as a director of Mizuho Securities USA, the US broker dealer of the Mizuho Financial Group, and a director of Mizuho Bank USA, a FDIC-regulated bank 100% owned by the Mizuho Financial Group. Since July 2016, Mr. Busquet has served as a director of Mizuho Americas LLC, the US Bank Holding Company of Mizuho Financial Group, Inc. Since 2005, Mr. Busquet has served as a director of Prolitec Inc., a privately-held commercial air scenting company. Since September 2023, Mr. Busquet has served as a Trustee of Old Westbury Gardens, a not-for-profit organization, and is a Member of the Finance Committee. Mr. Busquet has previously served as a trustee of the Institute of International Bankers, and of the African Wildlife Foundation, which he also served as Audit Committee Chair. Mr. Busquet has a Master of Business Administration in Finance from each of The Wharton School of the University of Pennsylvania and Hautes Études Commercialese (HEC), Paris.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Mr. Busquet was selected to serve as a member of our Board of Directors because 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16510</wp:posOffset>
            </wp:positionV>
            <wp:extent cx="71393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2">
            <w:col w:w="1540" w:space="720"/>
            <w:col w:w="8300"/>
          </w:cols>
          <w:pgMar w:left="1000" w:top="661"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430530</wp:posOffset>
            </wp:positionV>
            <wp:extent cx="1626235" cy="1536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626235" cy="153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Claudia J. Merkle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150495</wp:posOffset>
            </wp:positionV>
            <wp:extent cx="1219835" cy="1374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9835" cy="137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DeForest B. Soaries, Jr.</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7"/>
          <w:szCs w:val="17"/>
          <w:color w:val="auto"/>
        </w:rPr>
        <w:t>Ms. Merkle is the former Chief Executive Officer of NMI Holdings, Inc. (Nasdaq:NMIH, “NMI”), a publicly traded private mortgage insurer and the parent company of National Mortgage Insurance Corporation. Ms. Merkle held the position of Chief Executive Officer from January 2019 through her retirement in December 2021. From 2019 through her departure in 2021, Ms. Merkle also served on NMI’s Board of Directors. Prior to serving as Chief Executive Officer, Ms. Merkle held multiple executive leadership positions at NMI after joining the company in May 2012, including President; Chief Operating Officer; Executive Vice President, Chief of Insurance Operations; and Senior Vice President, Underwriting Fulfillment and Risk Operations. Ms. Merkle also currently serves as an Advisory Board member of HomeLend Inc., a technology and operational platform that facilitates direct purchase and sale of mortgage loans.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Ms. Merkle was selected to serve as a member of our Board of Directors due to her deep public company experience and significant industry knowledge spanning risk management and technology innovation in sales and operations as well as emerging corporate governance issues.</w:t>
      </w: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Dr. Soaries has served as a director of Ocwen since January 2015. Dr. Soaries served as Pastor Emeritus at First Baptist Church of Lincoln Gardens until 2023 and Senior Pastor from 1990 through 2021. He formerly served as New Jersey Secretary of State from 1999 to 2002 and as Chair of the United States Election Assistance Commission from 2004 to 2005. He currently serves as an independent director at Independence Realty Trust, a publicly traded real estate investment trust, a position he has held since February 2011, and is Chair of the Compensation Committee. Dr. Soaries also served as an independent director of the Federal Home Loan Bank of New York from January 2009 through December 31, 2023, where he was the Vice Chair of the Compensation and Human Resources Committee and also served as a member of the Affordable Housing, Governance and Executive Committees. He also previously served as a director of New Era Bank. Dr. Soaries earned a Bachelor of Arts from Fordham University, a Master of Divinity from Princeton Theological Seminary and a Doctor of Ministry from United Theological Seminary.</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19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16510</wp:posOffset>
            </wp:positionV>
            <wp:extent cx="71393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2">
            <w:col w:w="1720" w:space="720"/>
            <w:col w:w="8300"/>
          </w:cols>
          <w:pgMar w:left="820" w:top="661"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456565</wp:posOffset>
            </wp:positionH>
            <wp:positionV relativeFrom="page">
              <wp:posOffset>430530</wp:posOffset>
            </wp:positionV>
            <wp:extent cx="1219835" cy="1365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19835" cy="136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Kevin 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149225</wp:posOffset>
            </wp:positionV>
            <wp:extent cx="1350010" cy="1350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50010" cy="135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7"/>
          <w:szCs w:val="17"/>
          <w:b w:val="1"/>
          <w:bCs w:val="1"/>
          <w:i w:val="1"/>
          <w:iCs w:val="1"/>
          <w:color w:val="auto"/>
        </w:rPr>
        <w:t>Phyllis R. Caldwell</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7"/>
          <w:szCs w:val="17"/>
          <w:color w:val="auto"/>
        </w:rPr>
        <w:t>Mr. Stein has served as Lead Independent Director since January 2023 and as a director of Ocwen since February 2019. Since January 2024, Mr. Stein has been Managing Director of Klaros Capital, a division of advisory and investment firm Klaros Group. From June 2022 through December 2023, he served as an independent consultant. From December 2020 through its merger with Pagaya Technologies Ltd. in 2022, Mr. Stein served as Chief Executive Officer and a director of EJF Acquisition Corp. From July 2018 through July 2022, he also served as Senior Managing Director at EJF Capital, LLC. In addition, from March 2016 through December 2019, Mr. Stein served with KCK US, Inc., a family-controlled private equity firm. Mr. Stein was previously a Managing Director in the Financial Institutions Group of Barclays, a Partner and Group Head of Depository Investment Banking at FBR &amp; Co., a member of the leadership team of GreenPoint Financial Corporation, a bank holding company, and an Associate Director of the Federal Deposit Insurance Corporation (FDIC). Mr. Stein is Audit Committee Chair of Dime Community Bancshares, Inc. (Nasdaq:DCOM), where he has served as a director since 2017. He also served as a director of Pagaya Technologies Ltd (Nasdaq:PGY) from August 2022 through September 2023 and as a director of PHH Corp. from June 2017 until its acquisition by Ocwen in October 2018. Mr. Stein received his undergraduate degree from Syracuse University and his Master of Business Administration from Carnegie Mellon University.</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Mr. Stein was selected to serve as a member of our Board of Directors due to his knowledge regarding the financial services industry and his mortgage servicing experience, including his prior service as a director of PHH Corp.</w:t>
      </w: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Ms. Caldwell served as Chair of the Board of Directors from March 2016 until January 2023 and has served as a director of Ocwen since January 2015. In December 2021, Ms. Caldwell was appointed as a director of Oaktree Specialty Lending Corporation (Nasdaq:OCSL), a specialty finance business development company (BDC), and serves on its Audit Committee. In June 2021, Ms. Caldwell was appointed as a director of OneMain Holdings, Inc. (NYSE:OMF), a financial services holding company serving nonprime consumers. In March 2021, Ms. Caldwell was appointed as a member of the Board of Trustees of JBG SMITH Properties (NYSE:JBGS), an owner and developer of mixed-use properties in the Washington, D.C. market. From December 2020 through July 2021, Ms. Caldwell served on the Board of Directors of Revolution Acceleration Acquisition Corp (Nasdaq:RAAC), a special purpose acquisition company. Ms. Caldwell is founder and has served since 2012 as the managing member of Wroxton Civic Ventures, which provides advisory services on various financial, housing and economic development matters.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In addition, Ms. Caldwell held various leadership roles during eleven years at Bank of America, including serving as President of Community Development Banking. From January 2014 to March 2021, Ms. Caldwell served as a director of City First Bank, National Association (formerly City First Bank of D.C., National Association, now a subsidiary of Broadway Financial Corporation (Nasdaq: BYFC) since April 1, 2021). Ms. Caldwell also serves or has served on the boards of other public and private businesses and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Ms. Caldwell is not standing for re-election and intends to retire from the Board of Directors immediately prior to the Annual Meeting.</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16510</wp:posOffset>
            </wp:positionV>
            <wp:extent cx="71393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2">
            <w:col w:w="2220" w:space="720"/>
            <w:col w:w="8300"/>
          </w:cols>
          <w:pgMar w:left="320" w:top="66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OUR BOARD OF DIRECTORS UNANIMOUSLY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THAT YOU VOTE “FOR ALL” OF THE NOMINEES FOR DIRECTOR.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 AND CORPORATE GOVERNANCE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Board of Directors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meetings of the shareholders of the Company, and meetings of the Board and Committees of which he or she is a member.</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Board of Directors held 13 meetings and acted by unanimous written consent three times in 2023. Each incumbent director who served as a director during 2023 attended at least 75% of the aggregate of these meetings and all meetings held by all committees of our Board of Directors on which he or she served during 2023. Directors are expected to attend the annual meeting of shareholders (including via electronic participation) and a director who is unable to attend is expected to notify the Company Secretary in advance of such meeting. Our virtual 2023 Annual Meeting of Shareholders was attended by seven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Observers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completion of a private placement of $199.5 million aggregate principal amount of Ocwen senior secured second lien notes (the Second Lien Notes) to funds managed by Oaktree Capital Management, L.P. (the Oaktree Investors) on March 4, 2021, Messrs. Jason Keller and Brian Laibow, serving in management roles with the Oaktree Investors, joined the Company in the role of non-voting observers to our Board of Directors. Under their agreement with the Company, the Oaktree Investors may designate two Board of Directors observers for as long as the aggregate outstanding principal amount of the Second Lien Notes is at least $100 million or the Oaktree Investors and their affiliates collectively own at least 15.0% of all issued and outstanding common stock of the Company (assuming the exercise of certain warrants held by them in full). Mr. Keller and Mr. Dante Quazzo presently serve as the Oaktree Investors’ designated Board observers. The observers are entitled to attend all meetings of the Board of Directors and its committees and review all information presented to them with limited exceptions, including discussions and presentations with respect to which the presence of the observers could jeopardize attorney-client privilege.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Our Corporate Governance Guidelines provide that a majority of our Board of Directors must be independent in accordance with the listing standards of the New York Stock Exchange.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affirmatively determined that Mses. Caldwell and Merkle, Messrs. Bowers, Busquet, and Stein, and Drs. Britell and Soaries are independent directors.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Board Evaluation</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Corporate Governance Guidelines and Nomination/Governance Committee Charter provide that the Nomination/Governance Committee will oversee an annual self-assessment of the performance of the Board of Directors as a whole and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2023 performance self-assessments were conducted in the first quarter of 2024.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Board of Directors does not believe that it is in the best interests of the Company and our shareholders to mandate the separation of the offices of Chair of the Board of Directors and Chief Executive Officer. Rather, our Board of Directors retains the discretion to make determinations on this matter from time to time as may be in the best interests of the Company and our shareholders.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January 2023 as part of its regular self-evaluation and succession planning activities, the Board of Directors determined that combining the positions of Chief Executive Officer and Chair of the Board of Directors, together with the appointment of a Lead Independent Director, is the best structure to fit the Company’s needs at this time and helps provide strong and consistent leadership for the management team and the Board. The Board believes that Mr. Messina’s knowledge and background with the Company, deep industry experience, demonstrated leadership capability and track record of delivering results benefits Ocwen’s shareholders, customers and employees uniquely positions him to lead the Board and continue to oversee the Company’s strategic initiatives. As Chair of the Board, Mr. Messina leads the Board of Directors and oversees Board meetings and the delivery of information necessary for the Board’s informed decision-making. In his capacity as President and Chief Executive Officer, Mr. Messina continues to be responsible for our day-to-day operations and for formulating and executing our long-term strategies in collaboration with the Board.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January 2023, the Board appointed Mr. Stein as Lead Independent Director. In this role, Mr. Stein is responsible for leading the Board’s independent oversight function and for addressing any corporate governance considerations arising from the service of the same individual as Chair and Chief Executive Officer. Mr. Stein presides at all executive sessions of the independent directors and serves as principal liaison between the Chair and the independent directors, meeting regularly with the Chair to exchange feedback and discuss critical issues. In addition, he works to optimize Board performance by fostering a climate of constructive candor in which diverse viewpoints are heard and frank and thoughtful discussion occurs.</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The duties of the Lead Independent Director are further set forth in a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Following shareholder approval of our Name Change, we expect our primary website will be </w:t>
      </w:r>
      <w:r>
        <w:rPr>
          <w:rFonts w:ascii="Times New Roman" w:cs="Times New Roman" w:eastAsia="Times New Roman" w:hAnsi="Times New Roman"/>
          <w:sz w:val="17"/>
          <w:szCs w:val="17"/>
          <w:u w:val="single" w:color="auto"/>
          <w:color w:val="auto"/>
        </w:rPr>
        <w:t>www.onitygroup.com</w:t>
      </w:r>
      <w:r>
        <w:rPr>
          <w:rFonts w:ascii="Times New Roman" w:cs="Times New Roman" w:eastAsia="Times New Roman" w:hAnsi="Times New Roman"/>
          <w:sz w:val="17"/>
          <w:szCs w:val="17"/>
          <w:color w:val="auto"/>
        </w:rPr>
        <w:t xml:space="preserve"> and visitors to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will be automatically re-directed to our new website.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Board of Directors has the following standing committees: an Audit Committee, a Compensation and Human Capital Committee, a Nomination/Governance Committee, a Risk and Compliance Committee, and an Executive Committee. The table below lists the current members of each of these committees. A brief description of each committee is provided below the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and Human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Nomination/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Risk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1"/>
              </w:rPr>
              <w:t>Age</w:t>
            </w:r>
            <w:r>
              <w:rPr>
                <w:rFonts w:ascii="Times New Roman" w:cs="Times New Roman" w:eastAsia="Times New Roman" w:hAnsi="Times New Roman"/>
                <w:sz w:val="28"/>
                <w:szCs w:val="28"/>
                <w:color w:val="auto"/>
                <w:w w:val="91"/>
                <w:vertAlign w:val="superscript"/>
              </w:rPr>
              <w:t>(1)</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Director</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Audit</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Governance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Compliance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Executive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60" w:type="dxa"/>
            <w:vAlign w:val="bottom"/>
            <w:gridSpan w:val="2"/>
          </w:tcPr>
          <w:p>
            <w:pPr>
              <w:ind w:left="6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80" w:type="dxa"/>
            <w:vAlign w:val="bottom"/>
            <w:gridSpan w:val="2"/>
            <w:vMerge w:val="continue"/>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Since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Committee</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Committee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Committee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Committee</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Committee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Alan J. Bowers</w:t>
            </w:r>
          </w:p>
        </w:tc>
        <w:tc>
          <w:tcPr>
            <w:tcW w:w="14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140" w:type="dxa"/>
            <w:vAlign w:val="bottom"/>
          </w:tcPr>
          <w:p>
            <w:pPr>
              <w:spacing w:after="0"/>
              <w:rPr>
                <w:sz w:val="19"/>
                <w:szCs w:val="19"/>
                <w:color w:val="auto"/>
              </w:rPr>
            </w:pPr>
          </w:p>
        </w:tc>
        <w:tc>
          <w:tcPr>
            <w:tcW w:w="960" w:type="dxa"/>
            <w:vAlign w:val="bottom"/>
            <w:tcBorders>
              <w:top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color w:val="auto"/>
                <w:vertAlign w:val="subscript"/>
              </w:rPr>
              <w:t>X</w:t>
            </w:r>
            <w:r>
              <w:rPr>
                <w:rFonts w:ascii="Times New Roman" w:cs="Times New Roman" w:eastAsia="Times New Roman" w:hAnsi="Times New Roman"/>
                <w:sz w:val="12"/>
                <w:szCs w:val="12"/>
                <w:color w:val="auto"/>
              </w:rPr>
              <w:t>(2)</w:t>
            </w:r>
          </w:p>
        </w:tc>
        <w:tc>
          <w:tcPr>
            <w:tcW w:w="1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Jacques J. Busquet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40" w:type="dxa"/>
            <w:vAlign w:val="bottom"/>
          </w:tcPr>
          <w:p>
            <w:pPr>
              <w:spacing w:after="0"/>
              <w:rPr>
                <w:sz w:val="21"/>
                <w:szCs w:val="21"/>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32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8"/>
                <w:szCs w:val="28"/>
                <w:color w:val="auto"/>
                <w:w w:val="97"/>
                <w:vertAlign w:val="subscript"/>
              </w:rPr>
              <w:t>X</w:t>
            </w:r>
            <w:r>
              <w:rPr>
                <w:rFonts w:ascii="Times New Roman" w:cs="Times New Roman" w:eastAsia="Times New Roman" w:hAnsi="Times New Roman"/>
                <w:sz w:val="13"/>
                <w:szCs w:val="13"/>
                <w:color w:val="auto"/>
                <w:w w:val="97"/>
              </w:rPr>
              <w:t>(2)</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Jenne K. Britell</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14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X</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Phyllis R. Caldwell</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160"/>
              <w:spacing w:after="0" w:line="243" w:lineRule="exact"/>
              <w:rPr>
                <w:sz w:val="20"/>
                <w:szCs w:val="20"/>
                <w:color w:val="auto"/>
              </w:rPr>
            </w:pPr>
            <w:r>
              <w:rPr>
                <w:rFonts w:ascii="Times New Roman" w:cs="Times New Roman" w:eastAsia="Times New Roman" w:hAnsi="Times New Roman"/>
                <w:sz w:val="28"/>
                <w:szCs w:val="28"/>
                <w:color w:val="auto"/>
                <w:w w:val="97"/>
                <w:vertAlign w:val="subscript"/>
              </w:rPr>
              <w:t>X</w:t>
            </w:r>
            <w:r>
              <w:rPr>
                <w:rFonts w:ascii="Times New Roman" w:cs="Times New Roman" w:eastAsia="Times New Roman" w:hAnsi="Times New Roman"/>
                <w:sz w:val="13"/>
                <w:szCs w:val="13"/>
                <w:color w:val="auto"/>
                <w:w w:val="97"/>
              </w:rPr>
              <w:t>(2)</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Claudia J. Merkle</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X</w:t>
            </w: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5"/>
        </w:trPr>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DeForest B. Soaries, Jr.</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X</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X</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1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Kevin Stein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X</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34"/>
                <w:szCs w:val="34"/>
                <w:color w:val="auto"/>
                <w:w w:val="85"/>
                <w:vertAlign w:val="subscript"/>
              </w:rPr>
              <w:t>X</w:t>
            </w:r>
            <w:r>
              <w:rPr>
                <w:rFonts w:ascii="Times New Roman" w:cs="Times New Roman" w:eastAsia="Times New Roman" w:hAnsi="Times New Roman"/>
                <w:sz w:val="14"/>
                <w:szCs w:val="14"/>
                <w:color w:val="auto"/>
                <w:w w:val="85"/>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bl>
    <w:p>
      <w:pPr>
        <w:ind w:left="300" w:hanging="298"/>
        <w:spacing w:after="0" w:line="183" w:lineRule="auto"/>
        <w:tabs>
          <w:tab w:leader="none" w:pos="30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As of April 12, 2024</w:t>
      </w:r>
    </w:p>
    <w:p>
      <w:pPr>
        <w:spacing w:after="0" w:line="1" w:lineRule="exact"/>
        <w:rPr>
          <w:rFonts w:ascii="Times New Roman" w:cs="Times New Roman" w:eastAsia="Times New Roman" w:hAnsi="Times New Roman"/>
          <w:sz w:val="25"/>
          <w:szCs w:val="25"/>
          <w:color w:val="auto"/>
          <w:vertAlign w:val="superscript"/>
        </w:rPr>
      </w:pPr>
    </w:p>
    <w:p>
      <w:pPr>
        <w:ind w:left="300" w:hanging="298"/>
        <w:spacing w:after="0" w:line="185" w:lineRule="auto"/>
        <w:tabs>
          <w:tab w:leader="none" w:pos="3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Committee Chair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spacing w:after="0" w:line="284" w:lineRule="auto"/>
        <w:rPr>
          <w:sz w:val="20"/>
          <w:szCs w:val="20"/>
          <w:color w:val="auto"/>
        </w:rPr>
      </w:pPr>
      <w:r>
        <w:rPr>
          <w:rFonts w:ascii="Times New Roman" w:cs="Times New Roman" w:eastAsia="Times New Roman" w:hAnsi="Times New Roman"/>
          <w:sz w:val="17"/>
          <w:szCs w:val="17"/>
          <w:color w:val="auto"/>
        </w:rPr>
        <w:t>Effective May 28, 2024, Dr. Soaries will replace Ms. Caldwell as Nomination/Governance Committee Chair and step down from the Compensation Committee, and Ms. Merkle will join the Nomination/Governance Committee and the Compensation Committee.</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Committee. </w:t>
      </w:r>
      <w:r>
        <w:rPr>
          <w:rFonts w:ascii="Times New Roman" w:cs="Times New Roman" w:eastAsia="Times New Roman" w:hAnsi="Times New Roman"/>
          <w:sz w:val="17"/>
          <w:szCs w:val="17"/>
          <w:color w:val="auto"/>
        </w:rPr>
        <w:t>The Audit Committee of our Board of Directors oversees the relationship with our independent registered public accounting firm, and reviews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advises our Board of Directors with respect to matters involving accounting, auditing, and financial reporting, among other things. Audit Committee oversight also includes the evaluation of significant matters relating to the financial reporting process and our system of internal accounting controls. The Audit Committee also provides oversight of the internal audit function and is responsible for ensuring the Company has appropriate procedures in place for the receipt and review of confidential and anonymous reports of questionable accounting or auditing matters. Additionally, the Audit Committee reviews the scope and results of the annual audit conducted by the independent registered public accounting firm.</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current members of the Audit Committee are Messrs. Bowers (Chair) and Busquet, and Dr. Britell.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other public companies.</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Our Audit Committee operates under a written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The Audit Committee generally reviews its charter annually and occasionally reviews it more frequently. When circumstances require, the charter is amended and the revised version posted on our website. This Committee met nine times in 2023.</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Compensation and Human Capital Committee. </w:t>
      </w:r>
      <w:r>
        <w:rPr>
          <w:rFonts w:ascii="Times New Roman" w:cs="Times New Roman" w:eastAsia="Times New Roman" w:hAnsi="Times New Roman"/>
          <w:sz w:val="17"/>
          <w:szCs w:val="17"/>
          <w:color w:val="auto"/>
        </w:rPr>
        <w:t>The Compensation and Human Capital Committee (Compensation Committee) of our Board of Directors oversees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compensation and employee benefit plans and practices as well as the Company’s human capital initiatives and executive management development, evaluation, retention and succession planning. In furtherance thereof, the Compensation Committee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In addition, the Compensation Committee oversees the review and approval of awards made to our non-executive officer employees that participate in our cash and equity incentive programs. The Compensation Committee is empowered to review and to administer awards under the 2007 Equity Incentive Plan, under which no new awards may be granted but previously granted awards remain outstanding, the 2017 Performance Incentive Plan, under which no new awards may be granted but previously granted awards remain outstanding, and the 2021 Equity Incentive Plan, as amended (the 2021 Plan). The Compensation Committee has the authority to retain, at the Company’s expense, compensation consultants, independent counsel or other advisers as it deems necessary in connection with its responsibilities.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current members of the Compensation Committee are Mr. Busquet (Chair), Dr. Soaries and Mr. Stein. Effective May 28, 2024, the members of the Compensation Committee will be Mr. Busquet (Chair), Ms. Merkle and Mr. Stein.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Our Compensation Committee operates under a written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The Compensation Committee generally reviews its charter annually and occasionally reviews it more frequently. When circumstances require, the charter is amended and the revised version posted on our website. This Committee met eight times in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Compensation Committee Interlocks and Insider Participation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Busquet, Dr. Soaries and Mr. Stein served as members of the Compensation Committee during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None of such members were, at any time during the 2023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2023 fiscal year. No member of the Compensation Committee had any relationship with us requiring disclosure under Item 404 of Securities and Exchange Commission Regulation S-K.</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Nomination/Governance Committee. </w:t>
      </w:r>
      <w:r>
        <w:rPr>
          <w:rFonts w:ascii="Times New Roman" w:cs="Times New Roman" w:eastAsia="Times New Roman" w:hAnsi="Times New Roman"/>
          <w:sz w:val="17"/>
          <w:szCs w:val="17"/>
          <w:color w:val="auto"/>
        </w:rPr>
        <w:t>The Nomination/Governance Committee of our Board of Directors makes recommendations to our Board of Directors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candidates to serve as Directors and Committee members for our Board of Directors, advises our Board of Directors with respect to director composition, procedures and committees, recommends a set of corporate governance principles to our Board and oversees the evaluation of our Board of Directors and our management.</w:t>
      </w:r>
    </w:p>
    <w:p>
      <w:pPr>
        <w:spacing w:after="0" w:line="3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current members of the Nomination/Governance Committee are Ms. Caldwell (Chair) and Drs. Britell and Soaries. Effective May 28, 2024, the members of the Nomination/Governance Committee will be Dr. Soaries (Chair), Dr. Britell and Ms. Merkle. Each of these directors is independent as defined in the listing standards of the New York Stock Exchange.</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Our Nomination/Governance Committee operates under a written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The Nomination/Governance Committee generally reviews its charter annually and occasionally reviews it more frequently. When circumstances require, the charter is amended and the revised version posted on our website. This Committee met six times in 2023.</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Risk and Compliance Committee. </w:t>
      </w:r>
      <w:r>
        <w:rPr>
          <w:rFonts w:ascii="Times New Roman" w:cs="Times New Roman" w:eastAsia="Times New Roman" w:hAnsi="Times New Roman"/>
          <w:sz w:val="17"/>
          <w:szCs w:val="17"/>
          <w:color w:val="auto"/>
        </w:rPr>
        <w:t>The Risk and Compliance Committee of our Board of Directors provides assistance to the Board of Directors with (i) review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risks that could affect the ability of the Company to achieve its strategies and preserve its assets, (ii) oversight of an enterprise risk management infrastructure to identify, measure, monitor and report on the risks the Company faces, (iii) oversight of our compliance function, including our compliance management system and information security/privacy programs, and (iv) oversight of our compliance with applicable laws, rules and regulations governing our consumer-oriented businesses, including Federal consumer financial laws and applicable state laws. The Risk and Compliance Committee also provides assistance to the Board of Directors with the review, approval and oversight of related party transactions pursuant to our Related Party Transactions Approval Policy.</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current members of the Risk and Compliance Committee are Messrs. Stein (Chair), Bowers and Busquet, all of whom are independent directors as defined in the listing standards of the New York Stock Exchange.</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Our Risk and Compliance Committee operates under a written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The Risk and Compliance Committee generally reviews its charter annually and occasionally reviews it more frequently. When circumstances require, the charter will be amended and the revised version posted on our website. This Committee met seven times in 2023.</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From time to time, when requested by the Board of Directors, the Risk and Compliance Committee provides oversight of the Company’s exploration of potential business combinations and other transformative transactions.</w:t>
      </w:r>
    </w:p>
    <w:p>
      <w:pPr>
        <w:spacing w:after="0" w:line="1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Executive Committee. </w:t>
      </w:r>
      <w:r>
        <w:rPr>
          <w:rFonts w:ascii="Times New Roman" w:cs="Times New Roman" w:eastAsia="Times New Roman" w:hAnsi="Times New Roman"/>
          <w:sz w:val="17"/>
          <w:szCs w:val="17"/>
          <w:color w:val="auto"/>
        </w:rPr>
        <w:t>Our Executive Committee is generally responsible to act on behalf of our Board of Directors during the intervals between meetings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Directors, if necessary. The current members of the Executive Committee are Mr. Messina (Chair) and Messrs. Busquet and Stein.</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Committees. </w:t>
      </w:r>
      <w:r>
        <w:rPr>
          <w:rFonts w:ascii="Times New Roman" w:cs="Times New Roman" w:eastAsia="Times New Roman" w:hAnsi="Times New Roman"/>
          <w:sz w:val="17"/>
          <w:szCs w:val="17"/>
          <w:color w:val="auto"/>
        </w:rPr>
        <w:t>Our Board of Directors has the authority to form additional standing or temporary committees, and delegate appropriate authority to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committees if and when the Board determines that it is advisable to do so. In addition, the Board may, from time to time, determine that a standing committee should be dissolved or re-organized in order to more efficiently serve the Company’s corporate governance needs.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Nomination/Governance Committee regularly assesses the appropriate size and composition of the Board of Directors, including whether any vacancies on the Board of Directors are anticipated. If vacancies are anticipated, various potential candidates for director are identified. Candidates may come to the attention of the Nomination/Governance Committee through current members of the Board of Directors, professional search firms, shareholders or industry sources.</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Effective April 1, 2024, concurrent with the appointment of Ms. Merkle as a director, our Board of Directors fixed the number of directors at eight. Our Board of Directors has determined that, upon the retirement of Ms. Caldwell immediately prior to the Annual Meeting, the size of the Board of Directors will be reduced to seven directors.</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In evaluating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qualifications and experience with the qualifications and experience of other members of our Board of Directors. We do not have a policy relating to the nomination or continued service of directors above a specific age, as we believe it is more beneficial to focus on the qualifications, experience, and performance of our directors and director nominees, and we consider Board refreshment from a broader perspective than the age of individual directors. We also consider the number of other boards on which a nominee sits. The Company’s general policy is to limit the number of other public company boards of directors upon which a director may sit to four, and presently no director sits on more than three other public company boards.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as well as any other factors it deems to be appropriate, and recommends candidates that it believes will enhance our Board of Directors and benefit the Company and our shareholders. It is the policy of our Nomination/Governance Committee to consider candidates for director recommended by shareholders, but the Nomination/Governance Committee has no obligation to recommend such candidates. A copy of our Corporate Governance Guidelines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In addition, the Board recognizes the value of including perspectives shaped by diverse ethnicities, geographic origins and genders in building an inclusive corporate culture that reflects and supports Ocwen’s diverse customer base and global workforce. Board members should have individual backgrounds that, when combined, provide a portfolio of experience and knowledge that will serve the Company’s strategic and governance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process, the Nomination/Governance Committee makes a recommendation to the full Board of Directors as to the persons who should be nominated by the Board of Directors. The Board of Directors determines the nominees after considering the recommendation of the Nomination/Governance Committee. Should a shareholder recommend a candidate for Director, our Nomination/Governance Committee would evaluate such candidate in the same manner that it evaluates any other nominee. To date, no shareholder or group of shareholders has put forth any director nominees for the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7"/>
          <w:szCs w:val="17"/>
          <w:color w:val="auto"/>
        </w:rPr>
        <w:t>If you wish to recommend persons for consideration by our Nomination/Governance Committee as nominees for election to our Board of Directors, you may do so by written notice to our Secretary at Ocwen Financial Corporation, 1661 Worthington Road, Suite 100, West Palm Beach, Florida 33409. Such notice must contain all the information set forth in Section 2.2 of our Bylaws and comply with the procedures and deadline set forth therein. See “Submission of Shareholder Proposals for 2025 Annual Meeting,” below for additional information about this process.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Prohibition against Short Sales, Hedging and Margin Accounts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Insider Trading Prevention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or engaging in any other transaction that hedges the economic risk associated with ownership of the Company’s securities. This policy is designed to encourage investment in the Company’s stock for the long term, on a buy and hold basis, and to discourage active trading or short-term speculation and applies regardless of whether such Company securities were (i) granted to the director, officer or employee as part of their compensation or (ii) held directly or indirectly by the director, officer or employee.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 The Corporate Governance Guidelines also provide that within five years of their appointment, directors are generally expected to own shares in the Company worth at least five times the base annual cash retainer for service as a director.</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Our Corporate Governance Guidelines are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Our Nomination/Governance Committee reviews our Corporate Governance Guidelines annually and recommends amendments to the Board of Directors for approval.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has also adopted a Clawback Policy as further described under “Clawback Policy” in the “Executive Compensation” section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Sessions of Non-Management Directors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Mr. Messina chairs executive sessions of the full Board of Directors. Mr. Stein presides at the executive sessions of non-management directors, succeeding Ms. Caldwell, who presided prior to our January 2023 Board leadership transition. Our non-management directors met in executive sessions of the full Board without management during ten meetings in 2023</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In addition, our Audit, Compensation and Human Capital, and Risk and Compliance Committees generally met in executive session at each regularly scheduled quarterly meeting and on other occasions when the members believed it was advisable to do so.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Meetings with Management Independent of the Chief Executive Officer</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Lead Independent Director, the chairs of our committees and our other directors meet with various members of management, without the Chief Executive Officer present, to discuss matters relevant to the business of the Company. For example, in addition to discussions with members of senior management, the chair of the Audit Committee meets independently with the Chief Audit Executive, our independent auditors and the Chief Legal Officer from time to time and the chair of the Risk and Compliance Committee meets independently with the Chief Risk and Compliance Officer and the Chief Legal Officer from time to time. In prior years, our directors have also visited various of our U.S. and international sites to meet generally with employees and senior management in those locations.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Communications with Directors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 You may also write to our Board of Directors through our website at </w:t>
      </w:r>
      <w:r>
        <w:rPr>
          <w:rFonts w:ascii="Times New Roman" w:cs="Times New Roman" w:eastAsia="Times New Roman" w:hAnsi="Times New Roman"/>
          <w:sz w:val="17"/>
          <w:szCs w:val="17"/>
          <w:u w:val="single" w:color="auto"/>
          <w:color w:val="auto"/>
        </w:rPr>
        <w:t>http://shareholders.ocwen.com/contactBoard.cfm</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Communications received in writing are distributed to our Board of Directors or to individual directors, as the Chief Legal Officer and Secretary deem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67" w:lineRule="exact"/>
        <w:rPr>
          <w:sz w:val="20"/>
          <w:szCs w:val="20"/>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or product complaints</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or product inquiries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service or product suggestions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Resumes and other forms of job inquiries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Surveys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solicitations or advertisements</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addition, material that is unduly hostile, threatening, illegal, repetitive, irrelevant to the Board of Directors or similarly unsuitable will be excluded, provided that any communication that is filtered out will be made available to any non-management director upon request.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Risk Management and Oversight Process</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One of our Board of Directors’ key responsibilities is the oversight of risk associated with the Company. Certain of these responsibilities have been delegated to specific committees, in which case the Board oversees the work of the committee.</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Risk and Compliance Committee</w:t>
      </w:r>
      <w:r>
        <w:rPr>
          <w:rFonts w:ascii="Times New Roman" w:cs="Times New Roman" w:eastAsia="Times New Roman" w:hAnsi="Times New Roman"/>
          <w:sz w:val="17"/>
          <w:szCs w:val="17"/>
          <w:color w:val="auto"/>
        </w:rPr>
        <w:t>. As discussed above, this committee is responsible for monitoring the Company’s enterprise risk management framework,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regularly meets with the Chief Risk and Compliance Officer to discuss risk exposures and mitigation plans. This committee monitors the Company’s evaluation and management of risks, including, but not limited to, operational risk, regulatory compliance risks and cybersecurity risks, through reviews with management, including comprehensive reviews every quarter with additional updates as appropriate. This committee also reviews and approves related party transactions in accordance with our Related Party Transactions Approval Policy to monitor and prevent conflicts of interest in the operations of the Company and the activities of management and directors.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 The Audit Committee monitors the Company’s financial risks through regular reviews of the Company’s financial activities with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internal and external auditors. This committee also receives reports from the management-level Disclosure Review Committee, which works to reduce the risk of inaccurate financial reporting through its review of the Company’s quarterly and annual financial reports and disclosure controls and procedures.</w:t>
      </w:r>
    </w:p>
    <w:p>
      <w:pPr>
        <w:spacing w:after="0" w:line="15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Nomination/Governance Committee. </w:t>
      </w:r>
      <w:r>
        <w:rPr>
          <w:rFonts w:ascii="Times New Roman" w:cs="Times New Roman" w:eastAsia="Times New Roman" w:hAnsi="Times New Roman"/>
          <w:sz w:val="17"/>
          <w:szCs w:val="17"/>
          <w:color w:val="auto"/>
        </w:rPr>
        <w:t>The Nomination/Governance Committee monitors the Company’s governance risk by regular reviews with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monitoring any circumstances that could potentially jeopardize the independence of directors or objectivity of management.</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Compensation Committee. </w:t>
      </w:r>
      <w:r>
        <w:rPr>
          <w:rFonts w:ascii="Times New Roman" w:cs="Times New Roman" w:eastAsia="Times New Roman" w:hAnsi="Times New Roman"/>
          <w:sz w:val="17"/>
          <w:szCs w:val="17"/>
          <w:color w:val="auto"/>
        </w:rPr>
        <w:t>The Compensation Committee monitors potential risks created by the Company’s compensation policies and practices through regular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reviews with management and through consulting regularly with an independent compensation consultant without management present. This committee also oversees human resources initiatives intended to reduce the risk of workplace discrimination and harassment incidents.</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Board of Directors’ role in risk oversight is consistent with the Company’s leadership structure with the President and Chief Executive Officer and other members of senior management, including our Chief Risk and Compliance Officer, having responsibility for assessing and managing the Company’s risk exposure, and the Board of Directors and its Committees providing oversight in connection with these efforts.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Social and Corporate Governance (ESG) and Corporate Sustainability</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Our Board of Directors and our management are committed to ensuring Ocwen has responsible practices to address the needs of its customers, employees and the communities it serves. While the Board has delegated oversight of management’s ESG initiatives to the Compensation Committee, the full Board is briefed regularly on the Company’s ESG-related activities and metrics. Our comprehensive approach to ESG and corporate sustainability is detailed in our report “Environmental, Social and Corporate Governance (ESG) and Corporate Sustainability”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“Shareholders” section under “Corporate Governance.” Our approach is represented by the following policies and programs: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Policy on non-discrimination. </w:t>
      </w:r>
      <w:r>
        <w:rPr>
          <w:rFonts w:ascii="Times New Roman" w:cs="Times New Roman" w:eastAsia="Times New Roman" w:hAnsi="Times New Roman"/>
          <w:sz w:val="17"/>
          <w:szCs w:val="17"/>
          <w:color w:val="auto"/>
        </w:rPr>
        <w:t>Ocwen’s non-discrimination policy provides equal employment opportunities for all qualified individuals without discrimination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based upon the following legally protected characteristics: race, religious creed, color, national origin, ancestry, physical or mental disability, medical condition, genetic information, marital status (including registered domestic partnership status), sex (including pregnancy, childbirth, lactation and related medical conditions), gender (including gender identity and expression), age (40 and over), sexual orientation, Civil Air Patrol status, military and veteran status and any other consideration protected by federal, state or local law (collectively referred to as “protected characteristics”). Underlying this policy is Ocwen’s culture and values, including employees’ rights to be free from unlawful discrimination, and its commitment to providing a safe, secure and productive work environment.</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Ocwen’s hiring, salary administration, promotion and transfer policies are based solely on job requirements, job performance and job-related criteria. In addition, every effort is made to ensure that Ocwen’s personnel policies and practices (including those relating to compensation, benefits, transfer, retention, termination, training and self-development opportunities, as well as social and recreational programs) are administered without discrimination on the basis of any legally protected characteristic.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Promoting equal opportunity and diversity. </w:t>
      </w:r>
      <w:r>
        <w:rPr>
          <w:rFonts w:ascii="Times New Roman" w:cs="Times New Roman" w:eastAsia="Times New Roman" w:hAnsi="Times New Roman"/>
          <w:sz w:val="17"/>
          <w:szCs w:val="17"/>
          <w:color w:val="auto"/>
        </w:rPr>
        <w:t>Ocwen is committed to providing equal opportunity in all areas of employment, compensation, training and promotion.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policies prohibit discrimination of any form in all of the locations in which Ocwen operates. Ocwen strives to foster an environment in which all stakeholders can participate and contribute to the success of the organization’s enterprise, taking full advantage of the collective sum of individual differences, life experiences, inventiveness, self-expression and unique capabilities, knowledge and talent. Our Diversity, Equity and Inclusion Council, which was formed in 2015, is comprised of leaders from different areas of the Company including our Chief Diversity and Inclusion Officer and helps guide our approach in key areas including Leadership, Workforce, Vendor Diversity and Community Engagement. Diversity, Equity and Inclusion updates are provided to the Executive Leadership Team on a monthly basis and to the Board of Directors as necessary. Ocwen’s Global Diversity, Equity and Inclusion Policy is reviewed on an annual basis and diversity, equity and inclusion training is provided to all employees globally.</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2023, several Ocwen women leaders were recognized for their contributions to the mortgage industry and furthering homeownership. Our Chief Risk and Compliance Officer was recognized in HousingWire’s 2023 “Women of Influence” list and five women employees were nominated for Five Star’s 2023 Women in Housing Leadership Awards. Additionally, our India team was recognized as one of the 2023 Top Employers for LGBTQ+ Inclusion by the India Workplace Equality Index, an honor that reflects our deep commitment to diversity, equity and inclusion.</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Ocwen utilizes affinity groups, of which more than 2,200 employees are members, to help support employee development and drive inclusion, including 18 employee events globally:</w:t>
      </w:r>
    </w:p>
    <w:p>
      <w:pPr>
        <w:spacing w:after="0" w:line="152" w:lineRule="exact"/>
        <w:rPr>
          <w:sz w:val="20"/>
          <w:szCs w:val="20"/>
          <w:color w:val="auto"/>
        </w:rPr>
      </w:pPr>
    </w:p>
    <w:p>
      <w:pPr>
        <w:jc w:val="both"/>
        <w:ind w:left="620" w:hanging="310"/>
        <w:spacing w:after="0" w:line="267"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Ocwen Global Women’s Network (OGWN) supports recruitment, development and retention initiatives for women across the organization, and serves as a sounding board for business insights, and supports the attainment of company goals in diversity, inclusion and talent development. Integrating Diversity, Equity and Inclusion into Ocwen’s culture is critical for our success and allows us to make the most of the full range of our talent.</w:t>
      </w:r>
    </w:p>
    <w:p>
      <w:pPr>
        <w:spacing w:after="0" w:line="163" w:lineRule="exact"/>
        <w:rPr>
          <w:rFonts w:ascii="Times New Roman" w:cs="Times New Roman" w:eastAsia="Times New Roman" w:hAnsi="Times New Roman"/>
          <w:sz w:val="17"/>
          <w:szCs w:val="17"/>
          <w:color w:val="auto"/>
        </w:rPr>
      </w:pPr>
    </w:p>
    <w:p>
      <w:pPr>
        <w:jc w:val="both"/>
        <w:ind w:left="620" w:hanging="310"/>
        <w:spacing w:after="0" w:line="270"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LEAP</w:t>
      </w:r>
      <w:r>
        <w:rPr>
          <w:rFonts w:ascii="Times New Roman" w:cs="Times New Roman" w:eastAsia="Times New Roman" w:hAnsi="Times New Roman"/>
          <w:sz w:val="17"/>
          <w:szCs w:val="17"/>
          <w:color w:val="auto"/>
        </w:rPr>
        <w:t>, which stands for Leading with Education Action and Purpose, has the mission to educate Ocwen employees globally about Black culture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Black experience to increase inclusion across the organization. LEAP also enhances the professional development of Black employees through formal and informal mentoring, networking, learning opportunities and leadership development.</w:t>
      </w:r>
    </w:p>
    <w:p>
      <w:pPr>
        <w:spacing w:after="0" w:line="159" w:lineRule="exact"/>
        <w:rPr>
          <w:rFonts w:ascii="Times New Roman" w:cs="Times New Roman" w:eastAsia="Times New Roman" w:hAnsi="Times New Roman"/>
          <w:sz w:val="17"/>
          <w:szCs w:val="17"/>
          <w:color w:val="auto"/>
        </w:rPr>
      </w:pPr>
    </w:p>
    <w:p>
      <w:pPr>
        <w:jc w:val="both"/>
        <w:ind w:left="620" w:hanging="310"/>
        <w:spacing w:after="0" w:line="264"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mission of </w:t>
      </w:r>
      <w:r>
        <w:rPr>
          <w:rFonts w:ascii="Times New Roman" w:cs="Times New Roman" w:eastAsia="Times New Roman" w:hAnsi="Times New Roman"/>
          <w:sz w:val="17"/>
          <w:szCs w:val="17"/>
          <w:b w:val="1"/>
          <w:bCs w:val="1"/>
          <w:color w:val="auto"/>
        </w:rPr>
        <w:t>FREE</w:t>
      </w:r>
      <w:r>
        <w:rPr>
          <w:rFonts w:ascii="Times New Roman" w:cs="Times New Roman" w:eastAsia="Times New Roman" w:hAnsi="Times New Roman"/>
          <w:sz w:val="17"/>
          <w:szCs w:val="17"/>
          <w:color w:val="auto"/>
        </w:rPr>
        <w:t>, which stands for Freedom, Respect, Expression and Equality, is to create a safe, inclusive and affirming office climate that fosters professional and personal growth for employees of all genders and sexualities through education, advocacy, outreach and support. FREE promotes a fully equitable environment that is free of judgment and strives for knowledge, challenges barriers, and seeks to help and empower LGBTQ+ employees and allies.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Commitment to Ethics. </w:t>
      </w:r>
      <w:r>
        <w:rPr>
          <w:rFonts w:ascii="Times New Roman" w:cs="Times New Roman" w:eastAsia="Times New Roman" w:hAnsi="Times New Roman"/>
          <w:sz w:val="17"/>
          <w:szCs w:val="17"/>
          <w:color w:val="auto"/>
        </w:rPr>
        <w:t>We have adopted a robust Code of Business Conduct and Ethics that applies to all employees and our Board of Directors, as well as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General Counsel serves as our Chief Ethics Officer and works with members of our Internal Audit function to ensure every ethics complaint and communication to our Board is addressed in accordance with our company policies.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Benefits. </w:t>
      </w:r>
      <w:r>
        <w:rPr>
          <w:rFonts w:ascii="Times New Roman" w:cs="Times New Roman" w:eastAsia="Times New Roman" w:hAnsi="Times New Roman"/>
          <w:sz w:val="17"/>
          <w:szCs w:val="17"/>
          <w:color w:val="auto"/>
        </w:rPr>
        <w:t>Ocwen’s benefits programs strive to keep employees productive and engaged at work by serving the total well-being of employees’ and their families’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physical, mental and financial health. In the U.S.,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17"/>
          <w:szCs w:val="17"/>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diabetes and other chronic conditions, stress management and financial planning workshops, online guided meditation and yoga, and more. Ocwen also provides a generous paid time off (PTO) program to support employees’ need to rest and recharge. Our medical and family leave programs offer paid disability absences and paid parental/adoption leave, in addition to FMLA-required schedule flexibility and job security. Outside the U.S., our employee benefit programs provide comparable and market appropriate benefits focused on supporting our employees well-being and retirement needs.</w:t>
      </w:r>
    </w:p>
    <w:p>
      <w:pPr>
        <w:spacing w:after="0" w:line="3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Training and development. </w:t>
      </w:r>
      <w:r>
        <w:rPr>
          <w:rFonts w:ascii="Times New Roman" w:cs="Times New Roman" w:eastAsia="Times New Roman" w:hAnsi="Times New Roman"/>
          <w:sz w:val="17"/>
          <w:szCs w:val="17"/>
          <w:color w:val="auto"/>
        </w:rPr>
        <w:t>Ocwen is committed to providing our employees with high-quality training and learning experiences targeted to increase industry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knowledge levels, improve process efficiency and promote personal growth, which in turn helps improve customer experience, reduce foreclosures and contribute to our success as an organization. Ocwen facilitates professional development through the lifecycle of employees through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Ocwen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spacing w:after="0" w:line="17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Our training and development programs are important contributors to our ability to deliver industry-leading customer service. Over the past few years, Ocwen’s subsidiary PHH Mortgage Corporation (PHH) has been recognized for servicing excellence through Freddie Mac’s SHARP</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 xml:space="preserve"> and Fannie Mae’s STAR</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awards and HUD’s ranking.</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Community development. </w:t>
      </w:r>
      <w:r>
        <w:rPr>
          <w:rFonts w:ascii="Times New Roman" w:cs="Times New Roman" w:eastAsia="Times New Roman" w:hAnsi="Times New Roman"/>
          <w:sz w:val="17"/>
          <w:szCs w:val="17"/>
          <w:color w:val="auto"/>
        </w:rPr>
        <w:t>At Ocwen, we believe homeownership is an important part of achieving financial independence, and our philosophy in this regard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“helping homeowners is what we do.” This philosophy is what guides us in our commitment to the communities we serve. We organize a variety of community outreach programs and events with local and national organizations around the country to assist homeowners, particularly in communities of color. Our outreach events began during the 2008 mortgage crisis and have continued since then. In 2023, we hosted 41 borrower outreach events across the country in partnership with the NAACP and seven HUD certified housing counseling agencies. In addition, Ocwen partners with several local municipalities around vacant and abandoned properties to mitigate blight in communities.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better serve our stakeholders and communities, Ocwen created a Community Advisory Council in 2014, consisting of 15 leaders from a diverse group of national non-profit organizations, consumer advocacy groups and civil rights organizations, as a platform to collaborate and share ideas on how to help homeowners. Ocwen provides grants and sponsorship funding to local and national nonprofit organizations each year, in support of the work they do to help distressed communities and homeowners. Over the past four years, Ocwen has contributed over $6 million to these organizations, and nearly $28 million since 2012.</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Additionally, Ocwen’s subsidiary PHH formed a community partnership with the National Association of Mortgage Brokers (NAMB) to develop and provide a new reverse mortgage certification program to NAMB’s members. The success of this training program resulted in PHH being named a 2023 Affiliate Company of the Year by NAMB.</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Charitable activity. </w:t>
      </w:r>
      <w:r>
        <w:rPr>
          <w:rFonts w:ascii="Times New Roman" w:cs="Times New Roman" w:eastAsia="Times New Roman" w:hAnsi="Times New Roman"/>
          <w:sz w:val="17"/>
          <w:szCs w:val="17"/>
          <w:color w:val="auto"/>
        </w:rPr>
        <w:t>Ocwen continues to find meaningful ways to give back to the communities where we live and work. The charitable events at our office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locations around the globe included distributing meals and supporting local food banks, helping economically disadvantaged children and at-risk youth, helping schools for hearing-impaired children, holding toy drives and back-to-school supply drives, helping the homeless, supporting victims of crimes, providing financial assistance to families impacted by cancer, making donations to first responders, helping communities impacted by the pandemic with donations and medical equipment, hosting blood drives through the American Red Cross and making donations to the Mortgage Bankers Association’s (MBA) Opens Doors Foundation to help families with a critically ill or injured child.</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Responsible information security management. </w:t>
      </w:r>
      <w:r>
        <w:rPr>
          <w:rFonts w:ascii="Times New Roman" w:cs="Times New Roman" w:eastAsia="Times New Roman" w:hAnsi="Times New Roman"/>
          <w:sz w:val="17"/>
          <w:szCs w:val="17"/>
          <w:color w:val="auto"/>
        </w:rPr>
        <w:t>Ocwen maintains a comprehensive information security program designed to safeguard the confidentiality,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integrity and availability of its data and information systems. Ocwen’s Board of Directors is consistently updated on information security risks, which are managed through a strategic blend of policies, advanced tools and technologies, and continuous staff awareness initiatives. Ocwen’s cybersecurity controls are structured around a multi-layered defense-in-depth strategy designed to protect the integrity of the network against potential breaches.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workforce undergoes regular training to recognize, avert, and report cybersecurity risks and incidents. In parallel, Ocwen’s third-party risk management program assesses and supervises the information security practices of our vendors. It is mandatory for all third-party vendors who handle data processing on our behalf to uphold a well-documented information security program that aligns with our strict security standards.</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Ocwen’s readiness for and responsiveness to cyber threats are regularly evaluated through various assessments. These include both internal and external vulnerability assessments, penetration testing, incident response table-top exercises, and breach readiness and response drills. For more detailed information regarding Ocwen’s approach to information security risk management, see “Item 1C. Cybersecurity” of the Annual Report included with these proxy materials.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Environmental Impact. </w:t>
      </w:r>
      <w:r>
        <w:rPr>
          <w:rFonts w:ascii="Times New Roman" w:cs="Times New Roman" w:eastAsia="Times New Roman" w:hAnsi="Times New Roman"/>
          <w:sz w:val="17"/>
          <w:szCs w:val="17"/>
          <w:color w:val="auto"/>
        </w:rPr>
        <w:t>In 2023, Ocwen continued its commitment to operate through a primarily remote working model, reducing the percentage of employees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commuting daily to the office. Fewer associates in the offices afforded the opportunity to reduce our office footprint in several markets. As office space footprints were reduced, improvements were made to retrofit lighting and equipment to lower our use of natural resources. Recycling of office and paper products in all U.S. facilities continues to be a priority, which reduces our imprint on the local landfills. In addition, we continue to reduce paper mailings to customers through our digital mailing service, electronic notice delivery and process automations.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 COMPENSATION</w:t>
      </w:r>
    </w:p>
    <w:p>
      <w:pPr>
        <w:spacing w:after="0" w:line="2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following table discloses compensation received for fiscal year 2023 by each member of our Board of Directors who was not employed by us or one of our subsidiaries and who served as a director during fiscal year 2023 (our non-management directors).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Fees Earned</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Or Paid in Cash</w:t>
            </w:r>
          </w:p>
        </w:tc>
        <w:tc>
          <w:tcPr>
            <w:tcW w:w="1600" w:type="dxa"/>
            <w:vAlign w:val="bottom"/>
            <w:gridSpan w:val="2"/>
          </w:tcPr>
          <w:p>
            <w:pPr>
              <w:jc w:val="center"/>
              <w:ind w:right="2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Awards</w:t>
            </w:r>
            <w:r>
              <w:rPr>
                <w:rFonts w:ascii="Times New Roman" w:cs="Times New Roman" w:eastAsia="Times New Roman" w:hAnsi="Times New Roman"/>
                <w:sz w:val="13"/>
                <w:szCs w:val="13"/>
                <w:b w:val="1"/>
                <w:bCs w:val="1"/>
                <w:color w:val="auto"/>
              </w:rPr>
              <w:t>(1)(2)(3)</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3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134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r>
      <w:tr>
        <w:trPr>
          <w:trHeight w:val="205"/>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Jenne K. Britell</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98,000</w:t>
            </w:r>
          </w:p>
        </w:tc>
        <w:tc>
          <w:tcPr>
            <w:tcW w:w="3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2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4"/>
              </w:rPr>
              <w:t>218,000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Alan J. Bowers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115,500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120,000</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235,500</w:t>
            </w:r>
          </w:p>
        </w:tc>
      </w:tr>
      <w:tr>
        <w:trPr>
          <w:trHeight w:val="205"/>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Jacques J. Busquet</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123,000</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120,000</w:t>
            </w:r>
          </w:p>
        </w:tc>
        <w:tc>
          <w:tcPr>
            <w:tcW w:w="14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243,000</w:t>
            </w:r>
          </w:p>
        </w:tc>
      </w:tr>
      <w:tr>
        <w:trPr>
          <w:trHeight w:val="20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Phyllis R. Caldwell</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98,250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120,000</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218,250</w:t>
            </w:r>
          </w:p>
        </w:tc>
      </w:tr>
      <w:tr>
        <w:trPr>
          <w:trHeight w:val="205"/>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DeForest B. Soaries, Jr.</w:t>
            </w:r>
          </w:p>
        </w:tc>
        <w:tc>
          <w:tcPr>
            <w:tcW w:w="1720" w:type="dxa"/>
            <w:vAlign w:val="bottom"/>
            <w:gridSpan w:val="2"/>
            <w:shd w:val="clear" w:color="auto" w:fill="CCEEFF"/>
          </w:tcPr>
          <w:p>
            <w:pPr>
              <w:jc w:val="right"/>
              <w:ind w:right="240"/>
              <w:spacing w:after="0" w:line="205" w:lineRule="exact"/>
              <w:rPr>
                <w:sz w:val="20"/>
                <w:szCs w:val="20"/>
                <w:color w:val="auto"/>
              </w:rPr>
            </w:pPr>
            <w:r>
              <w:rPr>
                <w:rFonts w:ascii="Times New Roman" w:cs="Times New Roman" w:eastAsia="Times New Roman" w:hAnsi="Times New Roman"/>
                <w:sz w:val="17"/>
                <w:szCs w:val="17"/>
                <w:color w:val="auto"/>
              </w:rPr>
              <w:t>154,522</w:t>
            </w:r>
            <w:r>
              <w:rPr>
                <w:rFonts w:ascii="Times New Roman" w:cs="Times New Roman" w:eastAsia="Times New Roman" w:hAnsi="Times New Roman"/>
                <w:sz w:val="22"/>
                <w:szCs w:val="22"/>
                <w:color w:val="auto"/>
                <w:vertAlign w:val="superscript"/>
              </w:rPr>
              <w:t>(4)</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120,000</w:t>
            </w:r>
          </w:p>
        </w:tc>
        <w:tc>
          <w:tcPr>
            <w:tcW w:w="14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274,522</w:t>
            </w:r>
          </w:p>
        </w:tc>
      </w:tr>
      <w:tr>
        <w:trPr>
          <w:trHeight w:val="222"/>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Stein</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157,833</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120,000</w:t>
            </w: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277,833</w:t>
            </w:r>
          </w:p>
        </w:tc>
      </w:tr>
    </w:tbl>
    <w:p>
      <w:pPr>
        <w:spacing w:after="0" w:line="171" w:lineRule="exact"/>
        <w:rPr>
          <w:sz w:val="20"/>
          <w:szCs w:val="20"/>
          <w:color w:val="auto"/>
        </w:rPr>
      </w:pPr>
    </w:p>
    <w:p>
      <w:pPr>
        <w:jc w:val="both"/>
        <w:ind w:left="300" w:hanging="298"/>
        <w:spacing w:after="0" w:line="221" w:lineRule="auto"/>
        <w:tabs>
          <w:tab w:leader="none" w:pos="3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Amounts reported for stock awards represent the aggregate grant date fair value of awards granted during fiscal year 2023 under the 2021 Equity Incentive Plan, as amended (the 2021 Plan) computed in accordance with Financial Accounting Standards Board (FASB) Accounting Standards Codification (ASC) Topic 718. We based the grant date fair value of stock awards on the closing price of our common stock on the New York Stock Exchange on the date of grant of the awards.</w:t>
      </w:r>
    </w:p>
    <w:p>
      <w:pPr>
        <w:spacing w:after="0" w:line="187" w:lineRule="exact"/>
        <w:rPr>
          <w:rFonts w:ascii="Times New Roman" w:cs="Times New Roman" w:eastAsia="Times New Roman" w:hAnsi="Times New Roman"/>
          <w:sz w:val="28"/>
          <w:szCs w:val="28"/>
          <w:color w:val="auto"/>
          <w:vertAlign w:val="superscript"/>
        </w:rPr>
      </w:pPr>
    </w:p>
    <w:p>
      <w:pPr>
        <w:jc w:val="both"/>
        <w:ind w:left="300" w:hanging="298"/>
        <w:spacing w:after="0" w:line="212" w:lineRule="auto"/>
        <w:tabs>
          <w:tab w:leader="none" w:pos="3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On May 23, 2023, our non-management directors received equity awards under the 2021 Plan for their service for the 2023-2024 term. Each award had a grant date fair value totaling $120,000 (with immaterial incremental value resulting from rounding to the next whole share). Each director received 4,424 restricted stock units (RSUs) vesting May 23, 2024, in the event each director attends at least 75% of applicable Board and committee meetings.</w:t>
      </w:r>
    </w:p>
    <w:p>
      <w:pPr>
        <w:spacing w:after="0" w:line="189" w:lineRule="exact"/>
        <w:rPr>
          <w:rFonts w:ascii="Times New Roman" w:cs="Times New Roman" w:eastAsia="Times New Roman" w:hAnsi="Times New Roman"/>
          <w:sz w:val="28"/>
          <w:szCs w:val="28"/>
          <w:color w:val="auto"/>
          <w:vertAlign w:val="superscript"/>
        </w:rPr>
      </w:pPr>
    </w:p>
    <w:p>
      <w:pPr>
        <w:jc w:val="both"/>
        <w:ind w:left="300" w:hanging="298"/>
        <w:spacing w:after="0" w:line="221" w:lineRule="auto"/>
        <w:tabs>
          <w:tab w:leader="none" w:pos="3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Our non-management directors have no shares subject to option awards or other equity awards outstanding as of December 31, 2023, other than the RSUs issued May 23, 2023, except the following issued in prior service years to directors deferring their equity compensation pursuant to the Deferral Plan for Directors: Dr. Soaries holds 4,981 RSUs deliverable six months following the termination of his service and Ms. Caldwell holds, 2,383 RSUs deliverable six months following the termination of her service.</w:t>
      </w:r>
    </w:p>
    <w:p>
      <w:pPr>
        <w:spacing w:after="0" w:line="88" w:lineRule="exact"/>
        <w:rPr>
          <w:rFonts w:ascii="Times New Roman" w:cs="Times New Roman" w:eastAsia="Times New Roman" w:hAnsi="Times New Roman"/>
          <w:sz w:val="28"/>
          <w:szCs w:val="28"/>
          <w:color w:val="auto"/>
          <w:vertAlign w:val="superscript"/>
        </w:rPr>
      </w:pPr>
    </w:p>
    <w:p>
      <w:pPr>
        <w:ind w:left="300" w:hanging="298"/>
        <w:spacing w:after="0"/>
        <w:tabs>
          <w:tab w:leader="none" w:pos="3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Dr. Soaries’ cash compensation included the payment of $60,022 deferred during the 2016-2017 service year pursuant to the Deferral Plan for Directors.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Compensation Committee has the responsibility for determining the form and amount of compensation for our non-management directors. Mr. Messina, our management director, does not receive an annual retainer or any other compensation for his service on the Board of Directors. Non-management directors receive the following compensation for their services on the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Compensation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support of the Company’s cost-cutting initiatives, the Board determined in 2022 to reduce the fees payable for Board service, including reductions in the retainers payable for service as Chair or member of the Board, the Chair or member of the Compensation Committee and member of the Nomination/Governance Committee. In keeping with our continued commitment to cost-cutting, we maintained our reduced fee structure in 2023 and our non-management directors received the following cash compensation, payable in quarterly installments (except as noted below):</w:t>
      </w:r>
    </w:p>
    <w:p>
      <w:pPr>
        <w:spacing w:after="0" w:line="171" w:lineRule="exact"/>
        <w:rPr>
          <w:sz w:val="20"/>
          <w:szCs w:val="20"/>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retainer of $72,000;</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$75,000 to the Lead Independent Director;</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$25,000 to the Audit Committee Chair;</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$20,000 to the Compensation Committee Chair;</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$15,000 to the Nomination/Governance Committee Chair;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$12,500 to all Audit Committee and Risk and Compliance Committee members (other than the Chairs);</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$10,000 to all Compensation Committee members (other than the Chair);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$7,500 to all Nomination/Governance Committee members (other than the Chair).</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Mr. Stein, our Lead Independent Director, did not receive compensation for his service as Risk and Compliance Committee Chair in 2023. Effective for 2024, Lead Independent Director fees will be reduced to $50,000 and Mr. Stein will receive an additional $25,000 for service as Risk and Compliance Committee Chair.</w:t>
      </w:r>
    </w:p>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addition, our non-management directors other than the Lead Independent Director received fees of $1,000 per meeting for each meeting in excess of eight meetings of the Board of Directors and each applicable committee per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Messina does not receive additional compensation for service as either a director or as the Chair of our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At our 2023 Annual Shareholder Meeting, our shareholders approved Amendment No. 2 to the 2021 Equity Incentive Plan (as amended, the 2021 Plan). Following the 2023 Annual Shareholder Meeting, each non-management member of the Board of Directors was granted an award of restricted stock units (RSUs) under the 2021 Plan with a grant date fair value of $120,000 (rounded to the next whole share). The RSUs vest on the one-year anniversary of grant if the director has attended an aggregate of at least 75% of all meetings of the Board of Directors and committees of which the director is a member during such period. Upon vesting, the shares of common stock underlying the RSUs will be issued to the director unless the director has elected to defer delivery in accordance with the Deferral Plan for Directors, as described below. In the event that the director has attended less than an aggregate of at least 75% of all such meetings, such director’s right to ownership will vest on a pro rata basis according to the director’s actual attendance percentage, with the remaining shares forfeited. RSUs are generally non-transferable, confer no voting rights in the underlying shares prior to delivery, and no adjustments will be made for dividends for which the record date is prior to the date of issuance of such shares.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Following our 2024 Annual Shareholder Meeting on May 28, 2024, each non-management member of the Board of Directors serving for the 2024-2025 Board term will be granted an equity award under the 2021 Plan with a grant date fair value of $120,000 (rounded to the next whole share), subject to their election to defer, as described further below. This grant is not dependent on approval of the 2021 Plan Amendment.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Compensation Alignment with Shareholder Value Creation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equity component of our director compensation program aligns the compensation of our directors directly with long-term shareholder value creation. The table below reflects the strong incentive created by our director compensation program to ensure our directors’ compensation is aligned with shareholder value creation. The table below shows the total equity holdings, excluding stock options, of each of our directors as of March 31, 2024, including shares of common stock beneficially owned and vested and unvested restricted stock units. The table provides the value of those shares and restricted stock units based on the closing price of our stock on March 31, 2024 and an illustrative diluted book value per share based on our publicly reported book value as of December 31, 2023.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Value of Total Equity Held by Non-Management Directors </w:t>
      </w:r>
      <w:r>
        <w:rPr>
          <w:rFonts w:ascii="Times New Roman" w:cs="Times New Roman" w:eastAsia="Times New Roman" w:hAnsi="Times New Roman"/>
          <w:sz w:val="28"/>
          <w:szCs w:val="28"/>
          <w:b w:val="1"/>
          <w:bCs w:val="1"/>
          <w:i w:val="1"/>
          <w:iCs w:val="1"/>
          <w:color w:val="auto"/>
          <w:vertAlign w:val="superscript"/>
        </w:rPr>
        <w:t>(1),(2)</w:t>
      </w:r>
    </w:p>
    <w:p>
      <w:pPr>
        <w:spacing w:after="0" w:line="124"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Total Shares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Value at $27.01</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Value at $46.80</w:t>
            </w:r>
          </w:p>
        </w:tc>
      </w:tr>
      <w:tr>
        <w:trPr>
          <w:trHeight w:val="213"/>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80"/>
              <w:spacing w:after="0" w:line="212" w:lineRule="exact"/>
              <w:rPr>
                <w:sz w:val="20"/>
                <w:szCs w:val="20"/>
                <w:color w:val="auto"/>
              </w:rPr>
            </w:pPr>
            <w:r>
              <w:rPr>
                <w:rFonts w:ascii="Times New Roman" w:cs="Times New Roman" w:eastAsia="Times New Roman" w:hAnsi="Times New Roman"/>
                <w:sz w:val="15"/>
                <w:szCs w:val="15"/>
                <w:b w:val="1"/>
                <w:bCs w:val="1"/>
                <w:color w:val="auto"/>
              </w:rPr>
              <w:t>Vested</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5"/>
                <w:szCs w:val="15"/>
                <w:b w:val="1"/>
                <w:bCs w:val="1"/>
                <w:color w:val="auto"/>
              </w:rPr>
              <w:t xml:space="preserve"> and</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Share Price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Fully Diluted</w:t>
            </w:r>
          </w:p>
        </w:tc>
      </w:t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Unvested (as of</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(closing price on</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Book Value Per</w:t>
            </w:r>
          </w:p>
        </w:tc>
      </w:tr>
      <w:tr>
        <w:trPr>
          <w:trHeight w:val="236"/>
        </w:trPr>
        <w:tc>
          <w:tcPr>
            <w:tcW w:w="4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3/31/24)</w:t>
            </w:r>
          </w:p>
        </w:tc>
        <w:tc>
          <w:tcPr>
            <w:tcW w:w="280" w:type="dxa"/>
            <w:vAlign w:val="bottom"/>
          </w:tcPr>
          <w:p>
            <w:pPr>
              <w:spacing w:after="0"/>
              <w:rPr>
                <w:sz w:val="20"/>
                <w:szCs w:val="20"/>
                <w:color w:val="auto"/>
              </w:rPr>
            </w:pPr>
          </w:p>
        </w:tc>
        <w:tc>
          <w:tcPr>
            <w:tcW w:w="1340" w:type="dxa"/>
            <w:vAlign w:val="bottom"/>
          </w:tcPr>
          <w:p>
            <w:pPr>
              <w:jc w:val="center"/>
              <w:ind w:right="195"/>
              <w:spacing w:after="0" w:line="236" w:lineRule="exact"/>
              <w:rPr>
                <w:sz w:val="20"/>
                <w:szCs w:val="20"/>
                <w:color w:val="auto"/>
              </w:rPr>
            </w:pPr>
            <w:r>
              <w:rPr>
                <w:rFonts w:ascii="Times New Roman" w:cs="Times New Roman" w:eastAsia="Times New Roman" w:hAnsi="Times New Roman"/>
                <w:sz w:val="17"/>
                <w:szCs w:val="17"/>
                <w:b w:val="1"/>
                <w:bCs w:val="1"/>
                <w:color w:val="auto"/>
              </w:rPr>
              <w:t>3/31/24)</w:t>
            </w:r>
            <w:r>
              <w:rPr>
                <w:rFonts w:ascii="Times New Roman" w:cs="Times New Roman" w:eastAsia="Times New Roman" w:hAnsi="Times New Roman"/>
                <w:sz w:val="27"/>
                <w:szCs w:val="27"/>
                <w:b w:val="1"/>
                <w:bCs w:val="1"/>
                <w:color w:val="auto"/>
                <w:vertAlign w:val="superscript"/>
              </w:rPr>
              <w:t>(3)</w:t>
            </w:r>
          </w:p>
        </w:tc>
        <w:tc>
          <w:tcPr>
            <w:tcW w:w="260" w:type="dxa"/>
            <w:vAlign w:val="bottom"/>
          </w:tcPr>
          <w:p>
            <w:pPr>
              <w:spacing w:after="0"/>
              <w:rPr>
                <w:sz w:val="20"/>
                <w:szCs w:val="20"/>
                <w:color w:val="auto"/>
              </w:rPr>
            </w:pPr>
          </w:p>
        </w:tc>
        <w:tc>
          <w:tcPr>
            <w:tcW w:w="1440" w:type="dxa"/>
            <w:vAlign w:val="bottom"/>
            <w:gridSpan w:val="2"/>
          </w:tcPr>
          <w:p>
            <w:pPr>
              <w:jc w:val="center"/>
              <w:ind w:right="80"/>
              <w:spacing w:after="0" w:line="236" w:lineRule="exact"/>
              <w:rPr>
                <w:sz w:val="20"/>
                <w:szCs w:val="20"/>
                <w:color w:val="auto"/>
              </w:rPr>
            </w:pPr>
            <w:r>
              <w:rPr>
                <w:rFonts w:ascii="Times New Roman" w:cs="Times New Roman" w:eastAsia="Times New Roman" w:hAnsi="Times New Roman"/>
                <w:sz w:val="17"/>
                <w:szCs w:val="17"/>
                <w:b w:val="1"/>
                <w:bCs w:val="1"/>
                <w:color w:val="auto"/>
                <w:w w:val="94"/>
              </w:rPr>
              <w:t>Share</w:t>
            </w:r>
            <w:r>
              <w:rPr>
                <w:rFonts w:ascii="Times New Roman" w:cs="Times New Roman" w:eastAsia="Times New Roman" w:hAnsi="Times New Roman"/>
                <w:sz w:val="27"/>
                <w:szCs w:val="27"/>
                <w:b w:val="1"/>
                <w:bCs w:val="1"/>
                <w:color w:val="auto"/>
                <w:w w:val="94"/>
                <w:vertAlign w:val="superscript"/>
              </w:rPr>
              <w:t>(4)</w:t>
            </w:r>
          </w:p>
        </w:tc>
      </w:tr>
      <w:tr>
        <w:trPr>
          <w:trHeight w:val="231"/>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20"/>
                <w:szCs w:val="20"/>
                <w:color w:val="auto"/>
              </w:rPr>
            </w:pPr>
          </w:p>
        </w:tc>
        <w:tc>
          <w:tcPr>
            <w:tcW w:w="134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r>
      <w:tr>
        <w:trPr>
          <w:trHeight w:val="205"/>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Alan J. Bowers</w:t>
            </w: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31,385</w:t>
            </w: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847,709</w:t>
            </w:r>
          </w:p>
        </w:tc>
        <w:tc>
          <w:tcPr>
            <w:tcW w:w="2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1,468,818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Jenne K. Britell</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29,222</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789,286</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1,367,590</w:t>
            </w:r>
          </w:p>
        </w:tc>
        <w:tc>
          <w:tcPr>
            <w:tcW w:w="100" w:type="dxa"/>
            <w:vAlign w:val="bottom"/>
          </w:tcPr>
          <w:p>
            <w:pPr>
              <w:spacing w:after="0"/>
              <w:rPr>
                <w:sz w:val="17"/>
                <w:szCs w:val="17"/>
                <w:color w:val="auto"/>
              </w:rPr>
            </w:pPr>
          </w:p>
        </w:tc>
      </w:tr>
      <w:tr>
        <w:trPr>
          <w:trHeight w:val="20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Jacques J. Busquet</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40,218</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1,086,288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1,882,202</w:t>
            </w:r>
          </w:p>
        </w:tc>
        <w:tc>
          <w:tcPr>
            <w:tcW w:w="100" w:type="dxa"/>
            <w:vAlign w:val="bottom"/>
            <w:shd w:val="clear" w:color="auto" w:fill="CCEEFF"/>
          </w:tcPr>
          <w:p>
            <w:pPr>
              <w:spacing w:after="0"/>
              <w:rPr>
                <w:sz w:val="17"/>
                <w:szCs w:val="17"/>
                <w:color w:val="auto"/>
              </w:rPr>
            </w:pPr>
          </w:p>
        </w:tc>
      </w:tr>
      <w:tr>
        <w:trPr>
          <w:trHeight w:val="205"/>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Phyllis R. Caldwell</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40,814</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1,102,386</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1,910,095</w:t>
            </w:r>
          </w:p>
        </w:tc>
        <w:tc>
          <w:tcPr>
            <w:tcW w:w="100" w:type="dxa"/>
            <w:vAlign w:val="bottom"/>
          </w:tcPr>
          <w:p>
            <w:pPr>
              <w:spacing w:after="0"/>
              <w:rPr>
                <w:sz w:val="17"/>
                <w:szCs w:val="17"/>
                <w:color w:val="auto"/>
              </w:rPr>
            </w:pPr>
          </w:p>
        </w:tc>
      </w:tr>
      <w:tr>
        <w:trPr>
          <w:trHeight w:val="20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DeForest B. Soaries, Jr.</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36,607</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988,755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1,713,208</w:t>
            </w:r>
          </w:p>
        </w:tc>
        <w:tc>
          <w:tcPr>
            <w:tcW w:w="100" w:type="dxa"/>
            <w:vAlign w:val="bottom"/>
            <w:shd w:val="clear" w:color="auto" w:fill="CCEEFF"/>
          </w:tcPr>
          <w:p>
            <w:pPr>
              <w:spacing w:after="0"/>
              <w:rPr>
                <w:sz w:val="17"/>
                <w:szCs w:val="17"/>
                <w:color w:val="auto"/>
              </w:rPr>
            </w:pPr>
          </w:p>
        </w:tc>
      </w:tr>
      <w:tr>
        <w:trPr>
          <w:trHeight w:val="205"/>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Stein</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29,222</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789,286</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1,367,590</w:t>
            </w:r>
          </w:p>
        </w:tc>
        <w:tc>
          <w:tcPr>
            <w:tcW w:w="100" w:type="dxa"/>
            <w:vAlign w:val="bottom"/>
          </w:tcPr>
          <w:p>
            <w:pPr>
              <w:spacing w:after="0"/>
              <w:rPr>
                <w:sz w:val="17"/>
                <w:szCs w:val="17"/>
                <w:color w:val="auto"/>
              </w:rPr>
            </w:pPr>
          </w:p>
        </w:tc>
      </w:tr>
      <w:tr>
        <w:trPr>
          <w:trHeight w:val="20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207,468</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5,603,710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9,709,503</w:t>
            </w:r>
          </w:p>
        </w:tc>
        <w:tc>
          <w:tcPr>
            <w:tcW w:w="100" w:type="dxa"/>
            <w:vAlign w:val="bottom"/>
            <w:shd w:val="clear" w:color="auto" w:fill="CCEEFF"/>
          </w:tcPr>
          <w:p>
            <w:pPr>
              <w:spacing w:after="0"/>
              <w:rPr>
                <w:sz w:val="17"/>
                <w:szCs w:val="17"/>
                <w:color w:val="auto"/>
              </w:rPr>
            </w:pPr>
          </w:p>
        </w:tc>
      </w:tr>
    </w:tbl>
    <w:p>
      <w:pPr>
        <w:spacing w:after="0" w:line="176" w:lineRule="exact"/>
        <w:rPr>
          <w:sz w:val="20"/>
          <w:szCs w:val="20"/>
          <w:color w:val="auto"/>
        </w:rPr>
      </w:pPr>
    </w:p>
    <w:p>
      <w:pPr>
        <w:jc w:val="both"/>
        <w:ind w:left="300" w:hanging="298"/>
        <w:spacing w:after="0" w:line="226" w:lineRule="auto"/>
        <w:tabs>
          <w:tab w:leader="none" w:pos="3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Total equity includes shares of common stock beneficially owned by each director serving on the Board of Directors at March 31, 2024 plus unvested restricted stock units. As noted above, restricted stock units valued at $120,000 are granted each year to our directors following our annual meeting of shareholders and vest on the first anniversary of the grant date, unless the director attended less than 75% of all meetings of the Board of Directors during that year, in which case the restricted stock units will be pro-rated based on the director’s actual attendance percentage, with the remainder forfeited. Accordingly, it is possible that all of the restricted stock units shown in the table above may not fully vest.</w:t>
      </w:r>
    </w:p>
    <w:p>
      <w:pPr>
        <w:spacing w:after="0" w:line="2" w:lineRule="exact"/>
        <w:rPr>
          <w:rFonts w:ascii="Times New Roman" w:cs="Times New Roman" w:eastAsia="Times New Roman" w:hAnsi="Times New Roman"/>
          <w:sz w:val="28"/>
          <w:szCs w:val="28"/>
          <w:color w:val="auto"/>
          <w:vertAlign w:val="superscript"/>
        </w:rPr>
      </w:pPr>
    </w:p>
    <w:p>
      <w:pPr>
        <w:jc w:val="both"/>
        <w:ind w:left="300" w:hanging="298"/>
        <w:spacing w:after="0" w:line="206" w:lineRule="auto"/>
        <w:tabs>
          <w:tab w:leader="none" w:pos="3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“Shares Vested” represents shares beneficially owned and shares underlying restricted stock units that have vested and are subject to deferred delivery under our Deferral Plan for Directors, described above. “Shares Unvested” represent restricted stock units granted to a director that have not vested as of March 31, 2024. As of March 31, 2024, each of our directors held 4,424 unvested restricted stock units.</w:t>
      </w:r>
    </w:p>
    <w:p>
      <w:pPr>
        <w:spacing w:after="0" w:line="2" w:lineRule="exact"/>
        <w:rPr>
          <w:rFonts w:ascii="Times New Roman" w:cs="Times New Roman" w:eastAsia="Times New Roman" w:hAnsi="Times New Roman"/>
          <w:sz w:val="28"/>
          <w:szCs w:val="28"/>
          <w:color w:val="auto"/>
          <w:vertAlign w:val="superscript"/>
        </w:rPr>
      </w:pPr>
    </w:p>
    <w:p>
      <w:pPr>
        <w:jc w:val="both"/>
        <w:ind w:left="300" w:hanging="298"/>
        <w:spacing w:after="0" w:line="206" w:lineRule="auto"/>
        <w:tabs>
          <w:tab w:leader="none" w:pos="3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Calculations are based on share price as of March 28, 2024, the last closing price prior to March 31, 2024, and equity holdings as of March 31, 2024. Our future stock price may vary materially from the closing price shown in the table. The closing price per share of our common stock on April 11, 2024 was $24.40 per share.</w:t>
      </w:r>
    </w:p>
    <w:p>
      <w:pPr>
        <w:spacing w:after="0" w:line="2" w:lineRule="exact"/>
        <w:rPr>
          <w:rFonts w:ascii="Times New Roman" w:cs="Times New Roman" w:eastAsia="Times New Roman" w:hAnsi="Times New Roman"/>
          <w:sz w:val="28"/>
          <w:szCs w:val="28"/>
          <w:color w:val="auto"/>
          <w:vertAlign w:val="superscript"/>
        </w:rPr>
      </w:pPr>
    </w:p>
    <w:p>
      <w:pPr>
        <w:jc w:val="both"/>
        <w:ind w:left="300" w:hanging="298"/>
        <w:spacing w:after="0" w:line="227" w:lineRule="auto"/>
        <w:tabs>
          <w:tab w:leader="none" w:pos="30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Calculations are based on March 31, 2024 equity holdings and fully diluted book value per share. Fully diluted book value per share is calculated based on the Company’s most recent publicly reported book value of $401.8 million at December 31, 2023 and 9,230,269 shares, comprised of 7,784,253 shares outstanding and 1,446,016 warrants held by Oaktree as of March 31, 2024. See “Business Relationships and Related Transactions – Relationship with Oaktree”, below. Assumes cashless exercise of Oaktree warrants using 10-day average of Volume Weighted Average Price (10 days ending on preceding day of exercise) on March 31, 2024 of $25.54. Does not give effect to issuance of shares underlying vested and unvested restricted stock units shown in table or stock options with strike prices above current trading prices.</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total shares owned and outstanding units granted to non-management directors as of March 31, 2024 represents 2.7% of the diluted weighted average number (7,635,584) of shares of the Company’s common stock issued and outstanding in the 2023 fiscal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Deferral Plan for Directors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Ocwen Financial Corporation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(or, in the case of directors appointed between annual meetings, within 30 days of appointment), the non-management directors make an election to defer delivery of either all or a portion of the equity portion of their annual compensation for the following grant year. Directors electing to defer receipt of equity will become vested in the shares underlying a deferred equity award and will receive dividend equivalents to the same extent as they would if the original award had not been deferred.</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Each director electing deferral must specify the payment date at the time of election for any shares underlying a deferred award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shares underlying the deferred equity award, or (ii) the shares of common stock underlying the deferred equity award.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Compensation Matters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Compensation Committee from time to time.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each person who currently serves as one of our executive officers. Our executive officers are appointed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1"/>
              </w:rPr>
              <w:t>Age</w:t>
            </w:r>
            <w:r>
              <w:rPr>
                <w:rFonts w:ascii="Times New Roman" w:cs="Times New Roman" w:eastAsia="Times New Roman" w:hAnsi="Times New Roman"/>
                <w:sz w:val="28"/>
                <w:szCs w:val="28"/>
                <w:b w:val="1"/>
                <w:bCs w:val="1"/>
                <w:color w:val="auto"/>
                <w:w w:val="91"/>
                <w:vertAlign w:val="superscript"/>
              </w:rPr>
              <w:t>(1)</w:t>
            </w:r>
          </w:p>
        </w:tc>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r>
              <w:rPr>
                <w:rFonts w:ascii="Times New Roman" w:cs="Times New Roman" w:eastAsia="Times New Roman" w:hAnsi="Times New Roman"/>
                <w:sz w:val="28"/>
                <w:szCs w:val="28"/>
                <w:b w:val="1"/>
                <w:bCs w:val="1"/>
                <w:color w:val="auto"/>
                <w:vertAlign w:val="superscript"/>
              </w:rPr>
              <w:t>(1)</w:t>
            </w:r>
          </w:p>
        </w:tc>
      </w:tr>
      <w:tr>
        <w:trPr>
          <w:trHeight w:val="188"/>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Glen A. Messina</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62</w:t>
            </w:r>
          </w:p>
        </w:tc>
        <w:tc>
          <w:tcPr>
            <w:tcW w:w="220" w:type="dxa"/>
            <w:vAlign w:val="bottom"/>
          </w:tcPr>
          <w:p>
            <w:pPr>
              <w:spacing w:after="0"/>
              <w:rPr>
                <w:sz w:val="16"/>
                <w:szCs w:val="16"/>
                <w:color w:val="auto"/>
              </w:rPr>
            </w:pPr>
          </w:p>
        </w:tc>
        <w:tc>
          <w:tcPr>
            <w:tcW w:w="7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5"/>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2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Servicing Officer</w:t>
            </w:r>
          </w:p>
        </w:tc>
      </w:tr>
      <w:tr>
        <w:trPr>
          <w:trHeight w:val="205"/>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Jenna D. Evans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Risk and Compliance Officer</w:t>
            </w:r>
          </w:p>
        </w:tc>
      </w:tr>
      <w:tr>
        <w:trPr>
          <w:trHeight w:val="205"/>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Francois Grunenwald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Senior Vice President and Chief Accounting Officer</w:t>
            </w:r>
          </w:p>
        </w:tc>
      </w:tr>
      <w:tr>
        <w:trPr>
          <w:trHeight w:val="205"/>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Sean O’Neil</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05"/>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 Andrew Peach</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Originations and Chief Lending Officer</w:t>
            </w:r>
          </w:p>
        </w:tc>
      </w:tr>
      <w:tr>
        <w:trPr>
          <w:trHeight w:val="205"/>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Joseph J. Samarias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Chief Legal Officer and Company Secretary</w:t>
            </w:r>
          </w:p>
        </w:tc>
      </w:tr>
      <w:tr>
        <w:trPr>
          <w:trHeight w:val="205"/>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Aaron D. Wade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Investment Officer</w:t>
            </w:r>
          </w:p>
        </w:tc>
      </w:tr>
      <w:tr>
        <w:trPr>
          <w:trHeight w:val="222"/>
        </w:trPr>
        <w:tc>
          <w:tcPr>
            <w:tcW w:w="2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2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Administrative Officer</w:t>
            </w:r>
          </w:p>
        </w:tc>
      </w:tr>
    </w:tbl>
    <w:p>
      <w:pPr>
        <w:spacing w:after="0" w:line="88" w:lineRule="exact"/>
        <w:rPr>
          <w:sz w:val="20"/>
          <w:szCs w:val="20"/>
          <w:color w:val="auto"/>
        </w:rPr>
      </w:pPr>
    </w:p>
    <w:p>
      <w:pPr>
        <w:ind w:left="300" w:hanging="298"/>
        <w:spacing w:after="0"/>
        <w:tabs>
          <w:tab w:leader="none" w:pos="30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All age and position information set forth herein is as of April 12, 2024.</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principal occupation for at least the last five years, as well as certain other biographical information, for each of our executive officers who is not a director is set forth below.</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W. Anderson. </w:t>
      </w:r>
      <w:r>
        <w:rPr>
          <w:rFonts w:ascii="Times New Roman" w:cs="Times New Roman" w:eastAsia="Times New Roman" w:hAnsi="Times New Roman"/>
          <w:sz w:val="17"/>
          <w:szCs w:val="17"/>
          <w:color w:val="auto"/>
        </w:rPr>
        <w:t>Mr. Anderson has served as Executive Vice President and Chief Servicing Officer since 2009, and his career with Ocwen has spanned over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Jenna D. Evans</w:t>
      </w:r>
      <w:r>
        <w:rPr>
          <w:rFonts w:ascii="Times New Roman" w:cs="Times New Roman" w:eastAsia="Times New Roman" w:hAnsi="Times New Roman"/>
          <w:sz w:val="17"/>
          <w:szCs w:val="17"/>
          <w:color w:val="auto"/>
        </w:rPr>
        <w:t>. Ms. Evans has served as Executive Vice President and Chief Risk and Compliance Officer since October 2022. She also continues to serve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Deputy General Counsel in charge of Regulatory Affairs, a role she has held since October 2016. Prior to joining Ocwen in February 2013, Ms. Evans served as in-house regulatory compliance counsel at GMAC Mortgage, LLC. Earlier in her career, she spent six years in private practice, during which she represented regional banks and other financial services companies. Ms. Evans also serves as the Executive Sponsor of the Ocwen Global Women’s Network, an affinity group aimed at supporting the development of female employees. She holds a Bachelor of Arts degree in Public Relations from Pennsylvania State University, a Juris Doctor from Temple University, and is licensed to practice law in both Pennsylvania and New Jersey.</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Francois Grunenwald</w:t>
      </w:r>
      <w:r>
        <w:rPr>
          <w:rFonts w:ascii="Times New Roman" w:cs="Times New Roman" w:eastAsia="Times New Roman" w:hAnsi="Times New Roman"/>
          <w:sz w:val="17"/>
          <w:szCs w:val="17"/>
          <w:color w:val="auto"/>
        </w:rPr>
        <w:t>. Mr. Grunenwald has served as our Senior Vice President and Chief Accounting Officer since August 2019. Prior to joining Ocwen, he spent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prior 20 years at PricewaterhouseCoopers, where he served in various accounting and financial advisory roles with a focus on financial services clients, including for the last 12 years as a Partner. Mr. Grunenwald is a Certified Public Accountant and holds a Master’s degree in Finance and Banking from the University of Paris II Panthéon-Assas.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Sean B. O’Neil</w:t>
      </w:r>
      <w:r>
        <w:rPr>
          <w:rFonts w:ascii="Times New Roman" w:cs="Times New Roman" w:eastAsia="Times New Roman" w:hAnsi="Times New Roman"/>
          <w:sz w:val="17"/>
          <w:szCs w:val="17"/>
          <w:color w:val="auto"/>
        </w:rPr>
        <w:t>. Mr. O’Neil has served as Executive Vice President and Chief Financial Officer since June 2022. From 2015 until joining Ocwen, Mr. O’Neil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Chief Financial Officer of Bayview Asset Management, LLC. Prior to 2015, he held a number of senior positions at financial institutions, including serving as Group Financial Officer for Wells Fargo, Eastern Community Bank and as Chief Financial Officer for Wachovia’s Wealth Management Group. Mr. O’Neil began his career as a submarine officer in the U.S. Navy. He holds a Master of Business Administration degree from Harvard University and a Bachelor of Science degree in Mechanical Engineering from Pennsylvania State University.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J. Andrew Peach</w:t>
      </w:r>
      <w:r>
        <w:rPr>
          <w:rFonts w:ascii="Times New Roman" w:cs="Times New Roman" w:eastAsia="Times New Roman" w:hAnsi="Times New Roman"/>
          <w:sz w:val="17"/>
          <w:szCs w:val="17"/>
          <w:color w:val="auto"/>
        </w:rPr>
        <w:t>. Mr. Peach has served as Executive Vice President, Originations and Chief Lending Officer since April 2024. From March 2021 through April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he served as Senior Vice President, Correspondent Lending and Business-to-Business Lending, including serving as interim head of Originations from January 2024. Prior to joining Ocwen, Mr. Peach served as Senior Vice President, Correspondent Sales at Mr. Cooper Group from August 2020 through March 2021 and as President and Chief Executive Officer at Waterstone Mortgage Corporation from August 2019 through July 2020. Earlier, he held senior positions at Pacific Union Financial, JP Morgan Chase, Aurora Loan Services and Bank of America. He holds a Bachelor of Science degree in Finance and Marketing from the University of South Carolina.</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Joseph J. Samarias</w:t>
      </w:r>
      <w:r>
        <w:rPr>
          <w:rFonts w:ascii="Times New Roman" w:cs="Times New Roman" w:eastAsia="Times New Roman" w:hAnsi="Times New Roman"/>
          <w:sz w:val="17"/>
          <w:szCs w:val="17"/>
          <w:color w:val="auto"/>
        </w:rPr>
        <w:t>. Mr. Samarias has served as Executive Vice President and Chief Legal Officer since April 2019. He previously served as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Deputy General Counsel of Ocwen since 2013. He also serves as the Company’s Chief Ethics Officer, and was appointed Company Secretary in April 2020. Prior to joining Ocwen, from 2009 to 2013, Mr. Samarias was a senior attorney with the Treasury Department’s Office of Financial Stability (OFS). From 2012 to 2013, he served as Chief Counsel of OFS where he was responsible for directing all legal activities of the Troubled Asset Relief Program, and served as the chief legal advisor to the Assistant Secretary for Financial Stability. Prior to his government service, Mr. Samarias was a litigator with several international law firms from 1997 to 2009. He holds a Bachelor of Arts from Vanderbilt University, a Juris Doctor from Washington University School of Law, and is a member of the bars of the Commonwealth of Virginia and the District of Columbia, as well as a Florida Authorized House Counsel, and a New Jersey In-House Counsel.</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Aaron D. Wade</w:t>
      </w:r>
      <w:r>
        <w:rPr>
          <w:rFonts w:ascii="Times New Roman" w:cs="Times New Roman" w:eastAsia="Times New Roman" w:hAnsi="Times New Roman"/>
          <w:sz w:val="17"/>
          <w:szCs w:val="17"/>
          <w:color w:val="auto"/>
        </w:rPr>
        <w:t>. Mr. Wade has served as Executive Vice President, Chief Investment Officer since December 2022. Previously he served as Ocwen’s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Vice President, Capital Markets since April 2022. From October 2018 until joining Ocwen, Mr. Wade served as Managing Director for various Blackstone portfolio companies, where he was responsible for business development, due diligence, transaction management and servicer oversight for the residential division of Blackstone’s real estate debt business. From 2009 through 2018, he served as Executive Vice President of Mortgage and SBA Lending and Capital Markets for OneWest Bank. Earlier, he managed the capital markets function for IndyMac Bank and LaSalle Bank. Mr. Wade holds a Bachelor’s degree in Business Economics from University of California, Los Angeles.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Dennis Zeleny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Zeleny has served as Executive Vice President and Chief Administrative Officer since August 2019. In that capacity, he oversees Ocwen’s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human resources, communications, information technologies, international operations, facilities, sourcing, enterprise project management office and diversity and inclusion programs. From January through August 2019, Mr. Zeleny served Ocwen as a human resources consultant. From 2012 through 2019, Mr. Zeleny provided executive Human Capital consulting services including as co-CEO of Center on Executive Compensation. He previously held the role of Chief Administrative or Chief Human Resources Officer at Sunoco, Caremark, and DuPont, oversaw global human resources at Honeywell and served 17 years at PepsiCo. Mr. Zeleny also served on the Board of HRPA, Cornell ILR Advisory Board, SXL and SCX, NYSE publicly traded companies. He received a Bachelor of Science from Cornell University and a Master of Science from the Graduate School of Business at Columbia University.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RELATED SHAREHOLDER MATTERS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 of Equity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our common stock as of April 12, 2024 by:</w:t>
      </w:r>
    </w:p>
    <w:p>
      <w:pPr>
        <w:spacing w:after="0" w:line="214" w:lineRule="exact"/>
        <w:rPr>
          <w:sz w:val="20"/>
          <w:szCs w:val="20"/>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director nominees;</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executive officer;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current executive officers as a group.</w:t>
      </w:r>
    </w:p>
    <w:p>
      <w:pPr>
        <w:spacing w:after="0" w:line="1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Each of Ocwen’s directors, director nominees and named executive officers may be reached through Ocwen Corporate Headquarters at 1661 Worthington Road, Suite 100, West Palm Beach, Florida 33409.</w:t>
      </w:r>
    </w:p>
    <w:p>
      <w:pPr>
        <w:spacing w:after="0" w:line="1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following table also sets forth information with respect to each person known by Ocwen to beneficially own more than five percent of the outstanding shares of its common stock.</w:t>
      </w:r>
    </w:p>
    <w:p>
      <w:pPr>
        <w:spacing w:after="0" w:line="1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table is based upon information supplied to us by directors and executive officers and filings under the Securities Exchange Act of 1934, as amended, except where noted. We have based our calculation of the percentage of beneficial ownership on 7,809,618 shares of our common stock outstanding as of April 12, 2024.</w:t>
      </w:r>
    </w:p>
    <w:p>
      <w:pPr>
        <w:spacing w:after="0" w:line="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Shares Beneficially Owned</w:t>
      </w:r>
      <w:r>
        <w:rPr>
          <w:rFonts w:ascii="Times New Roman" w:cs="Times New Roman" w:eastAsia="Times New Roman" w:hAnsi="Times New Roman"/>
          <w:sz w:val="28"/>
          <w:szCs w:val="28"/>
          <w:b w:val="1"/>
          <w:bCs w:val="1"/>
          <w:color w:val="auto"/>
          <w:vertAlign w:val="superscript"/>
        </w:rPr>
        <w:t>(1)</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2"/>
          </w:tcPr>
          <w:p>
            <w:pPr>
              <w:jc w:val="center"/>
              <w:ind w:right="320"/>
              <w:spacing w:after="0" w:line="190" w:lineRule="exact"/>
              <w:rPr>
                <w:sz w:val="20"/>
                <w:szCs w:val="20"/>
                <w:color w:val="auto"/>
              </w:rPr>
            </w:pPr>
            <w:r>
              <w:rPr>
                <w:rFonts w:ascii="Times New Roman" w:cs="Times New Roman" w:eastAsia="Times New Roman" w:hAnsi="Times New Roman"/>
                <w:sz w:val="17"/>
                <w:szCs w:val="17"/>
                <w:b w:val="1"/>
                <w:bCs w:val="1"/>
                <w:color w:val="auto"/>
              </w:rPr>
              <w:t>Amount of Beneficial</w:t>
            </w:r>
          </w:p>
        </w:tc>
        <w:tc>
          <w:tcPr>
            <w:tcW w:w="1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220" w:type="dxa"/>
            <w:vAlign w:val="bottom"/>
          </w:tcPr>
          <w:p>
            <w:pPr>
              <w:spacing w:after="0"/>
              <w:rPr>
                <w:sz w:val="20"/>
                <w:szCs w:val="20"/>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Ownership</w:t>
            </w:r>
          </w:p>
        </w:tc>
        <w:tc>
          <w:tcPr>
            <w:tcW w:w="20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Percent of Class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tcBorders>
              <w:top w:val="single" w:sz="8" w:color="auto"/>
            </w:tcBorders>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Oaktree Holdings, LLC</w:t>
            </w:r>
            <w:r>
              <w:rPr>
                <w:rFonts w:ascii="Times New Roman" w:cs="Times New Roman" w:eastAsia="Times New Roman" w:hAnsi="Times New Roman"/>
                <w:sz w:val="26"/>
                <w:szCs w:val="26"/>
                <w:color w:val="auto"/>
                <w:vertAlign w:val="superscript"/>
              </w:rPr>
              <w:t>(2)</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333 S. Grand Avenue, 28th Floor</w:t>
            </w: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 Angeles, CA 90071</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858,105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Long Focus Capital Management, LLC</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207 Calle Del Parque</w:t>
            </w: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A&amp;M Tower, 8th Floor</w:t>
            </w: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San Juan, PR 00912</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652,088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Howard Amster</w:t>
            </w:r>
            <w:r>
              <w:rPr>
                <w:rFonts w:ascii="Times New Roman" w:cs="Times New Roman" w:eastAsia="Times New Roman" w:hAnsi="Times New Roman"/>
                <w:sz w:val="26"/>
                <w:szCs w:val="26"/>
                <w:color w:val="auto"/>
                <w:vertAlign w:val="superscript"/>
              </w:rPr>
              <w:t>(4)</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7681 Olympia Drive</w:t>
            </w: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West Palm Beach, FL 33411</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616,706</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Deer Park Road Management Company, LP</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1195 Bangtail Way</w:t>
            </w: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Steamboat Springs, CO 80487</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577,921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6"/>
                <w:szCs w:val="26"/>
                <w:color w:val="auto"/>
                <w:vertAlign w:val="superscript"/>
              </w:rPr>
              <w:t>(6)</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50 Hudson Yards</w:t>
            </w: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10001</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482,146</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Roberto Marco Sella</w:t>
            </w:r>
            <w:r>
              <w:rPr>
                <w:rFonts w:ascii="Times New Roman" w:cs="Times New Roman" w:eastAsia="Times New Roman" w:hAnsi="Times New Roman"/>
                <w:sz w:val="26"/>
                <w:szCs w:val="26"/>
                <w:color w:val="auto"/>
                <w:vertAlign w:val="superscript"/>
              </w:rPr>
              <w:t>(7)</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2400 Market Street, Suite 3022</w:t>
            </w: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Philadelphia, PA 19103</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454,767</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2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Scott W. Anderson</w:t>
            </w:r>
            <w:r>
              <w:rPr>
                <w:rFonts w:ascii="Times New Roman" w:cs="Times New Roman" w:eastAsia="Times New Roman" w:hAnsi="Times New Roman"/>
                <w:sz w:val="28"/>
                <w:szCs w:val="28"/>
                <w:color w:val="auto"/>
                <w:vertAlign w:val="superscript"/>
              </w:rPr>
              <w:t>(8)</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29,598</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Alan J. Bowers</w:t>
            </w:r>
            <w:r>
              <w:rPr>
                <w:rFonts w:ascii="Times New Roman" w:cs="Times New Roman" w:eastAsia="Times New Roman" w:hAnsi="Times New Roman"/>
                <w:sz w:val="28"/>
                <w:szCs w:val="28"/>
                <w:color w:val="auto"/>
                <w:vertAlign w:val="superscript"/>
              </w:rPr>
              <w:t>(9)</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31,385</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Jenne K. Britell</w:t>
            </w:r>
            <w:r>
              <w:rPr>
                <w:rFonts w:ascii="Times New Roman" w:cs="Times New Roman" w:eastAsia="Times New Roman" w:hAnsi="Times New Roman"/>
                <w:sz w:val="28"/>
                <w:szCs w:val="28"/>
                <w:color w:val="auto"/>
                <w:vertAlign w:val="superscript"/>
              </w:rPr>
              <w:t>(10)</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29,222</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Jacques J. Busquet</w:t>
            </w:r>
            <w:r>
              <w:rPr>
                <w:rFonts w:ascii="Times New Roman" w:cs="Times New Roman" w:eastAsia="Times New Roman" w:hAnsi="Times New Roman"/>
                <w:sz w:val="28"/>
                <w:szCs w:val="28"/>
                <w:color w:val="auto"/>
                <w:vertAlign w:val="superscript"/>
              </w:rPr>
              <w:t>(11)</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40,218</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Phyllis R. Caldwell</w:t>
            </w:r>
            <w:r>
              <w:rPr>
                <w:rFonts w:ascii="Times New Roman" w:cs="Times New Roman" w:eastAsia="Times New Roman" w:hAnsi="Times New Roman"/>
                <w:sz w:val="28"/>
                <w:szCs w:val="28"/>
                <w:color w:val="auto"/>
                <w:vertAlign w:val="superscript"/>
              </w:rPr>
              <w:t>(12)</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34,007</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George T. Henley</w:t>
            </w:r>
            <w:r>
              <w:rPr>
                <w:rFonts w:ascii="Times New Roman" w:cs="Times New Roman" w:eastAsia="Times New Roman" w:hAnsi="Times New Roman"/>
                <w:sz w:val="28"/>
                <w:szCs w:val="28"/>
                <w:color w:val="auto"/>
                <w:vertAlign w:val="superscript"/>
              </w:rPr>
              <w:t>(13)</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20,390</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Claudia J. Merkle</w:t>
            </w:r>
            <w:r>
              <w:rPr>
                <w:rFonts w:ascii="Times New Roman" w:cs="Times New Roman" w:eastAsia="Times New Roman" w:hAnsi="Times New Roman"/>
                <w:sz w:val="28"/>
                <w:szCs w:val="28"/>
                <w:color w:val="auto"/>
                <w:vertAlign w:val="superscript"/>
              </w:rPr>
              <w:t>(14)</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642</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Glen A. Messina</w:t>
            </w:r>
            <w:r>
              <w:rPr>
                <w:rFonts w:ascii="Times New Roman" w:cs="Times New Roman" w:eastAsia="Times New Roman" w:hAnsi="Times New Roman"/>
                <w:sz w:val="28"/>
                <w:szCs w:val="28"/>
                <w:color w:val="auto"/>
                <w:vertAlign w:val="superscript"/>
              </w:rPr>
              <w:t>(15)</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299,277</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Sean B. O’Neil</w:t>
            </w:r>
            <w:r>
              <w:rPr>
                <w:rFonts w:ascii="Times New Roman" w:cs="Times New Roman" w:eastAsia="Times New Roman" w:hAnsi="Times New Roman"/>
                <w:sz w:val="28"/>
                <w:szCs w:val="28"/>
                <w:color w:val="auto"/>
                <w:vertAlign w:val="superscript"/>
              </w:rPr>
              <w:t>(16)</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12,765</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DeForest B. Soaries, Jr.</w:t>
            </w:r>
            <w:r>
              <w:rPr>
                <w:rFonts w:ascii="Times New Roman" w:cs="Times New Roman" w:eastAsia="Times New Roman" w:hAnsi="Times New Roman"/>
                <w:sz w:val="28"/>
                <w:szCs w:val="28"/>
                <w:color w:val="auto"/>
                <w:vertAlign w:val="superscript"/>
              </w:rPr>
              <w:t>(17)</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31,626</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Kevin Stein</w:t>
            </w:r>
            <w:r>
              <w:rPr>
                <w:rFonts w:ascii="Times New Roman" w:cs="Times New Roman" w:eastAsia="Times New Roman" w:hAnsi="Times New Roman"/>
                <w:sz w:val="28"/>
                <w:szCs w:val="28"/>
                <w:color w:val="auto"/>
                <w:vertAlign w:val="superscript"/>
              </w:rPr>
              <w:t>(18)</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29,222</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Dennis Zeleny</w:t>
            </w:r>
            <w:r>
              <w:rPr>
                <w:rFonts w:ascii="Times New Roman" w:cs="Times New Roman" w:eastAsia="Times New Roman" w:hAnsi="Times New Roman"/>
                <w:sz w:val="28"/>
                <w:szCs w:val="28"/>
                <w:color w:val="auto"/>
                <w:vertAlign w:val="superscript"/>
              </w:rPr>
              <w:t>(19)</w:t>
            </w:r>
          </w:p>
        </w:tc>
        <w:tc>
          <w:tcPr>
            <w:tcW w:w="24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13,646</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All Current Directors and Executive Officers as a Group (16 persons)</w:t>
            </w:r>
            <w:r>
              <w:rPr>
                <w:rFonts w:ascii="Times New Roman" w:cs="Times New Roman" w:eastAsia="Times New Roman" w:hAnsi="Times New Roman"/>
                <w:sz w:val="28"/>
                <w:szCs w:val="28"/>
                <w:color w:val="auto"/>
                <w:vertAlign w:val="superscript"/>
              </w:rPr>
              <w:t>(20)</w:t>
            </w:r>
          </w:p>
        </w:tc>
        <w:tc>
          <w:tcPr>
            <w:tcW w:w="2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571,820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   Less than 1%</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00" w:hanging="298"/>
        <w:spacing w:after="0" w:line="221" w:lineRule="auto"/>
        <w:tabs>
          <w:tab w:leader="none" w:pos="30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purposes of this table, an individual is considered the beneficial owner of shares of common stock if he or she has the right to acquire such common stock within 60 days of April 12, 2024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both"/>
        <w:ind w:left="300" w:hanging="298"/>
        <w:spacing w:after="0" w:line="245" w:lineRule="auto"/>
        <w:tabs>
          <w:tab w:leader="none" w:pos="30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Oaktree Holdings, LLC (Oaktree): On March 4, 2021, the Company issued 1,184,768 warrants to affiliates of Oaktree, and on May 3, 2021, the Company issued an additional 261,248 warrants to affiliates of Oaktree, pursuant to agreements between the Company and affiliates of Oaktree which provide that the warrants cannot be exercised to the extent that affiliates of Oaktree would beneficially own in excess of 9.9% of the Company’s outstanding stock following such issuance (the Ownership Cap) without 61 days advance notice. Oaktree’s beneficial ownership is reported in the table above as the Ownership Cap as of April 12, 2024, which is based on an aggregate of 8,667,723 shares of the Company, consisting of (i) 7,809,618 of the Company’s shares outstanding as of April 12, 2024 and (ii) warrants to purchase 858,105 of the Company’s shares. Oaktree Holdings, LLC jointly filed a Schedule 13G/A with the Securities and Exchange Commission on February 14, 2024, reporting securities deemed to be beneficially owned as of December 31, 2023, representing the number of shares it would own under the Ownership Cap based on the number of shares of common stock of the Company outstanding as of December 31, 2023, with the following Reporting Persons: Opps OCW Holdings, LLC, a Delaware limited liability company (Opps OCW Holdings), in its capacity as the direct owner of an aggregate of shares and warrants exercisable to the extent of the Ownership Cap; ROF8 OCW MAV PT, LLC, a Delaware limited partnership (ROF8), in its capacity as the direct owner of an aggregate of shares and warrants exercisable to the extent of the Ownership Cap; Oaktree Fund GP, LLC, a Delaware limited liability company (Fund GP), in its capacity as the manager of Opps OCW Holdings and ROF8; Oaktree Fund GP I, L.P., a Delaware limited partnership (GP I), in its capacity as the managing member of Fund GP;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Group, LLC, a Delaware limited liability company (OCG), in its capacity as the indirect manager of Opps OCW Holdings and ROF8; Oaktree Capital Group Holdings GP, LLC, a Delaware limited liability company (OCGH GP), in its capacity as the indirect owner of the class B units of OCG; Brookfield Corporation., an Ontario corporation (BAM), in its capacity as the indirect owner of the class A units of OCG; and BAM Partners Trust, a trust established under the laws of Ontario (BAM Partnership), in its capacity as the sole owner of Class B Limited Voting Shares of BAM. The principal business address of each of the Reporting Persons other than BAM, BAM Partnership and BAM Partners is 333 S. Grand Avenue, 28th Floor, Los Angeles, CA 90071. The principal business address of BAM, BAM Partnership and BAM Partners is Brookfield Place, Suite 300, 181 Bay Street, P.O. Box 762, Toronto, Ontario, Canada M5J 2T3.</w:t>
      </w:r>
    </w:p>
    <w:p>
      <w:pPr>
        <w:spacing w:after="0" w:line="187" w:lineRule="exact"/>
        <w:rPr>
          <w:rFonts w:ascii="Times New Roman" w:cs="Times New Roman" w:eastAsia="Times New Roman" w:hAnsi="Times New Roman"/>
          <w:sz w:val="28"/>
          <w:szCs w:val="28"/>
          <w:color w:val="auto"/>
          <w:vertAlign w:val="superscript"/>
        </w:rPr>
      </w:pPr>
    </w:p>
    <w:p>
      <w:pPr>
        <w:jc w:val="both"/>
        <w:ind w:left="300" w:hanging="298"/>
        <w:spacing w:after="0" w:line="236" w:lineRule="auto"/>
        <w:tabs>
          <w:tab w:leader="none" w:pos="30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Long Focus Capital Management, LLC: Based solely on information contained in a Schedule 13G/A filed with the Securities and Exchange Commission on February 14, 2024 reporting securities beneficially owned as of December 31, 2023, by Long Focus Capital Management, LLC (LFCM LLC), a Delaware single member limited liability company; Long Focus Capital Master, LTD. (LFCM LTD), a Cayman Islands limited company; Condagua, LLC, a Delaware single member limited liability company; John B. Helmers, a United States citizen; and A. Glenn Helmers, a United States citizen, each of LFCM LLC and John B. Helmers reports shared voting and dispositive power of 652,088 shares, LFCM LTD reports shared voting and dispositive power of 309,964 shares, and each of Condagua, LLC and A. Glenn Helmers reports shared voting and dispositive power of 342,124 shares. LFCM LLC, John B. Helmers and A. Glenn Helmers directly own no common stock. Pursuant to an investment management agreement, LFCM LLC maintains investment and voting power with respect to the securities held by LFCM LTD. John B. Helmers controls LFCM, LLC, and has investment and voting power with respect to Condagua, LLC. A. Glenn Helmers controls Condagua, LLC.</w:t>
      </w:r>
    </w:p>
    <w:p>
      <w:pPr>
        <w:spacing w:after="0" w:line="194" w:lineRule="exact"/>
        <w:rPr>
          <w:rFonts w:ascii="Times New Roman" w:cs="Times New Roman" w:eastAsia="Times New Roman" w:hAnsi="Times New Roman"/>
          <w:sz w:val="28"/>
          <w:szCs w:val="28"/>
          <w:color w:val="auto"/>
          <w:vertAlign w:val="superscript"/>
        </w:rPr>
      </w:pPr>
    </w:p>
    <w:p>
      <w:pPr>
        <w:jc w:val="both"/>
        <w:ind w:left="300" w:hanging="298"/>
        <w:spacing w:after="0" w:line="242" w:lineRule="auto"/>
        <w:tabs>
          <w:tab w:leader="none" w:pos="30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Amster: Based solely on information contained in a Schedule 13D/A filed with the Securities and Exchange Commission on January 25, 2023 reporting securities beneficially owned as of January 17, 2023, Mr. Amster reports sole voting and dispositive power of 282,920 shares and shared voting and dispositive power of 333,786 shares, Pleasant Lake Skoien Investments LLC reports sole voting and dispositive power of 8,818 shares and shared voting and dispositive power of 607,888 shares; Pleasant Lake Apts. Limited Partnership reports sole voting and dispositive power of 31,700 shares and shared voting and dispositive power of 585,006 shares; Howard Amster 2019 Charitable Remainder Unitrust #1 reports sole voting and dispositive power of 1,692 shares and shared voting and dispositive power of 615,014 shares; Howard Amster 2019 Charitable Remainder Unitrust #2 reports sole voting and dispositive power of 439 shares and shared voting and dispositive power of 616,267 shares; Howard Amster 2019 Charitable Remainder Unitrust #5 reports sole voting and dispositive power of 5,635 shares and shared voting and dispositive power of 611,071 shares; Amster Limited Partnership reports sole voting and dispositive power of 13,650 shares and shared voting and dispositive power of 603,056 shares; Laughlin Holdings LLC reports sole voting and dispositive power of 38,377 shares and shared voting and dispositive power of 578,329 shares; Ramat Securities Ltd. reports sole voting and dispositive power of 199,007 shares and shared voting and dispositive power of 417,699 shares; Pleasant Lakes Apartments Corp. reports sole voting and dispositive power of 157 shares and shared voting and dispositive power of 616,549 shares; Howard Amster 2019 Charitable Remainder Unitrust #3 reports sole voting and dispositive power of 34,262 shares and shared voting and dispositive power of 582,444 shares; and Howard Amster Charitable Remainder Unitrust U/A DTD 04/22/1998 reports sole voting and dispositive power of 49 shares and shared voting and dispositive power of 616,657 shares.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ind w:left="300" w:hanging="298"/>
        <w:spacing w:after="0" w:line="235" w:lineRule="auto"/>
        <w:tabs>
          <w:tab w:leader="none" w:pos="3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Deer Park Road Management Company, LP: Based solely on information contained in a Schedule 13G/A filed with the Securities and Exchange Commission on February 14, 2024, reporting securities deemed to be beneficially owned as of December 31, 2023, by Deer Park Road Management Company, LP (Deer Park); Deer Park Road Management GP, LLC (DPRM); Deer Park Road Corporation (DPRC); Michael Craig-Scheckman; AgateCreek LLC (AgateCreek); and Scott Edward Burg, each of which reports shared voting and dispositive power of 577,921 shares held for the account of STS Master Fund, Ltd. (STS Master Fund), which is an exempted company organized under the laws of the Cayman Islands. Deer Park serves as investment adviser to the STS Master Fund and, in such capacity, exercises voting and investment power over the shares held in the account for the STS Master Fund. DPRM is the general partner of Deer Park. Each of DPRC and AgateCreek is a member of DPRM. Mr. Craig-Scheckman is the Chief Executive Officer of each of Deer Park and DPRC and the majority owner of DPRC. Mr. Burg is the Chief Investment Officer of Deer Park and the sole member of AgateCreek.</w:t>
      </w:r>
    </w:p>
    <w:p>
      <w:pPr>
        <w:spacing w:after="0" w:line="188" w:lineRule="exact"/>
        <w:rPr>
          <w:rFonts w:ascii="Times New Roman" w:cs="Times New Roman" w:eastAsia="Times New Roman" w:hAnsi="Times New Roman"/>
          <w:sz w:val="28"/>
          <w:szCs w:val="28"/>
          <w:color w:val="auto"/>
          <w:vertAlign w:val="superscript"/>
        </w:rPr>
      </w:pPr>
    </w:p>
    <w:p>
      <w:pPr>
        <w:jc w:val="both"/>
        <w:ind w:left="300" w:hanging="298"/>
        <w:spacing w:after="0" w:line="226" w:lineRule="auto"/>
        <w:tabs>
          <w:tab w:leader="none" w:pos="3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BlackRock, Inc.: Based solely on information contained in a Schedule 13G filed with the Securities and Exchange Commission on February 6, 2024, reporting securities deemed to be beneficially owned as of December 31, 2023, by BlackRock, Inc. Pursuant to the Schedule 13G, BlackRock, Inc. has sole voting power of 473,456 shares and sole dispositive power of 482,146 shares and is reporting beneficial ownership of the shares as the parent holding company or control person of Aperio Group, LLC, BlackRock Advisors, LLC, BlackRock Fund Advisors, BlackRock Institutional Trust Company, National Association, BlackRock Financial Management, Inc. and BlackRock Investment Management, LLC.</w:t>
      </w:r>
    </w:p>
    <w:p>
      <w:pPr>
        <w:spacing w:after="0" w:line="189" w:lineRule="exact"/>
        <w:rPr>
          <w:rFonts w:ascii="Times New Roman" w:cs="Times New Roman" w:eastAsia="Times New Roman" w:hAnsi="Times New Roman"/>
          <w:sz w:val="28"/>
          <w:szCs w:val="28"/>
          <w:color w:val="auto"/>
          <w:vertAlign w:val="superscript"/>
        </w:rPr>
      </w:pPr>
    </w:p>
    <w:p>
      <w:pPr>
        <w:jc w:val="both"/>
        <w:ind w:left="300" w:hanging="298"/>
        <w:spacing w:after="0" w:line="230" w:lineRule="auto"/>
        <w:tabs>
          <w:tab w:leader="none" w:pos="3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Sella: Based solely on information contained in a Schedule 13G/A filed with the Securities and Exchange Commission on February 6, 2020 reporting securities beneficially owned as of December 31, 2019, Mr. Sella reports sole voting and dispositive power with respect to 432,028 shares, consisting of 409,289 shares held of record by Roberto Marco Sella and 22,739 shares held of record by LL Charitable Foundation, of which Mr. Sella serves as President. Mr. Sella reports shared voting and dispositive power with respect to 22,739 shares held of record by the Roberto Sella 2012 Family Trust (the Trust). Francine Sella, Mr. Sella’s spouse, and Mr. Sella’s minor children are beneficiaries of the Trust. Francine Sella is a co-trustee of the Trust and in such capacity, Francine Sella has voting power over and power to dispose of the 22,739 shares of Common Stock held by the Trust. Mr. Sella is not a beneficiary of the Trust.</w:t>
      </w:r>
    </w:p>
    <w:p>
      <w:pPr>
        <w:spacing w:after="0" w:line="188" w:lineRule="exact"/>
        <w:rPr>
          <w:rFonts w:ascii="Times New Roman" w:cs="Times New Roman" w:eastAsia="Times New Roman" w:hAnsi="Times New Roman"/>
          <w:sz w:val="28"/>
          <w:szCs w:val="28"/>
          <w:color w:val="auto"/>
          <w:vertAlign w:val="superscript"/>
        </w:rPr>
      </w:pPr>
    </w:p>
    <w:p>
      <w:pPr>
        <w:ind w:left="300" w:hanging="298"/>
        <w:spacing w:after="0" w:line="198" w:lineRule="auto"/>
        <w:tabs>
          <w:tab w:leader="none" w:pos="3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Anderson serves as Executive Vice President and Chief Servicing Officer. Includes shares underlying 3,685 options which are presently exercisable and 1,125 options which could become exercisable within 60 days of April 12, 2024.</w:t>
      </w:r>
    </w:p>
    <w:p>
      <w:pPr>
        <w:spacing w:after="0" w:line="187" w:lineRule="exact"/>
        <w:rPr>
          <w:rFonts w:ascii="Times New Roman" w:cs="Times New Roman" w:eastAsia="Times New Roman" w:hAnsi="Times New Roman"/>
          <w:sz w:val="28"/>
          <w:szCs w:val="28"/>
          <w:color w:val="auto"/>
          <w:vertAlign w:val="superscript"/>
        </w:rPr>
      </w:pPr>
    </w:p>
    <w:p>
      <w:pPr>
        <w:ind w:left="300" w:hanging="298"/>
        <w:spacing w:after="0" w:line="198" w:lineRule="auto"/>
        <w:tabs>
          <w:tab w:leader="none" w:pos="3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Bowers serves as a director. Includes shares underlying 4,424 RSUs which will vest May 23, 2024 subject to certain conditions relating to the individual’s service as a director.</w:t>
      </w:r>
    </w:p>
    <w:p>
      <w:pPr>
        <w:spacing w:after="0" w:line="187" w:lineRule="exact"/>
        <w:rPr>
          <w:rFonts w:ascii="Times New Roman" w:cs="Times New Roman" w:eastAsia="Times New Roman" w:hAnsi="Times New Roman"/>
          <w:sz w:val="28"/>
          <w:szCs w:val="28"/>
          <w:color w:val="auto"/>
          <w:vertAlign w:val="superscript"/>
        </w:rPr>
      </w:pPr>
    </w:p>
    <w:p>
      <w:pPr>
        <w:ind w:left="300" w:hanging="298"/>
        <w:spacing w:after="0" w:line="212" w:lineRule="auto"/>
        <w:tabs>
          <w:tab w:leader="none" w:pos="30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Dr. Britell serves as a director. Includes shares underlying 4,424 RSUs which will vest May 23, 2024 subject to certain conditions relating to the individual’s service as a director. Also includes 3,000 shares held by trust.</w:t>
      </w:r>
    </w:p>
    <w:p>
      <w:pPr>
        <w:spacing w:after="0" w:line="188" w:lineRule="exact"/>
        <w:rPr>
          <w:rFonts w:ascii="Times New Roman" w:cs="Times New Roman" w:eastAsia="Times New Roman" w:hAnsi="Times New Roman"/>
          <w:sz w:val="26"/>
          <w:szCs w:val="26"/>
          <w:color w:val="auto"/>
          <w:vertAlign w:val="superscript"/>
        </w:rPr>
      </w:pPr>
    </w:p>
    <w:p>
      <w:pPr>
        <w:ind w:left="300" w:hanging="298"/>
        <w:spacing w:after="0" w:line="212" w:lineRule="auto"/>
        <w:tabs>
          <w:tab w:leader="none" w:pos="30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Busquet serves as a director. Includes shares underlying 4,424 RSUs which will vest May 23, 2024 subject to certain conditions relating to the individual’s service as a director. Also includes 1,000 shares held jointly with spouse.</w:t>
      </w:r>
    </w:p>
    <w:p>
      <w:pPr>
        <w:spacing w:after="0" w:line="188" w:lineRule="exact"/>
        <w:rPr>
          <w:rFonts w:ascii="Times New Roman" w:cs="Times New Roman" w:eastAsia="Times New Roman" w:hAnsi="Times New Roman"/>
          <w:sz w:val="26"/>
          <w:szCs w:val="26"/>
          <w:color w:val="auto"/>
          <w:vertAlign w:val="superscript"/>
        </w:rPr>
      </w:pPr>
    </w:p>
    <w:p>
      <w:pPr>
        <w:jc w:val="both"/>
        <w:ind w:left="300" w:hanging="298"/>
        <w:spacing w:after="0"/>
        <w:tabs>
          <w:tab w:leader="none" w:pos="30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Ms. Caldwell serves as a director. Does not include shares underlying 2,383 vested RSUs and 4,424 RSUs which will vest May 23, 2024 subject to certain conditions, in each case which are not settleable until the six-month anniversary of the director’s termination of service. Ms. Caldwell is not standing for re-election.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300" w:hanging="298"/>
        <w:spacing w:after="0"/>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Henley served as Executive Vice President and Chief Growth Officer through December 31, 2023. All shares held jointly with spouse.</w:t>
      </w:r>
    </w:p>
    <w:p>
      <w:pPr>
        <w:spacing w:after="0" w:line="187" w:lineRule="exact"/>
        <w:rPr>
          <w:rFonts w:ascii="Times New Roman" w:cs="Times New Roman" w:eastAsia="Times New Roman" w:hAnsi="Times New Roman"/>
          <w:sz w:val="26"/>
          <w:szCs w:val="26"/>
          <w:color w:val="auto"/>
          <w:vertAlign w:val="superscript"/>
        </w:rPr>
      </w:pPr>
    </w:p>
    <w:p>
      <w:pPr>
        <w:ind w:left="300" w:hanging="298"/>
        <w:spacing w:after="0" w:line="212" w:lineRule="auto"/>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Ms. Merkle serves as a director. Consists of shares underlying 642 RSUs which will vest May 23, 2024 subject to certain conditions relating to the individual’s service as a director. Ms. Merkle joined the Board April 1, 2024.</w:t>
      </w:r>
    </w:p>
    <w:p>
      <w:pPr>
        <w:spacing w:after="0" w:line="188" w:lineRule="exact"/>
        <w:rPr>
          <w:rFonts w:ascii="Times New Roman" w:cs="Times New Roman" w:eastAsia="Times New Roman" w:hAnsi="Times New Roman"/>
          <w:sz w:val="26"/>
          <w:szCs w:val="26"/>
          <w:color w:val="auto"/>
          <w:vertAlign w:val="superscript"/>
        </w:rPr>
      </w:pPr>
    </w:p>
    <w:p>
      <w:pPr>
        <w:ind w:left="300" w:hanging="298"/>
        <w:spacing w:after="0" w:line="212" w:lineRule="auto"/>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Messina serves as Chair of the Board, President, and Chief Executive Officer. Includes shares underlying 17,799 options which are presently exercisable. Also includes 23,554 shares held jointly with spouse.</w:t>
      </w:r>
    </w:p>
    <w:p>
      <w:pPr>
        <w:spacing w:after="0" w:line="111" w:lineRule="exact"/>
        <w:rPr>
          <w:rFonts w:ascii="Times New Roman" w:cs="Times New Roman" w:eastAsia="Times New Roman" w:hAnsi="Times New Roman"/>
          <w:sz w:val="26"/>
          <w:szCs w:val="26"/>
          <w:color w:val="auto"/>
          <w:vertAlign w:val="superscript"/>
        </w:rPr>
      </w:pPr>
    </w:p>
    <w:p>
      <w:pPr>
        <w:ind w:left="300" w:hanging="298"/>
        <w:spacing w:after="0"/>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O’Neil serves as Executive Vice President and Chief Financial Officer.</w:t>
      </w:r>
    </w:p>
    <w:p>
      <w:pPr>
        <w:spacing w:after="0" w:line="187" w:lineRule="exact"/>
        <w:rPr>
          <w:rFonts w:ascii="Times New Roman" w:cs="Times New Roman" w:eastAsia="Times New Roman" w:hAnsi="Times New Roman"/>
          <w:sz w:val="26"/>
          <w:szCs w:val="26"/>
          <w:color w:val="auto"/>
          <w:vertAlign w:val="superscript"/>
        </w:rPr>
      </w:pPr>
    </w:p>
    <w:p>
      <w:pPr>
        <w:jc w:val="both"/>
        <w:ind w:left="300" w:hanging="298"/>
        <w:spacing w:after="0"/>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Dr. Soaries serves as a director. Includes shares underlying 4,424 RSUs which will vest May 23, 2024 subject to certain conditions relating to the individual’s service as a director. Does not include 4,981 shares underlying vested RSUs which are not settleable until the six-month anniversary of the director’s termination of service.</w:t>
      </w:r>
    </w:p>
    <w:p>
      <w:pPr>
        <w:spacing w:after="0" w:line="336" w:lineRule="exact"/>
        <w:rPr>
          <w:rFonts w:ascii="Times New Roman" w:cs="Times New Roman" w:eastAsia="Times New Roman" w:hAnsi="Times New Roman"/>
          <w:sz w:val="26"/>
          <w:szCs w:val="26"/>
          <w:color w:val="auto"/>
          <w:vertAlign w:val="superscript"/>
        </w:rPr>
      </w:pPr>
    </w:p>
    <w:p>
      <w:pPr>
        <w:ind w:left="300" w:hanging="298"/>
        <w:spacing w:after="0" w:line="212" w:lineRule="auto"/>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Stein serves as a director. Includes shares underlying 4,424 RSUs which will vest May 23, 2024 subject to certain conditions relating to the individual’s service as a director. Also includes 24,798 shares held by trust.</w:t>
      </w:r>
    </w:p>
    <w:p>
      <w:pPr>
        <w:spacing w:after="0" w:line="111" w:lineRule="exact"/>
        <w:rPr>
          <w:rFonts w:ascii="Times New Roman" w:cs="Times New Roman" w:eastAsia="Times New Roman" w:hAnsi="Times New Roman"/>
          <w:sz w:val="26"/>
          <w:szCs w:val="26"/>
          <w:color w:val="auto"/>
          <w:vertAlign w:val="superscript"/>
        </w:rPr>
      </w:pPr>
    </w:p>
    <w:p>
      <w:pPr>
        <w:ind w:left="300" w:hanging="298"/>
        <w:spacing w:after="0"/>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Zeleny serves as Executive Vice President and Chief Administrative Officer.</w:t>
      </w:r>
    </w:p>
    <w:p>
      <w:pPr>
        <w:spacing w:after="0" w:line="187" w:lineRule="exact"/>
        <w:rPr>
          <w:rFonts w:ascii="Times New Roman" w:cs="Times New Roman" w:eastAsia="Times New Roman" w:hAnsi="Times New Roman"/>
          <w:sz w:val="26"/>
          <w:szCs w:val="26"/>
          <w:color w:val="auto"/>
          <w:vertAlign w:val="superscript"/>
        </w:rPr>
      </w:pPr>
    </w:p>
    <w:p>
      <w:pPr>
        <w:jc w:val="both"/>
        <w:ind w:left="300" w:hanging="298"/>
        <w:spacing w:after="0" w:line="212" w:lineRule="auto"/>
        <w:tabs>
          <w:tab w:leader="none" w:pos="30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19,484 shares and shares underlying 728 stock options which are presently exercisable held by Jenna D. Evans, Francois Grunenwald, J. Andrew Peach, Joseph J. Samarias, and Aaron Wade who are current executive officers but not Named Executive Officers. Does not include shares held by Mr. Henley.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 of securities</w:t>
            </w:r>
          </w:p>
        </w:tc>
      </w:tr>
      <w:tr>
        <w:trPr>
          <w:trHeight w:val="205"/>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Number of securities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remaining available</w:t>
            </w:r>
          </w:p>
        </w:tc>
      </w:tr>
      <w:tr>
        <w:trPr>
          <w:trHeight w:val="205"/>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05"/>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be issued upon exercise</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exercise price of</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future issuance under</w:t>
            </w:r>
          </w:p>
        </w:tc>
      </w:tr>
      <w:tr>
        <w:trPr>
          <w:trHeight w:val="205"/>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of outstanding options,</w:t>
            </w: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outstanding options,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equity compensation</w:t>
            </w:r>
          </w:p>
        </w:tc>
      </w:tr>
      <w:tr>
        <w:trPr>
          <w:trHeight w:val="213"/>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warrants and rights</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warrants and rights</w:t>
            </w:r>
          </w:p>
        </w:tc>
        <w:tc>
          <w:tcPr>
            <w:tcW w:w="1760" w:type="dxa"/>
            <w:vAlign w:val="bottom"/>
            <w:gridSpan w:val="2"/>
          </w:tcPr>
          <w:p>
            <w:pPr>
              <w:jc w:val="center"/>
              <w:ind w:right="100"/>
              <w:spacing w:after="0" w:line="212" w:lineRule="exact"/>
              <w:rPr>
                <w:sz w:val="20"/>
                <w:szCs w:val="20"/>
                <w:color w:val="auto"/>
              </w:rPr>
            </w:pPr>
            <w:r>
              <w:rPr>
                <w:rFonts w:ascii="Times New Roman" w:cs="Times New Roman" w:eastAsia="Times New Roman" w:hAnsi="Times New Roman"/>
                <w:sz w:val="15"/>
                <w:szCs w:val="15"/>
                <w:b w:val="1"/>
                <w:bCs w:val="1"/>
                <w:color w:val="auto"/>
              </w:rPr>
              <w:t>plans</w:t>
            </w:r>
            <w:r>
              <w:rPr>
                <w:rFonts w:ascii="Times New Roman" w:cs="Times New Roman" w:eastAsia="Times New Roman" w:hAnsi="Times New Roman"/>
                <w:sz w:val="24"/>
                <w:szCs w:val="24"/>
                <w:color w:val="auto"/>
                <w:vertAlign w:val="superscript"/>
              </w:rPr>
              <w:t>(3)</w:t>
            </w:r>
          </w:p>
        </w:tc>
      </w:tr>
      <w:tr>
        <w:trPr>
          <w:trHeight w:val="262"/>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700" w:type="dxa"/>
            <w:vAlign w:val="bottom"/>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color w:val="auto"/>
                <w:w w:val="91"/>
                <w:vertAlign w:val="superscript"/>
              </w:rPr>
              <w:t>(1)</w:t>
            </w:r>
          </w:p>
        </w:tc>
        <w:tc>
          <w:tcPr>
            <w:tcW w:w="340" w:type="dxa"/>
            <w:vAlign w:val="bottom"/>
          </w:tcPr>
          <w:p>
            <w:pPr>
              <w:spacing w:after="0"/>
              <w:rPr>
                <w:sz w:val="22"/>
                <w:szCs w:val="22"/>
                <w:color w:val="auto"/>
              </w:rPr>
            </w:pPr>
          </w:p>
        </w:tc>
        <w:tc>
          <w:tcPr>
            <w:tcW w:w="1700" w:type="dxa"/>
            <w:vAlign w:val="bottom"/>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color w:val="auto"/>
                <w:w w:val="86"/>
                <w:vertAlign w:val="superscript"/>
              </w:rPr>
              <w:t>(2)</w:t>
            </w:r>
          </w:p>
        </w:tc>
        <w:tc>
          <w:tcPr>
            <w:tcW w:w="34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r>
      <w:tr>
        <w:trPr>
          <w:trHeight w:val="205"/>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791,595</w:t>
            </w:r>
          </w:p>
        </w:tc>
        <w:tc>
          <w:tcPr>
            <w:tcW w:w="3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94.46</w:t>
            </w:r>
          </w:p>
        </w:tc>
        <w:tc>
          <w:tcPr>
            <w:tcW w:w="3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334,763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791,595</w:t>
            </w:r>
          </w:p>
        </w:tc>
        <w:tc>
          <w:tcPr>
            <w:tcW w:w="3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94.46</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334,763</w:t>
            </w:r>
          </w:p>
        </w:tc>
      </w:tr>
    </w:tbl>
    <w:p>
      <w:pPr>
        <w:spacing w:after="0" w:line="188" w:lineRule="exact"/>
        <w:rPr>
          <w:sz w:val="20"/>
          <w:szCs w:val="20"/>
          <w:color w:val="auto"/>
        </w:rPr>
      </w:pPr>
    </w:p>
    <w:p>
      <w:pPr>
        <w:ind w:left="300" w:hanging="298"/>
        <w:spacing w:after="0" w:line="198" w:lineRule="auto"/>
        <w:tabs>
          <w:tab w:leader="none" w:pos="30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34,657 shares subject to outstanding stock option awards and 756,938 shares subject to outstanding restricted stock unit awards (including outstanding performance-based restricted stock unit awards, which are presented at their target level of performance).</w:t>
      </w:r>
    </w:p>
    <w:p>
      <w:pPr>
        <w:spacing w:after="0" w:line="87" w:lineRule="exact"/>
        <w:rPr>
          <w:rFonts w:ascii="Times New Roman" w:cs="Times New Roman" w:eastAsia="Times New Roman" w:hAnsi="Times New Roman"/>
          <w:sz w:val="28"/>
          <w:szCs w:val="28"/>
          <w:color w:val="auto"/>
          <w:vertAlign w:val="superscript"/>
        </w:rPr>
      </w:pPr>
    </w:p>
    <w:p>
      <w:pPr>
        <w:ind w:left="300" w:hanging="298"/>
        <w:spacing w:after="0"/>
        <w:tabs>
          <w:tab w:leader="none" w:pos="30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Calculated exclusive of outstanding restricted stock unit awards, which do not have an exercise price.</w:t>
      </w:r>
    </w:p>
    <w:p>
      <w:pPr>
        <w:spacing w:after="0" w:line="187" w:lineRule="exact"/>
        <w:rPr>
          <w:rFonts w:ascii="Times New Roman" w:cs="Times New Roman" w:eastAsia="Times New Roman" w:hAnsi="Times New Roman"/>
          <w:sz w:val="28"/>
          <w:szCs w:val="28"/>
          <w:color w:val="auto"/>
          <w:vertAlign w:val="superscript"/>
        </w:rPr>
      </w:pPr>
    </w:p>
    <w:p>
      <w:pPr>
        <w:jc w:val="both"/>
        <w:ind w:left="300" w:hanging="298"/>
        <w:spacing w:after="0" w:line="235" w:lineRule="auto"/>
        <w:tabs>
          <w:tab w:leader="none" w:pos="30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shares available for new award grants under the 2021 Plan as of December 31, 2023. Each share issued under the 2021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1.2. Pursuant to the 2021 Plan, any shares subject to (1) restricted stock and restricted stock unit awards or (2) stock options granted under our 2007 Equity Incentive Plan and 2017 Performance Incentive Plan that are presently outstanding which are subsequently forfeited, terminated, canceled, or otherwise reacquired by the Company will increase the pool of shares available for new awards under the 2021 Plan at the rate of 1.2 shares or 1.0 shares, respectively. Long-term incentive awards issued in the form of cash-settled restricted stock units do not reduce available shares under the 2021 Plan. This table does not reflect the 350,000 additional shares that will be available for issuance under the 2021 Plan if shareholders approve the 2021 Plan Amendment.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LETTER FROM COMPENSATION COMMITTEE CHAIR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Fellow Shareholders: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the following Compensation Discussion and Analysis, we have provided the context and rationale that the Compensation and Human Capital Committee (Compensation Committee) used in crafting the framework for compensation analysis and determining the compensation for our named executive officers in 2023.</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mortgage environment in 2023 continued to be challenging due to elevated and volatile interest rates, turmoil in the financial sector and an uncertain economic climate, which required the management team and our entire employee population to respond to difficult market conditions with speed and agility. They have taken decisive action to further enhance our cost structure versus prior years while improving customer satisfaction and maintaining the highest standards of quality and service excellence. At the same time, they continue to drive capital-light growth in our servicing portfolio, expand capital partner relationships and create a strong foundation to accelerate growth.</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Building a business model and demonstrating the operational excellence and capabilities which will allow Ocwen to achieve GAAP profitability on a sustained basis regardless of mortgage cycle is the most important priority we hear from shareholders and potential investors. Our business and operational plan are designed each year to drive this strategy of long-term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in 2023, we set out to execute against our key objectives, each with appropriate metrics and targets as captured in our Corporate AIP scorecard:</w:t>
      </w:r>
    </w:p>
    <w:p>
      <w:pPr>
        <w:spacing w:after="0" w:line="214" w:lineRule="exact"/>
        <w:rPr>
          <w:sz w:val="20"/>
          <w:szCs w:val="20"/>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Profitability;</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Prudent growth;</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higher margin products;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cost leadership position;</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high-quality operational execution;</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 engaged and productive workforce while continuing to make progress on diversity and inclusion;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customer and client satisfaction.</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Looking back, the strength of our balanced and diversified business model and management’s execution of our key objectives enabled us to deliver sequential quarter increases to adjusted pre-tax income in each quarter of 2023, excluding our asset recovery transaction in the second quarter. In 2023, we grew our average servicing portfolio to $292 billion, increased the number of MSR capital partners to five, doubled the UPB of MSR sales to our capital partners, built a robust subservicing opportunity pipeline, and increased the mix of higher-margin products to 39% of total originations volume. We continued to improve our servicing cost structure and built a significant cost advantage with a cost per loan favorable to large non-banks over twice our portfolio size, while delivering improved borrower and client satisfaction, all through investments in technology, process enhancements, and our global operating capability. Again, we were honored with Fannie</w:t>
      </w:r>
    </w:p>
    <w:p>
      <w:pPr>
        <w:jc w:val="both"/>
        <w:spacing w:after="0" w:line="219" w:lineRule="auto"/>
        <w:rPr>
          <w:sz w:val="20"/>
          <w:szCs w:val="20"/>
          <w:color w:val="auto"/>
        </w:rPr>
      </w:pPr>
      <w:r>
        <w:rPr>
          <w:rFonts w:ascii="Times New Roman" w:cs="Times New Roman" w:eastAsia="Times New Roman" w:hAnsi="Times New Roman"/>
          <w:sz w:val="17"/>
          <w:szCs w:val="17"/>
          <w:color w:val="auto"/>
        </w:rPr>
        <w:t>Mae’s 2023 STAR</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award for servicing excellence and achieved Housing and Urban Development (HUD) Tier 1 servicer ranking. We retired $15 million of corporate debt, consistent with our objective of de-levering the Company, and our total liquidity as of year-end increased 10.5% from 2022 to $242 billion, preserving capital for growth opportunities at high margin returns, as well as for additional opportunistic corporate debt retirement.</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Looking ahead at what is expected to be a continued high interest rate environment, we have a solid foundation to create value through our broad originations capabilities and best-in-class servicing platform, which we believe positions us to deliver strong results in 2024 and beyond.</w:t>
      </w:r>
    </w:p>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 invite you to read the following Compensation Discussion and Analysis for further details on our decisions relating to 2023 compensation, and we look forward to further shareholder engagement.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Jacques Busquet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Compensation and Human Capital Committee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Highlights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design and the application of our executive compensation programs support organizational alignment around the achievement of Ocwen’s business plan and our performance against that plan. 2023 continued to be challenging year in which interest rates remained at historically high levels that significantly impacted mortgage originations. Our strong and scalable servicing platform delivered sustained income, including through our superior special servicing capabilities, while improving cost structure and customer satisfaction levels, delivering best-in-class operational performance, and maintaining robust risk and compliance metrics. Originations performed strongly despite continued market headwinds due to a focus on higher margin products and continued reduction in costs per loan despite lower volumes in both the consumer direct and reverse channels.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business highlights that the management team delivered against include:</w:t>
      </w:r>
    </w:p>
    <w:p>
      <w:pPr>
        <w:spacing w:after="0" w:line="214" w:lineRule="exact"/>
        <w:rPr>
          <w:sz w:val="20"/>
          <w:szCs w:val="20"/>
          <w:color w:val="auto"/>
        </w:rPr>
      </w:pPr>
    </w:p>
    <w:p>
      <w:pPr>
        <w:ind w:left="620" w:hanging="310"/>
        <w:spacing w:after="0" w:line="262"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GAAP net loss of $64 million driven by $89 million reduction in unrealized MSR value change due to rates and assumptions, net of hedge, delivered $49 million full year adjusted pre-tax income and 10.1% adjusted pre-tax return on equity.</w:t>
      </w:r>
    </w:p>
    <w:p>
      <w:pPr>
        <w:ind w:left="620" w:hanging="310"/>
        <w:spacing w:after="0" w:line="251"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Grew FY 2023 average servicing UPB to $292 billion, an increase of over $10 billion from FY 2022. Built a strong and diverse network of MSR capital partner relationships from three to five to drive our capital light growth strategy and doubled the UPB of MSR sales to capital partners compared to 2022.</w:t>
      </w:r>
    </w:p>
    <w:p>
      <w:pPr>
        <w:ind w:left="620" w:hanging="310"/>
        <w:spacing w:after="0" w:line="251"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mix of higher-margin products, including consumer direct, reverse and correspondent GNMA, best efforts and non-delegated, from 21% in 2022 to 39% in 2023.</w:t>
      </w:r>
    </w:p>
    <w:p>
      <w:pPr>
        <w:ind w:left="620" w:hanging="310"/>
        <w:spacing w:after="0" w:line="183" w:lineRule="auto"/>
        <w:tabs>
          <w:tab w:leader="none" w:pos="620" w:val="left"/>
        </w:tabs>
        <w:numPr>
          <w:ilvl w:val="0"/>
          <w:numId w:val="2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Delivered best-in-class operating performance within our servicing segment, earning Fannie Mae’s STAR</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recognition and HUD Tier 1 servicer ranking, both for the third consecutive year, and was named the Affiliate Company of the Year by the National Association of Mortgage Bankers.</w:t>
      </w:r>
    </w:p>
    <w:p>
      <w:pPr>
        <w:spacing w:after="0" w:line="1" w:lineRule="exact"/>
        <w:rPr>
          <w:rFonts w:ascii="Times New Roman" w:cs="Times New Roman" w:eastAsia="Times New Roman" w:hAnsi="Times New Roman"/>
          <w:sz w:val="34"/>
          <w:szCs w:val="34"/>
          <w:color w:val="auto"/>
          <w:vertAlign w:val="superscript"/>
        </w:rPr>
      </w:pPr>
    </w:p>
    <w:p>
      <w:pPr>
        <w:jc w:val="both"/>
        <w:ind w:left="620" w:hanging="310"/>
        <w:spacing w:after="0" w:line="251"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Maintained a highly competitive cost structure through technology enhancements, end-to-end process automation, leveraging our significant offshore workforce and a continuous focus on cost improvement, reducing operating expenses over $120 million, or 23%, from 2022, and consistently delivered lower delinquency levels than the industry average.</w:t>
      </w:r>
    </w:p>
    <w:p>
      <w:pPr>
        <w:spacing w:after="0" w:line="1" w:lineRule="exact"/>
        <w:rPr>
          <w:rFonts w:ascii="Times New Roman" w:cs="Times New Roman" w:eastAsia="Times New Roman" w:hAnsi="Times New Roman"/>
          <w:sz w:val="17"/>
          <w:szCs w:val="17"/>
          <w:color w:val="auto"/>
        </w:rPr>
      </w:pPr>
    </w:p>
    <w:p>
      <w:pPr>
        <w:ind w:left="620" w:hanging="310"/>
        <w:spacing w:after="0" w:line="263"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total liquidity, comprised of cash and borrowing capacity available under our debt facilities, by $23 million, or 10%, versus year-end 2022, even with $15 million senior corporate debt reduction, maintaining our agility to address market opportunities and risks, and retire additional debt.</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more information regarding our use of non-GAAP financial measures such as adjusted pre-tax income and their reconciliation to the most comparable GAAP metric, please see the press release included as an exhibit to our Current Report on Form 8-K filed with the Securities and Exchange Commission on February 27,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Highlights</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Compensation Committee designed the 2023 executive compensation program to align with the organization’s efforts to achieve key strategic and operational objectives and to adhere to evolving compensation and governance best practices, including ensuring a rigorous link between compensation and performance and shareholder value creation.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key features of our 2023 executive compensation program relating to pay decisions, program design and shareholder engagement are highlighted below:</w:t>
      </w:r>
    </w:p>
    <w:p>
      <w:pPr>
        <w:spacing w:after="0" w:line="214" w:lineRule="exact"/>
        <w:rPr>
          <w:sz w:val="20"/>
          <w:szCs w:val="20"/>
          <w:color w:val="auto"/>
        </w:rPr>
      </w:pPr>
    </w:p>
    <w:p>
      <w:pPr>
        <w:ind w:left="620" w:hanging="310"/>
        <w:spacing w:after="0" w:line="284"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Aligned the structure of our annual incentive plan (AIP) with key strategic objectives, including profitability, growth and operational execution, and continued to incorporate diversity, equity and inclusion (DE&amp;I) metrics to reinforce our commitment to effective human capital management practices.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ind w:left="620" w:right="60" w:hanging="310"/>
        <w:spacing w:after="0" w:line="262"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a service excellence modifier to the AIP to adjust results based on how we deliver on our commitments to our customers and clients, further promoting one of our core values.</w:t>
      </w:r>
    </w:p>
    <w:p>
      <w:pPr>
        <w:jc w:val="both"/>
        <w:ind w:left="620" w:right="60" w:hanging="310"/>
        <w:spacing w:after="0" w:line="251"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Linked long-term equity awards to total shareholder return relative to a performance peer group to align with shareholder expectations, including special performance equity awards provided to recognize leadership and contributions as we navigate the volatile market, and provided for awards to settle in shares of common stock to build executive stock ownership in the Company.</w:t>
      </w:r>
    </w:p>
    <w:p>
      <w:pPr>
        <w:spacing w:after="0" w:line="1" w:lineRule="exact"/>
        <w:rPr>
          <w:rFonts w:ascii="Times New Roman" w:cs="Times New Roman" w:eastAsia="Times New Roman" w:hAnsi="Times New Roman"/>
          <w:sz w:val="17"/>
          <w:szCs w:val="17"/>
          <w:color w:val="auto"/>
        </w:rPr>
      </w:pPr>
    </w:p>
    <w:p>
      <w:pPr>
        <w:ind w:left="620" w:right="60" w:hanging="310"/>
        <w:spacing w:after="0" w:line="263"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certain executives’ target compensation in recognition of performance and criticality to delivering on strategic priorities and as a result of an evaluation of labor market conditions.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named executive officers (NEOs) for 2023, whose compensation we will discuss in detail below, are as follows:</w:t>
      </w: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244"/>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88"/>
        </w:trPr>
        <w:tc>
          <w:tcPr>
            <w:tcW w:w="36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Glen A. Messina</w:t>
            </w:r>
          </w:p>
        </w:tc>
        <w:tc>
          <w:tcPr>
            <w:tcW w:w="220" w:type="dxa"/>
            <w:vAlign w:val="bottom"/>
          </w:tcPr>
          <w:p>
            <w:pPr>
              <w:spacing w:after="0"/>
              <w:rPr>
                <w:sz w:val="16"/>
                <w:szCs w:val="16"/>
                <w:color w:val="auto"/>
              </w:rPr>
            </w:pPr>
          </w:p>
        </w:tc>
        <w:tc>
          <w:tcPr>
            <w:tcW w:w="68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05"/>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B. O’Neil</w:t>
            </w: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05"/>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Servicing Officer</w:t>
            </w:r>
          </w:p>
        </w:tc>
      </w:tr>
      <w:tr>
        <w:trPr>
          <w:trHeight w:val="205"/>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Administrative Officer</w:t>
            </w:r>
          </w:p>
        </w:tc>
      </w:tr>
      <w:tr>
        <w:trPr>
          <w:trHeight w:val="377"/>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George T. Henley</w:t>
            </w:r>
            <w:r>
              <w:rPr>
                <w:rFonts w:ascii="Times New Roman" w:cs="Times New Roman" w:eastAsia="Times New Roman" w:hAnsi="Times New Roman"/>
                <w:sz w:val="28"/>
                <w:szCs w:val="28"/>
                <w:color w:val="auto"/>
                <w:vertAlign w:val="superscript"/>
              </w:rPr>
              <w:t>(1)</w:t>
            </w:r>
          </w:p>
        </w:tc>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Former Executive Vice President and Chief Growth Officer</w:t>
            </w:r>
          </w:p>
        </w:tc>
      </w:tr>
    </w:tbl>
    <w:p>
      <w:pPr>
        <w:ind w:left="1540" w:hanging="308"/>
        <w:spacing w:after="0" w:line="218" w:lineRule="auto"/>
        <w:tabs>
          <w:tab w:leader="none" w:pos="1540" w:val="left"/>
        </w:tabs>
        <w:numPr>
          <w:ilvl w:val="0"/>
          <w:numId w:val="3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Henley departed this role as of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Philosophy and Objectives of Our Executive Compensation Program</w:t>
      </w:r>
    </w:p>
    <w:p>
      <w:pPr>
        <w:spacing w:after="0" w:line="220"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7"/>
          <w:szCs w:val="17"/>
          <w:color w:val="auto"/>
        </w:rPr>
        <w:t>The philosophy underlying our executive compensation program is to provide an attractive, flexible, and market-based total compensation program that aligns the interests of executives and shareholders by rewarding both short-term and long-term performance against specific financial and strategic objectives designed to improve long-term shareholder value.</w:t>
      </w:r>
    </w:p>
    <w:p>
      <w:pPr>
        <w:spacing w:after="0" w:line="167"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7"/>
          <w:szCs w:val="17"/>
          <w:color w:val="auto"/>
        </w:rPr>
        <w:t>Equally important, our compensation programs are designed to communicate our goals and reinforce our standards as they relate to risk, compliance and leadership, not only to our senior management team, but across our entire employee population. We employ a variety of cash and equity-based programs based on business objectives, including annual incentive grants towards the achievement of short- and long-term objectives, sign-on and retention awards to encourage employee commitment to the Company, and recognition programs for exceptional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Within this context, we believe our executive compensation programs enable us to:</w:t>
      </w:r>
    </w:p>
    <w:p>
      <w:pPr>
        <w:spacing w:after="0" w:line="214" w:lineRule="exact"/>
        <w:rPr>
          <w:sz w:val="20"/>
          <w:szCs w:val="20"/>
          <w:color w:val="auto"/>
        </w:rPr>
      </w:pPr>
    </w:p>
    <w:p>
      <w:pPr>
        <w:ind w:left="620" w:right="60" w:hanging="310"/>
        <w:spacing w:after="0" w:line="284"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Retain and hire top-caliber experienced executives</w:t>
      </w:r>
      <w:r>
        <w:rPr>
          <w:rFonts w:ascii="Times New Roman" w:cs="Times New Roman" w:eastAsia="Times New Roman" w:hAnsi="Times New Roman"/>
          <w:sz w:val="17"/>
          <w:szCs w:val="17"/>
          <w:color w:val="auto"/>
        </w:rPr>
        <w:t>: In a tight labor market and volatile industry, we believe it is critical that we offer compensation opportunities that allow us to attract and retain strong, proven executive talent.</w:t>
      </w:r>
    </w:p>
    <w:p>
      <w:pPr>
        <w:spacing w:after="0" w:line="152" w:lineRule="exact"/>
        <w:rPr>
          <w:rFonts w:ascii="Times New Roman" w:cs="Times New Roman" w:eastAsia="Times New Roman" w:hAnsi="Times New Roman"/>
          <w:sz w:val="17"/>
          <w:szCs w:val="17"/>
          <w:color w:val="auto"/>
        </w:rPr>
      </w:pPr>
    </w:p>
    <w:p>
      <w:pPr>
        <w:jc w:val="both"/>
        <w:ind w:left="620" w:right="60" w:hanging="310"/>
        <w:spacing w:after="0" w:line="262"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 for performance</w:t>
      </w:r>
      <w:r>
        <w:rPr>
          <w:rFonts w:ascii="Times New Roman" w:cs="Times New Roman" w:eastAsia="Times New Roman" w:hAnsi="Times New Roman"/>
          <w:sz w:val="17"/>
          <w:szCs w:val="17"/>
          <w:color w:val="auto"/>
        </w:rPr>
        <w:t>: A significant portion of our annual target executive compensation (the sum of base salary, annual target bonus, and target value of annual equity program awards) – 85% for the President and Chief Executive Officer (CEO) and 69% for other NEOs on average – was dependent on the Company’s business performance and our executive officers’ contribution to that performance, and the performance of our stock (described further below in Variable Pay and Incentive Programs).</w:t>
      </w:r>
    </w:p>
    <w:p>
      <w:pPr>
        <w:spacing w:after="0" w:line="170" w:lineRule="exact"/>
        <w:rPr>
          <w:rFonts w:ascii="Times New Roman" w:cs="Times New Roman" w:eastAsia="Times New Roman" w:hAnsi="Times New Roman"/>
          <w:sz w:val="17"/>
          <w:szCs w:val="17"/>
          <w:color w:val="auto"/>
        </w:rPr>
      </w:pPr>
    </w:p>
    <w:p>
      <w:pPr>
        <w:jc w:val="both"/>
        <w:ind w:left="620" w:right="60" w:hanging="310"/>
        <w:spacing w:after="0" w:line="262"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Align compensation with shareholder interests</w:t>
      </w:r>
      <w:r>
        <w:rPr>
          <w:rFonts w:ascii="Times New Roman" w:cs="Times New Roman" w:eastAsia="Times New Roman" w:hAnsi="Times New Roman"/>
          <w:sz w:val="17"/>
          <w:szCs w:val="17"/>
          <w:color w:val="auto"/>
        </w:rPr>
        <w:t>: A consequential portion of our annual target executive compensation – 62% for the CEO and 37% for other NEOs on average – was directly tied to total shareholder return or stock price. An additional portion of annual target executive compensation – 23% for the CEO and 31% for other NEOs on average – was tied to net income, return on equity, and other profitability and operating excellence objectives, emphasizing our focus on shareholder value creation (further described below under “Pay Measures”).</w:t>
      </w:r>
    </w:p>
    <w:p>
      <w:pPr>
        <w:spacing w:after="0" w:line="170" w:lineRule="exact"/>
        <w:rPr>
          <w:rFonts w:ascii="Times New Roman" w:cs="Times New Roman" w:eastAsia="Times New Roman" w:hAnsi="Times New Roman"/>
          <w:sz w:val="17"/>
          <w:szCs w:val="17"/>
          <w:color w:val="auto"/>
        </w:rPr>
      </w:pPr>
    </w:p>
    <w:p>
      <w:pPr>
        <w:jc w:val="both"/>
        <w:ind w:left="620" w:right="60" w:hanging="310"/>
        <w:spacing w:after="0" w:line="262"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Reinforce a commitment to serve all stakeholders</w:t>
      </w:r>
      <w:r>
        <w:rPr>
          <w:rFonts w:ascii="Times New Roman" w:cs="Times New Roman" w:eastAsia="Times New Roman" w:hAnsi="Times New Roman"/>
          <w:sz w:val="17"/>
          <w:szCs w:val="17"/>
          <w:color w:val="auto"/>
        </w:rPr>
        <w:t>: We believe that taking all stakeholders’ opinions into account leads to long-term shareholder value creation. As such, annual incentive compensation awards were subject to a 20% adjustment – positive or negative – based on customer satisfaction and process quality results, demonstrating our continued commitment to supporting our borrowers. Those awards are also determined by an assessment of performance in promoting a culture of appropriate risk management and compliance, as well as demonstrating strong leadership behaviors.</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300"/>
          </w:cols>
          <w:pgMar w:left="320" w:top="661"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Pay and Incentive Programs</w:t>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To create a strong link between our incentive compensation opportunities and our short-term and long-term objectives, we use two specific programs: our Annual Incentive Plan (AIP) and the grant of long-term incentive awards (LTIP awards) under our 2021 Equity Incentive Plan.</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chart below illustrates the portions of our NEOs’ annual target executive compensation that are delivered through our incentive programs. The Committee determines target compensation amounts after consideration of multiple factors, including comparative data from our peer group and general survey data provided by its independent compensation consultant (described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Average Percent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Percent of CEO</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non-CEO</w:t>
            </w:r>
          </w:p>
        </w:tc>
        <w:tc>
          <w:tcPr>
            <w:tcW w:w="0" w:type="dxa"/>
            <w:vAlign w:val="bottom"/>
          </w:tcPr>
          <w:p>
            <w:pPr>
              <w:spacing w:after="0"/>
              <w:rPr>
                <w:sz w:val="1"/>
                <w:szCs w:val="1"/>
                <w:color w:val="auto"/>
              </w:rPr>
            </w:pPr>
          </w:p>
        </w:tc>
      </w:tr>
      <w:tr>
        <w:trPr>
          <w:trHeight w:val="205"/>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Element of</w:t>
            </w: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Total Annual</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NEO Total</w:t>
            </w:r>
          </w:p>
        </w:tc>
        <w:tc>
          <w:tcPr>
            <w:tcW w:w="0" w:type="dxa"/>
            <w:vAlign w:val="bottom"/>
          </w:tcPr>
          <w:p>
            <w:pPr>
              <w:spacing w:after="0"/>
              <w:rPr>
                <w:sz w:val="1"/>
                <w:szCs w:val="1"/>
                <w:color w:val="auto"/>
              </w:rPr>
            </w:pPr>
          </w:p>
        </w:tc>
      </w:tr>
      <w:tr>
        <w:trPr>
          <w:trHeight w:val="209"/>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Annual Target</w:t>
            </w:r>
          </w:p>
        </w:tc>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Annual Target</w:t>
            </w:r>
          </w:p>
        </w:tc>
        <w:tc>
          <w:tcPr>
            <w:tcW w:w="0" w:type="dxa"/>
            <w:vAlign w:val="bottom"/>
          </w:tcPr>
          <w:p>
            <w:pPr>
              <w:spacing w:after="0"/>
              <w:rPr>
                <w:sz w:val="1"/>
                <w:szCs w:val="1"/>
                <w:color w:val="auto"/>
              </w:rPr>
            </w:pPr>
          </w:p>
        </w:tc>
      </w:tr>
      <w:tr>
        <w:trPr>
          <w:trHeight w:val="266"/>
        </w:trPr>
        <w:tc>
          <w:tcPr>
            <w:tcW w:w="1600" w:type="dxa"/>
            <w:vAlign w:val="bottom"/>
            <w:gridSpan w:val="3"/>
          </w:tcPr>
          <w:p>
            <w:pPr>
              <w:spacing w:after="0" w:line="25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8"/>
                <w:szCs w:val="28"/>
                <w:b w:val="1"/>
                <w:bCs w:val="1"/>
                <w:color w:val="auto"/>
                <w:vertAlign w:val="superscript"/>
              </w:rPr>
              <w:t>(a)</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60" w:type="dxa"/>
            <w:vAlign w:val="bottom"/>
            <w:gridSpan w:val="2"/>
          </w:tcPr>
          <w:p>
            <w:pPr>
              <w:jc w:val="center"/>
              <w:ind w:right="200"/>
              <w:spacing w:after="0" w:line="259" w:lineRule="exact"/>
              <w:rPr>
                <w:sz w:val="20"/>
                <w:szCs w:val="20"/>
                <w:color w:val="auto"/>
              </w:rPr>
            </w:pPr>
            <w:r>
              <w:rPr>
                <w:rFonts w:ascii="Times New Roman" w:cs="Times New Roman" w:eastAsia="Times New Roman" w:hAnsi="Times New Roman"/>
                <w:sz w:val="17"/>
                <w:szCs w:val="17"/>
                <w:b w:val="1"/>
                <w:bCs w:val="1"/>
                <w:color w:val="auto"/>
                <w:w w:val="95"/>
              </w:rPr>
              <w:t>Compensation</w:t>
            </w:r>
            <w:r>
              <w:rPr>
                <w:rFonts w:ascii="Times New Roman" w:cs="Times New Roman" w:eastAsia="Times New Roman" w:hAnsi="Times New Roman"/>
                <w:sz w:val="28"/>
                <w:szCs w:val="28"/>
                <w:b w:val="1"/>
                <w:bCs w:val="1"/>
                <w:color w:val="auto"/>
                <w:w w:val="95"/>
                <w:vertAlign w:val="superscript"/>
              </w:rPr>
              <w:t>(b)</w:t>
            </w:r>
          </w:p>
        </w:tc>
        <w:tc>
          <w:tcPr>
            <w:tcW w:w="1220" w:type="dxa"/>
            <w:vAlign w:val="bottom"/>
          </w:tcPr>
          <w:p>
            <w:pPr>
              <w:jc w:val="center"/>
              <w:spacing w:after="0" w:line="259" w:lineRule="exact"/>
              <w:rPr>
                <w:sz w:val="20"/>
                <w:szCs w:val="20"/>
                <w:color w:val="auto"/>
              </w:rPr>
            </w:pPr>
            <w:r>
              <w:rPr>
                <w:rFonts w:ascii="Times New Roman" w:cs="Times New Roman" w:eastAsia="Times New Roman" w:hAnsi="Times New Roman"/>
                <w:sz w:val="17"/>
                <w:szCs w:val="17"/>
                <w:b w:val="1"/>
                <w:bCs w:val="1"/>
                <w:color w:val="auto"/>
                <w:w w:val="95"/>
              </w:rPr>
              <w:t>Compensation</w:t>
            </w:r>
            <w:r>
              <w:rPr>
                <w:rFonts w:ascii="Times New Roman" w:cs="Times New Roman" w:eastAsia="Times New Roman" w:hAnsi="Times New Roman"/>
                <w:sz w:val="28"/>
                <w:szCs w:val="28"/>
                <w:b w:val="1"/>
                <w:bCs w:val="1"/>
                <w:color w:val="auto"/>
                <w:w w:val="95"/>
                <w:vertAlign w:val="superscript"/>
              </w:rPr>
              <w:t>(b)</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Salary</w:t>
            </w:r>
          </w:p>
        </w:tc>
        <w:tc>
          <w:tcPr>
            <w:tcW w:w="240" w:type="dxa"/>
            <w:vAlign w:val="bottom"/>
          </w:tcPr>
          <w:p>
            <w:pPr>
              <w:spacing w:after="0"/>
              <w:rPr>
                <w:sz w:val="16"/>
                <w:szCs w:val="16"/>
                <w:color w:val="auto"/>
              </w:rPr>
            </w:pPr>
          </w:p>
        </w:tc>
        <w:tc>
          <w:tcPr>
            <w:tcW w:w="6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Salaries are the only element of total target compensation that is not at risk based on short- or</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05"/>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AIP</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performance.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0" w:type="dxa"/>
            <w:vAlign w:val="bottom"/>
            <w:gridSpan w:val="3"/>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Funding for our annual short-term incentive program is linked to performance against key</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priorities of the Company, which is adjusted according to customer satisfaction and quality scores.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LTIP Awards</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Individual awards are further modified by the executive’s overall performance.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0" w:type="dxa"/>
            <w:vAlign w:val="bottom"/>
            <w:gridSpan w:val="3"/>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Half of the award is in the form of Restricted Stock Units (RSUs) that vest annually over three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years in equal tranches. The other half is in the form of Performance-Restricted Stock Units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(PRSUs) that cliff vest at the end of three years provided minimum total shareholder return (TSR)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level has been achieved relative to a performance peer group.</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20" w:hanging="303"/>
        <w:spacing w:after="0" w:line="262" w:lineRule="auto"/>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compensation that is available to all of our U.S. employees includes medical, dental and life insurance benefit programs. 401(k) matching contributions account for less than 0.1% of our NEOs’ compensation.</w:t>
      </w:r>
    </w:p>
    <w:p>
      <w:pPr>
        <w:ind w:left="920" w:hanging="303"/>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Annual Target Compensation percentages do not include special awards.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i w:val="1"/>
          <w:iCs w:val="1"/>
          <w:color w:val="auto"/>
        </w:rPr>
        <w:t>Pay Measures</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programs are designed to align the interests of our executives with the interests of our shareholders, and therefore link the drivers of short-term and long-term value creation with our executive compensation performance metrics. The performance metrics used in our incentive programs directly link Company performance to the compensation earned by each executive, with total shareholder return being the greatest link to compensation actually paid, as illustrated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Average Percent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Percent of CEO</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non-CEO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2023 Total</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NEO 2023 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Target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Pay Measure</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Absolute (and</w:t>
            </w:r>
          </w:p>
        </w:tc>
        <w:tc>
          <w:tcPr>
            <w:tcW w:w="240" w:type="dxa"/>
            <w:vAlign w:val="bottom"/>
          </w:tcPr>
          <w:p>
            <w:pPr>
              <w:spacing w:after="0"/>
              <w:rPr>
                <w:sz w:val="16"/>
                <w:szCs w:val="16"/>
                <w:color w:val="auto"/>
              </w:rPr>
            </w:pPr>
          </w:p>
        </w:tc>
        <w:tc>
          <w:tcPr>
            <w:tcW w:w="6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auto"/>
              </w:rPr>
              <w:t>Our long-term incentive program grants equity-based awards with half of target value as time-</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62% (31%)</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37% (19%)</w:t>
            </w:r>
          </w:p>
        </w:tc>
        <w:tc>
          <w:tcPr>
            <w:tcW w:w="0" w:type="dxa"/>
            <w:vAlign w:val="bottom"/>
          </w:tcPr>
          <w:p>
            <w:pPr>
              <w:spacing w:after="0"/>
              <w:rPr>
                <w:sz w:val="1"/>
                <w:szCs w:val="1"/>
                <w:color w:val="auto"/>
              </w:rPr>
            </w:pPr>
          </w:p>
        </w:tc>
      </w:tr>
      <w:tr>
        <w:trPr>
          <w:trHeight w:val="205"/>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Relative) Total</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vested restricted stock units and half as performance-based units determined by TSR performance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Shareholder</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relative to a peer group.</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Return</w:t>
            </w: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Full-year GAAP net income and full-year adjusted pre-tax income combined accounted for 36.8%</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9%</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12%</w:t>
            </w:r>
          </w:p>
        </w:tc>
        <w:tc>
          <w:tcPr>
            <w:tcW w:w="0" w:type="dxa"/>
            <w:vAlign w:val="bottom"/>
          </w:tcPr>
          <w:p>
            <w:pPr>
              <w:spacing w:after="0"/>
              <w:rPr>
                <w:sz w:val="1"/>
                <w:szCs w:val="1"/>
                <w:color w:val="auto"/>
              </w:rPr>
            </w:pPr>
          </w:p>
        </w:tc>
      </w:tr>
      <w:tr>
        <w:trPr>
          <w:trHeight w:val="242"/>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Return on Equity</w:t>
            </w:r>
          </w:p>
        </w:tc>
        <w:tc>
          <w:tcPr>
            <w:tcW w:w="696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of the total weight of our AIP Scorecard.</w:t>
            </w:r>
            <w:r>
              <w:rPr>
                <w:rFonts w:ascii="Times New Roman" w:cs="Times New Roman" w:eastAsia="Times New Roman" w:hAnsi="Times New Roman"/>
                <w:sz w:val="28"/>
                <w:szCs w:val="28"/>
                <w:color w:val="auto"/>
                <w:vertAlign w:val="superscript"/>
              </w:rPr>
              <w:t>(1)</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600" w:type="dxa"/>
            <w:vAlign w:val="bottom"/>
            <w:gridSpan w:val="3"/>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Second-half after-tax return on equity (ROE), excluding notables, represented 21.1% of the 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0" w:type="dxa"/>
            <w:vAlign w:val="bottom"/>
          </w:tcPr>
          <w:p>
            <w:pPr>
              <w:spacing w:after="0"/>
              <w:rPr>
                <w:sz w:val="1"/>
                <w:szCs w:val="1"/>
                <w:color w:val="auto"/>
              </w:rPr>
            </w:pPr>
          </w:p>
        </w:tc>
      </w:tr>
      <w:tr>
        <w:trPr>
          <w:trHeight w:val="205"/>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Growth</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 of our AIP Scorecard.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0" w:type="dxa"/>
            <w:vAlign w:val="bottom"/>
            <w:gridSpan w:val="3"/>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UPB growth and cash yields on owned servicing originations accounted for 26.3% of the 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8%</w:t>
            </w:r>
          </w:p>
        </w:tc>
        <w:tc>
          <w:tcPr>
            <w:tcW w:w="0" w:type="dxa"/>
            <w:vAlign w:val="bottom"/>
          </w:tcPr>
          <w:p>
            <w:pPr>
              <w:spacing w:after="0"/>
              <w:rPr>
                <w:sz w:val="1"/>
                <w:szCs w:val="1"/>
                <w:color w:val="auto"/>
              </w:rPr>
            </w:pPr>
          </w:p>
        </w:tc>
      </w:tr>
      <w:tr>
        <w:trPr>
          <w:trHeight w:val="205"/>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Productivity</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 of our AIP Scorecard.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0" w:type="dxa"/>
            <w:vAlign w:val="bottom"/>
            <w:gridSpan w:val="3"/>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Expenses as a percentage of either revenue or UPB accounted for 10.5% of the total weight of our</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w:t>
            </w:r>
          </w:p>
        </w:tc>
        <w:tc>
          <w:tcPr>
            <w:tcW w:w="0" w:type="dxa"/>
            <w:vAlign w:val="bottom"/>
          </w:tcPr>
          <w:p>
            <w:pPr>
              <w:spacing w:after="0"/>
              <w:rPr>
                <w:sz w:val="1"/>
                <w:szCs w:val="1"/>
                <w:color w:val="auto"/>
              </w:rPr>
            </w:pPr>
          </w:p>
        </w:tc>
      </w:tr>
      <w:tr>
        <w:trPr>
          <w:trHeight w:val="205"/>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Diversity, Equity</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2022 AIP Scorecard.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00" w:type="dxa"/>
            <w:vAlign w:val="bottom"/>
            <w:gridSpan w:val="3"/>
            <w:vMerge w:val="continue"/>
          </w:tcPr>
          <w:p>
            <w:pPr>
              <w:spacing w:after="0"/>
              <w:rPr>
                <w:sz w:val="17"/>
                <w:szCs w:val="17"/>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Executing objectives in our DE&amp;I road map accounted for 5.3% of the total weight of our AIP</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226"/>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&amp; Inclusion</w:t>
            </w:r>
          </w:p>
        </w:tc>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Scorecard.</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20" w:hanging="310"/>
        <w:spacing w:after="0" w:line="284"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discussion of how we measure pre-tax income before notable items and a reconciliation to financial measures prepared under GAAP, please see our Current Report on Form 8-K filed with the Securities and Exchange Commission on February 27,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Pay Versus Performance</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variable pay programs, particularly our LTIP awards, have created strong alignment between our NEOs’ total compensation and long-term shareholder value creation. As required by Item 402(v) of Regulation S-K, the table below illustrates the relationship between “Compensation Actually Paid” and certain financial performance measures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Value of Initial Fixed $100</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Investment Based On</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After-Tax</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7"/>
                <w:szCs w:val="17"/>
                <w:b w:val="1"/>
                <w:bCs w:val="1"/>
                <w:color w:val="auto"/>
              </w:rPr>
              <w:t>Summary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auto"/>
              </w:rPr>
              <w:t>Peer Group</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280"/>
              <w:spacing w:after="0" w:line="185" w:lineRule="exact"/>
              <w:rPr>
                <w:sz w:val="20"/>
                <w:szCs w:val="20"/>
                <w:color w:val="auto"/>
              </w:rPr>
            </w:pPr>
            <w:r>
              <w:rPr>
                <w:rFonts w:ascii="Times New Roman" w:cs="Times New Roman" w:eastAsia="Times New Roman" w:hAnsi="Times New Roman"/>
                <w:sz w:val="17"/>
                <w:szCs w:val="17"/>
                <w:b w:val="1"/>
                <w:bCs w:val="1"/>
                <w:color w:val="auto"/>
              </w:rPr>
              <w:t>Return</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On Equity</w:t>
            </w:r>
          </w:p>
        </w:tc>
        <w:tc>
          <w:tcPr>
            <w:tcW w:w="0" w:type="dxa"/>
            <w:vAlign w:val="bottom"/>
          </w:tcPr>
          <w:p>
            <w:pPr>
              <w:spacing w:after="0"/>
              <w:rPr>
                <w:sz w:val="1"/>
                <w:szCs w:val="1"/>
                <w:color w:val="auto"/>
              </w:rPr>
            </w:pPr>
          </w:p>
        </w:tc>
      </w:tr>
      <w:tr>
        <w:trPr>
          <w:trHeight w:val="205"/>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Actually Paid</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for non-CEO</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Actually Paid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8"/>
              </w:rPr>
              <w:t>Shareholder</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Shareholder</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3"/>
              </w:rPr>
              <w:t>Net</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(ROE),</w:t>
            </w: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line="212" w:lineRule="exact"/>
              <w:rPr>
                <w:sz w:val="20"/>
                <w:szCs w:val="20"/>
                <w:color w:val="auto"/>
              </w:rPr>
            </w:pPr>
            <w:r>
              <w:rPr>
                <w:rFonts w:ascii="Times New Roman" w:cs="Times New Roman" w:eastAsia="Times New Roman" w:hAnsi="Times New Roman"/>
                <w:sz w:val="15"/>
                <w:szCs w:val="15"/>
                <w:b w:val="1"/>
                <w:bCs w:val="1"/>
                <w:color w:val="auto"/>
              </w:rPr>
              <w:t>for CEO</w:t>
            </w:r>
            <w:r>
              <w:rPr>
                <w:rFonts w:ascii="Times New Roman" w:cs="Times New Roman" w:eastAsia="Times New Roman" w:hAnsi="Times New Roman"/>
                <w:sz w:val="24"/>
                <w:szCs w:val="24"/>
                <w:b w:val="1"/>
                <w:bCs w:val="1"/>
                <w:color w:val="auto"/>
                <w:vertAlign w:val="superscript"/>
              </w:rPr>
              <w:t>(1)</w:t>
            </w:r>
          </w:p>
        </w:tc>
        <w:tc>
          <w:tcPr>
            <w:tcW w:w="1160" w:type="dxa"/>
            <w:vAlign w:val="bottom"/>
            <w:gridSpan w:val="2"/>
          </w:tcPr>
          <w:p>
            <w:pPr>
              <w:jc w:val="center"/>
              <w:ind w:right="120"/>
              <w:spacing w:after="0" w:line="212" w:lineRule="exact"/>
              <w:rPr>
                <w:sz w:val="20"/>
                <w:szCs w:val="20"/>
                <w:color w:val="auto"/>
              </w:rPr>
            </w:pPr>
            <w:r>
              <w:rPr>
                <w:rFonts w:ascii="Times New Roman" w:cs="Times New Roman" w:eastAsia="Times New Roman" w:hAnsi="Times New Roman"/>
                <w:sz w:val="15"/>
                <w:szCs w:val="15"/>
                <w:b w:val="1"/>
                <w:bCs w:val="1"/>
                <w:color w:val="auto"/>
              </w:rPr>
              <w:t>to CEO</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line="212" w:lineRule="exact"/>
              <w:rPr>
                <w:sz w:val="20"/>
                <w:szCs w:val="20"/>
                <w:color w:val="auto"/>
              </w:rPr>
            </w:pPr>
            <w:r>
              <w:rPr>
                <w:rFonts w:ascii="Times New Roman" w:cs="Times New Roman" w:eastAsia="Times New Roman" w:hAnsi="Times New Roman"/>
                <w:sz w:val="15"/>
                <w:szCs w:val="15"/>
                <w:b w:val="1"/>
                <w:bCs w:val="1"/>
                <w:color w:val="auto"/>
              </w:rPr>
              <w:t>NEOs</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to non-CEO</w:t>
            </w:r>
          </w:p>
        </w:tc>
        <w:tc>
          <w:tcPr>
            <w:tcW w:w="1020" w:type="dxa"/>
            <w:vAlign w:val="bottom"/>
            <w:gridSpan w:val="2"/>
          </w:tcPr>
          <w:p>
            <w:pPr>
              <w:jc w:val="center"/>
              <w:ind w:right="100"/>
              <w:spacing w:after="0" w:line="212" w:lineRule="exact"/>
              <w:rPr>
                <w:sz w:val="20"/>
                <w:szCs w:val="20"/>
                <w:color w:val="auto"/>
              </w:rPr>
            </w:pPr>
            <w:r>
              <w:rPr>
                <w:rFonts w:ascii="Times New Roman" w:cs="Times New Roman" w:eastAsia="Times New Roman" w:hAnsi="Times New Roman"/>
                <w:sz w:val="15"/>
                <w:szCs w:val="15"/>
                <w:b w:val="1"/>
                <w:bCs w:val="1"/>
                <w:color w:val="auto"/>
              </w:rPr>
              <w:t>Return</w:t>
            </w:r>
            <w:r>
              <w:rPr>
                <w:rFonts w:ascii="Times New Roman" w:cs="Times New Roman" w:eastAsia="Times New Roman" w:hAnsi="Times New Roman"/>
                <w:sz w:val="24"/>
                <w:szCs w:val="24"/>
                <w:b w:val="1"/>
                <w:bCs w:val="1"/>
                <w:color w:val="auto"/>
                <w:vertAlign w:val="superscript"/>
              </w:rPr>
              <w:t>(3)</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line="212" w:lineRule="exact"/>
              <w:rPr>
                <w:sz w:val="20"/>
                <w:szCs w:val="20"/>
                <w:color w:val="auto"/>
              </w:rPr>
            </w:pPr>
            <w:r>
              <w:rPr>
                <w:rFonts w:ascii="Times New Roman" w:cs="Times New Roman" w:eastAsia="Times New Roman" w:hAnsi="Times New Roman"/>
                <w:sz w:val="15"/>
                <w:szCs w:val="15"/>
                <w:b w:val="1"/>
                <w:bCs w:val="1"/>
                <w:color w:val="auto"/>
              </w:rPr>
              <w:t>Return</w:t>
            </w:r>
            <w:r>
              <w:rPr>
                <w:rFonts w:ascii="Times New Roman" w:cs="Times New Roman" w:eastAsia="Times New Roman" w:hAnsi="Times New Roman"/>
                <w:sz w:val="24"/>
                <w:szCs w:val="24"/>
                <w:b w:val="1"/>
                <w:bCs w:val="1"/>
                <w:color w:val="auto"/>
                <w:vertAlign w:val="superscript"/>
              </w:rPr>
              <w:t>(4)</w:t>
            </w:r>
          </w:p>
        </w:tc>
        <w:tc>
          <w:tcPr>
            <w:tcW w:w="960" w:type="dxa"/>
            <w:vAlign w:val="bottom"/>
            <w:gridSpan w:val="2"/>
          </w:tcPr>
          <w:p>
            <w:pPr>
              <w:jc w:val="center"/>
              <w:ind w:right="240"/>
              <w:spacing w:after="0" w:line="212" w:lineRule="exact"/>
              <w:rPr>
                <w:sz w:val="20"/>
                <w:szCs w:val="20"/>
                <w:color w:val="auto"/>
              </w:rPr>
            </w:pPr>
            <w:r>
              <w:rPr>
                <w:rFonts w:ascii="Times New Roman" w:cs="Times New Roman" w:eastAsia="Times New Roman" w:hAnsi="Times New Roman"/>
                <w:sz w:val="15"/>
                <w:szCs w:val="15"/>
                <w:b w:val="1"/>
                <w:bCs w:val="1"/>
                <w:color w:val="auto"/>
              </w:rPr>
              <w:t>Income</w:t>
            </w:r>
            <w:r>
              <w:rPr>
                <w:rFonts w:ascii="Times New Roman" w:cs="Times New Roman" w:eastAsia="Times New Roman" w:hAnsi="Times New Roman"/>
                <w:sz w:val="24"/>
                <w:szCs w:val="24"/>
                <w:b w:val="1"/>
                <w:bCs w:val="1"/>
                <w:color w:val="auto"/>
                <w:vertAlign w:val="superscript"/>
              </w:rPr>
              <w:t>(5)</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excluding</w:t>
            </w:r>
          </w:p>
        </w:tc>
        <w:tc>
          <w:tcPr>
            <w:tcW w:w="0" w:type="dxa"/>
            <w:vAlign w:val="bottom"/>
          </w:tcPr>
          <w:p>
            <w:pPr>
              <w:spacing w:after="0"/>
              <w:rPr>
                <w:sz w:val="1"/>
                <w:szCs w:val="1"/>
                <w:color w:val="auto"/>
              </w:rPr>
            </w:pPr>
          </w:p>
        </w:tc>
      </w:tr>
      <w:tr>
        <w:trPr>
          <w:trHeight w:val="256"/>
        </w:trPr>
        <w:tc>
          <w:tcPr>
            <w:tcW w:w="1700" w:type="dxa"/>
            <w:vAlign w:val="bottom"/>
          </w:tcPr>
          <w:p>
            <w:pPr>
              <w:ind w:left="68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94"/>
              </w:rPr>
              <w:t>NEOs</w:t>
            </w:r>
            <w:r>
              <w:rPr>
                <w:rFonts w:ascii="Times New Roman" w:cs="Times New Roman" w:eastAsia="Times New Roman" w:hAnsi="Times New Roman"/>
                <w:sz w:val="28"/>
                <w:szCs w:val="28"/>
                <w:b w:val="1"/>
                <w:bCs w:val="1"/>
                <w:color w:val="auto"/>
                <w:w w:val="94"/>
                <w:vertAlign w:val="superscript"/>
              </w:rPr>
              <w:t>(2)</w:t>
            </w:r>
            <w:r>
              <w:rPr>
                <w:rFonts w:ascii="Times New Roman" w:cs="Times New Roman" w:eastAsia="Times New Roman" w:hAnsi="Times New Roman"/>
                <w:sz w:val="17"/>
                <w:szCs w:val="17"/>
                <w:b w:val="1"/>
                <w:bCs w:val="1"/>
                <w:color w:val="auto"/>
                <w:w w:val="94"/>
              </w:rPr>
              <w:t xml:space="preserve"> ($)</w:t>
            </w:r>
          </w:p>
        </w:tc>
        <w:tc>
          <w:tcPr>
            <w:tcW w:w="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($MM)</w:t>
            </w:r>
          </w:p>
        </w:tc>
        <w:tc>
          <w:tcPr>
            <w:tcW w:w="240" w:type="dxa"/>
            <w:vAlign w:val="bottom"/>
          </w:tcPr>
          <w:p>
            <w:pPr>
              <w:spacing w:after="0"/>
              <w:rPr>
                <w:sz w:val="22"/>
                <w:szCs w:val="22"/>
                <w:color w:val="auto"/>
              </w:rPr>
            </w:pPr>
          </w:p>
        </w:tc>
        <w:tc>
          <w:tcPr>
            <w:tcW w:w="1040" w:type="dxa"/>
            <w:vAlign w:val="bottom"/>
            <w:gridSpan w:val="2"/>
          </w:tcPr>
          <w:p>
            <w:pPr>
              <w:jc w:val="center"/>
              <w:ind w:right="280"/>
              <w:spacing w:after="0" w:line="255" w:lineRule="exact"/>
              <w:rPr>
                <w:sz w:val="20"/>
                <w:szCs w:val="20"/>
                <w:color w:val="auto"/>
              </w:rPr>
            </w:pPr>
            <w:r>
              <w:rPr>
                <w:rFonts w:ascii="Times New Roman" w:cs="Times New Roman" w:eastAsia="Times New Roman" w:hAnsi="Times New Roman"/>
                <w:sz w:val="17"/>
                <w:szCs w:val="17"/>
                <w:b w:val="1"/>
                <w:bCs w:val="1"/>
                <w:color w:val="auto"/>
                <w:w w:val="92"/>
              </w:rPr>
              <w:t>notables</w:t>
            </w:r>
            <w:r>
              <w:rPr>
                <w:rFonts w:ascii="Times New Roman" w:cs="Times New Roman" w:eastAsia="Times New Roman" w:hAnsi="Times New Roman"/>
                <w:sz w:val="28"/>
                <w:szCs w:val="28"/>
                <w:b w:val="1"/>
                <w:bCs w:val="1"/>
                <w:color w:val="auto"/>
                <w:w w:val="92"/>
                <w:vertAlign w:val="superscript"/>
              </w:rPr>
              <w:t>(6)</w:t>
            </w:r>
          </w:p>
        </w:tc>
        <w:tc>
          <w:tcPr>
            <w:tcW w:w="0" w:type="dxa"/>
            <w:vAlign w:val="bottom"/>
          </w:tcPr>
          <w:p>
            <w:pPr>
              <w:spacing w:after="0"/>
              <w:rPr>
                <w:sz w:val="1"/>
                <w:szCs w:val="1"/>
                <w:color w:val="auto"/>
              </w:rPr>
            </w:pPr>
          </w:p>
        </w:tc>
      </w:tr>
      <w:tr>
        <w:trPr>
          <w:trHeight w:val="26"/>
        </w:trPr>
        <w:tc>
          <w:tcPr>
            <w:tcW w:w="17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8,153,781</w:t>
            </w:r>
          </w:p>
        </w:tc>
        <w:tc>
          <w:tcPr>
            <w:tcW w:w="24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4,818,659</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2,345,570</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1,622,072</w:t>
            </w:r>
          </w:p>
        </w:tc>
        <w:tc>
          <w:tcPr>
            <w:tcW w:w="24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17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6,029,718</w:t>
            </w:r>
          </w:p>
        </w:tc>
        <w:tc>
          <w:tcPr>
            <w:tcW w:w="2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2,722,635</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1,739,912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1,223,474</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2021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6,627,653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10,670,774</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1,644,825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1,837,428</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195</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115</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22"/>
        </w:trPr>
        <w:tc>
          <w:tcPr>
            <w:tcW w:w="17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2020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4,587,915</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9,451,692</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1,511,467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2,283,997</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20" w:hanging="310"/>
        <w:spacing w:after="0" w:line="259"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are the amounts of total compensation reported for each corresponding year in the “Total” column of the Summary Compensation Table (below for 2023) for our CEO and non-CEO NEOs as a group. Our CEO was Glen Messina. Our NEOs for each applicable year were as follows: (i) for 2023, Scott W. Anderson, George T. Henley, Sean B. O’Neil, Dennis Zeleny,(ii) for 2022, Scott W. Anderson, George T. Henley, Sean B. O’Neil, Dennis Zeleny, June C. Campbell and Albert J. Celini; (iii) for 2021, Scott W. Anderson, June C. Campbell, George T. Henley, Dennis Zeleny and Timothy J. Yanoti; and (iv) for 2020, Scott W. Anderson, John V. Britti, June C. Campbell and Dennis Zeleny.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2" w:name="page43"/>
    <w:bookmarkEnd w:id="42"/>
    <w:p>
      <w:pPr>
        <w:jc w:val="both"/>
        <w:ind w:left="620" w:hanging="310"/>
        <w:spacing w:after="0" w:line="26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as “compensation actually paid” do not reflect the actual amount of compensation earned by or paid to our CEO and non-CEO NEOs as a group during the applicable year. In accordance with the requirements of Item 402(v) of Regulation S-K, the following adjustments were made to total compensation for each year to determine the “compensation actually paid”: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Equity Award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14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7"/>
                <w:szCs w:val="17"/>
                <w:b w:val="1"/>
                <w:bCs w:val="1"/>
                <w:color w:val="auto"/>
                <w:w w:val="95"/>
              </w:rPr>
              <w:t>Value of</w:t>
            </w:r>
          </w:p>
        </w:tc>
        <w:tc>
          <w:tcPr>
            <w:tcW w:w="1420" w:type="dxa"/>
            <w:vAlign w:val="bottom"/>
            <w:gridSpan w:val="2"/>
            <w:vMerge w:val="continue"/>
          </w:tcPr>
          <w:p>
            <w:pPr>
              <w:spacing w:after="0"/>
              <w:rPr>
                <w:sz w:val="15"/>
                <w:szCs w:val="15"/>
                <w:color w:val="auto"/>
              </w:rPr>
            </w:pPr>
          </w:p>
        </w:tc>
        <w:tc>
          <w:tcPr>
            <w:tcW w:w="122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Equity Awards</w:t>
            </w:r>
          </w:p>
        </w:tc>
        <w:tc>
          <w:tcPr>
            <w:tcW w:w="1420" w:type="dxa"/>
            <w:vAlign w:val="bottom"/>
            <w:gridSpan w:val="2"/>
          </w:tcPr>
          <w:p>
            <w:pPr>
              <w:jc w:val="center"/>
              <w:ind w:right="320"/>
              <w:spacing w:after="0" w:line="236" w:lineRule="exact"/>
              <w:rPr>
                <w:sz w:val="20"/>
                <w:szCs w:val="20"/>
                <w:color w:val="auto"/>
              </w:rPr>
            </w:pPr>
            <w:r>
              <w:rPr>
                <w:rFonts w:ascii="Times New Roman" w:cs="Times New Roman" w:eastAsia="Times New Roman" w:hAnsi="Times New Roman"/>
                <w:sz w:val="17"/>
                <w:szCs w:val="17"/>
                <w:b w:val="1"/>
                <w:bCs w:val="1"/>
                <w:color w:val="auto"/>
                <w:w w:val="96"/>
              </w:rPr>
              <w:t>Adjustments</w:t>
            </w:r>
            <w:r>
              <w:rPr>
                <w:rFonts w:ascii="Times New Roman" w:cs="Times New Roman" w:eastAsia="Times New Roman" w:hAnsi="Times New Roman"/>
                <w:sz w:val="27"/>
                <w:szCs w:val="27"/>
                <w:b w:val="1"/>
                <w:bCs w:val="1"/>
                <w:color w:val="auto"/>
                <w:w w:val="96"/>
                <w:vertAlign w:val="superscript"/>
              </w:rPr>
              <w:t>(a)</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0" w:type="dxa"/>
            <w:vAlign w:val="bottom"/>
          </w:tcPr>
          <w:p>
            <w:pPr>
              <w:spacing w:after="0"/>
              <w:rPr>
                <w:sz w:val="1"/>
                <w:szCs w:val="1"/>
                <w:color w:val="auto"/>
              </w:rPr>
            </w:pPr>
          </w:p>
        </w:tc>
      </w:tr>
      <w:tr>
        <w:trPr>
          <w:trHeight w:val="231"/>
        </w:trPr>
        <w:tc>
          <w:tcPr>
            <w:tcW w:w="3940" w:type="dxa"/>
            <w:vAlign w:val="bottom"/>
          </w:tcPr>
          <w:p>
            <w:pPr>
              <w:ind w:left="1520"/>
              <w:spacing w:after="0"/>
              <w:rPr>
                <w:sz w:val="20"/>
                <w:szCs w:val="20"/>
                <w:color w:val="auto"/>
              </w:rPr>
            </w:pPr>
            <w:r>
              <w:rPr>
                <w:rFonts w:ascii="Times New Roman" w:cs="Times New Roman" w:eastAsia="Times New Roman" w:hAnsi="Times New Roman"/>
                <w:sz w:val="17"/>
                <w:szCs w:val="17"/>
                <w:b w:val="1"/>
                <w:bCs w:val="1"/>
                <w:color w:val="auto"/>
              </w:rPr>
              <w:t>Executive(s)</w:t>
            </w:r>
          </w:p>
        </w:tc>
        <w:tc>
          <w:tcPr>
            <w:tcW w:w="24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14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CEO</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6"/>
              </w:rPr>
              <w:t>8,153,781</w:t>
            </w: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(5,563,820)</w:t>
            </w: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2,228,698</w:t>
            </w: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4,818,659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6,029,718</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(4,233,065)</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925,981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2,722,635</w:t>
            </w: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2021</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6,627,653</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(3,914,160)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7,957,281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10,670,774</w:t>
            </w: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2020</w:t>
            </w:r>
          </w:p>
        </w:tc>
        <w:tc>
          <w:tcPr>
            <w:tcW w:w="3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4,587,915</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(1,316,250)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6,180,028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9,451,692</w:t>
            </w:r>
          </w:p>
        </w:tc>
        <w:tc>
          <w:tcPr>
            <w:tcW w:w="0" w:type="dxa"/>
            <w:vAlign w:val="bottom"/>
          </w:tcPr>
          <w:p>
            <w:pPr>
              <w:spacing w:after="0"/>
              <w:rPr>
                <w:sz w:val="1"/>
                <w:szCs w:val="1"/>
                <w:color w:val="auto"/>
              </w:rPr>
            </w:pPr>
          </w:p>
        </w:tc>
      </w:tr>
      <w:tr>
        <w:trPr>
          <w:trHeight w:val="188"/>
        </w:trPr>
        <w:tc>
          <w:tcPr>
            <w:tcW w:w="39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Average of Non-CEO NEOs</w:t>
            </w:r>
          </w:p>
        </w:tc>
        <w:tc>
          <w:tcPr>
            <w:tcW w:w="240" w:type="dxa"/>
            <w:vAlign w:val="bottom"/>
          </w:tcPr>
          <w:p>
            <w:pPr>
              <w:spacing w:after="0"/>
              <w:rPr>
                <w:sz w:val="16"/>
                <w:szCs w:val="16"/>
                <w:color w:val="auto"/>
              </w:rPr>
            </w:pPr>
          </w:p>
        </w:tc>
        <w:tc>
          <w:tcPr>
            <w:tcW w:w="1140" w:type="dxa"/>
            <w:vAlign w:val="bottom"/>
          </w:tcPr>
          <w:p>
            <w:pPr>
              <w:jc w:val="right"/>
              <w:ind w:right="255"/>
              <w:spacing w:after="0" w:line="189" w:lineRule="exact"/>
              <w:rPr>
                <w:sz w:val="20"/>
                <w:szCs w:val="20"/>
                <w:color w:val="auto"/>
              </w:rPr>
            </w:pPr>
            <w:r>
              <w:rPr>
                <w:rFonts w:ascii="Times New Roman" w:cs="Times New Roman" w:eastAsia="Times New Roman" w:hAnsi="Times New Roman"/>
                <w:sz w:val="17"/>
                <w:szCs w:val="17"/>
                <w:color w:val="auto"/>
              </w:rPr>
              <w:t>2023</w:t>
            </w:r>
          </w:p>
        </w:tc>
        <w:tc>
          <w:tcPr>
            <w:tcW w:w="340" w:type="dxa"/>
            <w:vAlign w:val="bottom"/>
          </w:tcPr>
          <w:p>
            <w:pPr>
              <w:spacing w:after="0"/>
              <w:rPr>
                <w:sz w:val="16"/>
                <w:szCs w:val="16"/>
                <w:color w:val="auto"/>
              </w:rPr>
            </w:pPr>
          </w:p>
        </w:tc>
        <w:tc>
          <w:tcPr>
            <w:tcW w:w="1480" w:type="dxa"/>
            <w:vAlign w:val="bottom"/>
            <w:gridSpan w:val="2"/>
          </w:tcPr>
          <w:p>
            <w:pPr>
              <w:ind w:left="460"/>
              <w:spacing w:after="0" w:line="189" w:lineRule="exact"/>
              <w:rPr>
                <w:sz w:val="20"/>
                <w:szCs w:val="20"/>
                <w:color w:val="auto"/>
              </w:rPr>
            </w:pPr>
            <w:r>
              <w:rPr>
                <w:rFonts w:ascii="Times New Roman" w:cs="Times New Roman" w:eastAsia="Times New Roman" w:hAnsi="Times New Roman"/>
                <w:sz w:val="17"/>
                <w:szCs w:val="17"/>
                <w:color w:val="auto"/>
              </w:rPr>
              <w:t>2,345,570</w:t>
            </w:r>
          </w:p>
        </w:tc>
        <w:tc>
          <w:tcPr>
            <w:tcW w:w="14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7"/>
                <w:szCs w:val="17"/>
                <w:color w:val="auto"/>
              </w:rPr>
              <w:t>(1,034,798)</w:t>
            </w:r>
          </w:p>
        </w:tc>
        <w:tc>
          <w:tcPr>
            <w:tcW w:w="142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7"/>
                <w:szCs w:val="17"/>
                <w:color w:val="auto"/>
              </w:rPr>
              <w:t>311,300</w:t>
            </w:r>
          </w:p>
        </w:tc>
        <w:tc>
          <w:tcPr>
            <w:tcW w:w="12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1,622,072</w:t>
            </w: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138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Pr>
          <w:p>
            <w:pPr>
              <w:spacing w:after="0"/>
              <w:rPr>
                <w:sz w:val="17"/>
                <w:szCs w:val="17"/>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1,739,912</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(692,544)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176,106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1,223,474</w:t>
            </w:r>
          </w:p>
        </w:tc>
        <w:tc>
          <w:tcPr>
            <w:tcW w:w="0" w:type="dxa"/>
            <w:vAlign w:val="bottom"/>
          </w:tcPr>
          <w:p>
            <w:pPr>
              <w:spacing w:after="0"/>
              <w:rPr>
                <w:sz w:val="1"/>
                <w:szCs w:val="1"/>
                <w:color w:val="auto"/>
              </w:rPr>
            </w:pPr>
          </w:p>
        </w:tc>
      </w:tr>
      <w:tr>
        <w:trPr>
          <w:trHeight w:val="205"/>
        </w:trPr>
        <w:tc>
          <w:tcPr>
            <w:tcW w:w="3940" w:type="dxa"/>
            <w:vAlign w:val="bottom"/>
          </w:tcPr>
          <w:p>
            <w:pPr>
              <w:spacing w:after="0"/>
              <w:rPr>
                <w:sz w:val="17"/>
                <w:szCs w:val="17"/>
                <w:color w:val="auto"/>
              </w:rPr>
            </w:pPr>
          </w:p>
        </w:tc>
        <w:tc>
          <w:tcPr>
            <w:tcW w:w="138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2021</w:t>
            </w:r>
          </w:p>
        </w:tc>
        <w:tc>
          <w:tcPr>
            <w:tcW w:w="340" w:type="dxa"/>
            <w:vAlign w:val="bottom"/>
          </w:tcPr>
          <w:p>
            <w:pPr>
              <w:spacing w:after="0"/>
              <w:rPr>
                <w:sz w:val="17"/>
                <w:szCs w:val="17"/>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1,644,825</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(406,315)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598,919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1,837,428</w:t>
            </w:r>
          </w:p>
        </w:tc>
        <w:tc>
          <w:tcPr>
            <w:tcW w:w="0" w:type="dxa"/>
            <w:vAlign w:val="bottom"/>
          </w:tcPr>
          <w:p>
            <w:pPr>
              <w:spacing w:after="0"/>
              <w:rPr>
                <w:sz w:val="1"/>
                <w:szCs w:val="1"/>
                <w:color w:val="auto"/>
              </w:rPr>
            </w:pPr>
          </w:p>
        </w:tc>
      </w:tr>
      <w:tr>
        <w:trPr>
          <w:trHeight w:val="222"/>
        </w:trPr>
        <w:tc>
          <w:tcPr>
            <w:tcW w:w="3940" w:type="dxa"/>
            <w:vAlign w:val="bottom"/>
          </w:tcPr>
          <w:p>
            <w:pPr>
              <w:spacing w:after="0"/>
              <w:rPr>
                <w:sz w:val="19"/>
                <w:szCs w:val="19"/>
                <w:color w:val="auto"/>
              </w:rPr>
            </w:pPr>
          </w:p>
        </w:tc>
        <w:tc>
          <w:tcPr>
            <w:tcW w:w="138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2020</w:t>
            </w:r>
          </w:p>
        </w:tc>
        <w:tc>
          <w:tcPr>
            <w:tcW w:w="340" w:type="dxa"/>
            <w:vAlign w:val="bottom"/>
          </w:tcPr>
          <w:p>
            <w:pPr>
              <w:spacing w:after="0"/>
              <w:rPr>
                <w:sz w:val="19"/>
                <w:szCs w:val="19"/>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1,511,467</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(321,086)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1,093,616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2,283,997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920" w:hanging="303"/>
        <w:spacing w:after="0" w:line="254" w:lineRule="auto"/>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the amount equal to the fair value at the end of the prior fiscal year. The valuation assumptions used to calculate fair values did not materially differ from those disclosed at the time of grant . The amounts deducted or added in calculating the equity award adjustments are as follows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Fair</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Value as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at the End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of the Prior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Date of</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Year of</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of Prior</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Granted in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that Failed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and</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Prior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to Meet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Years that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4"/>
              </w:rPr>
              <w:t>Vesting</w:t>
            </w: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Total Equity</w:t>
            </w: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in the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in the</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Conditions</w:t>
            </w: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Award</w:t>
            </w:r>
          </w:p>
        </w:tc>
      </w:tr>
      <w:tr>
        <w:trPr>
          <w:trHeight w:val="205"/>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the Year</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in the Year</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231"/>
        </w:trPr>
        <w:tc>
          <w:tcPr>
            <w:tcW w:w="2900" w:type="dxa"/>
            <w:vAlign w:val="bottom"/>
          </w:tcPr>
          <w:p>
            <w:pPr>
              <w:ind w:left="1000"/>
              <w:spacing w:after="0"/>
              <w:rPr>
                <w:sz w:val="20"/>
                <w:szCs w:val="20"/>
                <w:color w:val="auto"/>
              </w:rPr>
            </w:pPr>
            <w:r>
              <w:rPr>
                <w:rFonts w:ascii="Times New Roman" w:cs="Times New Roman" w:eastAsia="Times New Roman" w:hAnsi="Times New Roman"/>
                <w:sz w:val="17"/>
                <w:szCs w:val="17"/>
                <w:b w:val="1"/>
                <w:bCs w:val="1"/>
                <w:color w:val="auto"/>
              </w:rPr>
              <w:t>Executive(s)</w:t>
            </w:r>
          </w:p>
        </w:tc>
        <w:tc>
          <w:tcPr>
            <w:tcW w:w="16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20"/>
                <w:szCs w:val="20"/>
                <w:color w:val="auto"/>
              </w:rPr>
            </w:pPr>
          </w:p>
        </w:tc>
        <w:tc>
          <w:tcPr>
            <w:tcW w:w="104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80" w:type="dxa"/>
            <w:vAlign w:val="bottom"/>
          </w:tcPr>
          <w:p>
            <w:pPr>
              <w:spacing w:after="0"/>
              <w:rPr>
                <w:sz w:val="20"/>
                <w:szCs w:val="20"/>
                <w:color w:val="auto"/>
              </w:rPr>
            </w:pPr>
          </w:p>
        </w:tc>
      </w:tr>
      <w:tr>
        <w:trPr>
          <w:trHeight w:val="205"/>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CEO</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4,955,391</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(402,504)</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(2,324,188)</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2,228,698</w:t>
            </w:r>
          </w:p>
        </w:tc>
        <w:tc>
          <w:tcPr>
            <w:tcW w:w="80" w:type="dxa"/>
            <w:vAlign w:val="bottom"/>
            <w:tcBorders>
              <w:top w:val="single" w:sz="8" w:color="CCEEFF"/>
            </w:tcBorders>
            <w:shd w:val="clear" w:color="auto" w:fill="CCEEFF"/>
          </w:tcPr>
          <w:p>
            <w:pPr>
              <w:spacing w:after="0"/>
              <w:rPr>
                <w:sz w:val="17"/>
                <w:szCs w:val="17"/>
                <w:color w:val="auto"/>
              </w:rPr>
            </w:pPr>
          </w:p>
        </w:tc>
      </w:tr>
      <w:tr>
        <w:trPr>
          <w:trHeight w:val="205"/>
        </w:trPr>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5,778,644</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(2,581,410)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(864,643)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(1,406,610)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925,981</w:t>
            </w:r>
          </w:p>
        </w:tc>
        <w:tc>
          <w:tcPr>
            <w:tcW w:w="80" w:type="dxa"/>
            <w:vAlign w:val="bottom"/>
            <w:shd w:val="clear" w:color="auto" w:fill="CCEEFF"/>
          </w:tcPr>
          <w:p>
            <w:pPr>
              <w:spacing w:after="0"/>
              <w:rPr>
                <w:sz w:val="17"/>
                <w:szCs w:val="17"/>
                <w:color w:val="auto"/>
              </w:rPr>
            </w:pPr>
          </w:p>
        </w:tc>
      </w:tr>
      <w:tr>
        <w:trPr>
          <w:trHeight w:val="205"/>
        </w:trPr>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5,873,834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2,146,897</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(42,840)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(20,610)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7,957,281</w:t>
            </w:r>
          </w:p>
        </w:tc>
        <w:tc>
          <w:tcPr>
            <w:tcW w:w="80" w:type="dxa"/>
            <w:vAlign w:val="bottom"/>
            <w:shd w:val="clear" w:color="auto" w:fill="CCEEFF"/>
          </w:tcPr>
          <w:p>
            <w:pPr>
              <w:spacing w:after="0"/>
              <w:rPr>
                <w:sz w:val="17"/>
                <w:szCs w:val="17"/>
                <w:color w:val="auto"/>
              </w:rPr>
            </w:pPr>
          </w:p>
        </w:tc>
      </w:tr>
      <w:tr>
        <w:trPr>
          <w:trHeight w:val="205"/>
        </w:trPr>
        <w:tc>
          <w:tcPr>
            <w:tcW w:w="2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5,483,250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795,627</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(93,059)</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(5,790)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6,180,028</w:t>
            </w:r>
          </w:p>
        </w:tc>
        <w:tc>
          <w:tcPr>
            <w:tcW w:w="80" w:type="dxa"/>
            <w:vAlign w:val="bottom"/>
            <w:shd w:val="clear" w:color="auto" w:fill="CCEEFF"/>
          </w:tcPr>
          <w:p>
            <w:pPr>
              <w:spacing w:after="0"/>
              <w:rPr>
                <w:sz w:val="17"/>
                <w:szCs w:val="17"/>
                <w:color w:val="auto"/>
              </w:rPr>
            </w:pPr>
          </w:p>
        </w:tc>
      </w:tr>
      <w:tr>
        <w:trPr>
          <w:trHeight w:val="188"/>
        </w:trPr>
        <w:tc>
          <w:tcPr>
            <w:tcW w:w="2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Average of Non-CEO NEOs</w:t>
            </w:r>
          </w:p>
        </w:tc>
        <w:tc>
          <w:tcPr>
            <w:tcW w:w="16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7"/>
                <w:szCs w:val="17"/>
                <w:color w:val="auto"/>
              </w:rPr>
              <w:t>731,721</w:t>
            </w:r>
          </w:p>
        </w:tc>
        <w:tc>
          <w:tcPr>
            <w:tcW w:w="116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(257,444)</w:t>
            </w:r>
          </w:p>
        </w:tc>
        <w:tc>
          <w:tcPr>
            <w:tcW w:w="8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56,560</w:t>
            </w:r>
          </w:p>
        </w:tc>
        <w:tc>
          <w:tcPr>
            <w:tcW w:w="10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(134,341)</w:t>
            </w:r>
          </w:p>
        </w:tc>
        <w:tc>
          <w:tcPr>
            <w:tcW w:w="10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(85,196)</w:t>
            </w:r>
          </w:p>
        </w:tc>
        <w:tc>
          <w:tcPr>
            <w:tcW w:w="1120" w:type="dxa"/>
            <w:vAlign w:val="bottom"/>
            <w:gridSpan w:val="3"/>
          </w:tcPr>
          <w:p>
            <w:pPr>
              <w:jc w:val="right"/>
              <w:ind w:right="80"/>
              <w:spacing w:after="0" w:line="189" w:lineRule="exact"/>
              <w:rPr>
                <w:sz w:val="20"/>
                <w:szCs w:val="20"/>
                <w:color w:val="auto"/>
              </w:rPr>
            </w:pPr>
            <w:r>
              <w:rPr>
                <w:rFonts w:ascii="Times New Roman" w:cs="Times New Roman" w:eastAsia="Times New Roman" w:hAnsi="Times New Roman"/>
                <w:sz w:val="17"/>
                <w:szCs w:val="17"/>
                <w:color w:val="auto"/>
              </w:rPr>
              <w:t>311,300</w:t>
            </w:r>
          </w:p>
        </w:tc>
      </w:tr>
      <w:tr>
        <w:trPr>
          <w:trHeight w:val="205"/>
        </w:trPr>
        <w:tc>
          <w:tcPr>
            <w:tcW w:w="29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783,097</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(120,491)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6,852</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(133,625)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(359,728)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176,106</w:t>
            </w:r>
          </w:p>
        </w:tc>
        <w:tc>
          <w:tcPr>
            <w:tcW w:w="8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2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598,919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281,960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(6,938)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598,919</w:t>
            </w:r>
          </w:p>
        </w:tc>
        <w:tc>
          <w:tcPr>
            <w:tcW w:w="80" w:type="dxa"/>
            <w:vAlign w:val="bottom"/>
          </w:tcPr>
          <w:p>
            <w:pPr>
              <w:spacing w:after="0"/>
              <w:rPr>
                <w:sz w:val="17"/>
                <w:szCs w:val="17"/>
                <w:color w:val="auto"/>
              </w:rPr>
            </w:pPr>
          </w:p>
        </w:tc>
      </w:tr>
      <w:tr>
        <w:trPr>
          <w:trHeight w:val="222"/>
        </w:trPr>
        <w:tc>
          <w:tcPr>
            <w:tcW w:w="29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2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1,027,903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81,250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(10,969)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1,093,616</w:t>
            </w:r>
          </w:p>
        </w:tc>
        <w:tc>
          <w:tcPr>
            <w:tcW w:w="80" w:type="dxa"/>
            <w:vAlign w:val="bottom"/>
          </w:tcPr>
          <w:p>
            <w:pPr>
              <w:spacing w:after="0"/>
              <w:rPr>
                <w:sz w:val="19"/>
                <w:szCs w:val="19"/>
                <w:color w:val="auto"/>
              </w:rPr>
            </w:pPr>
          </w:p>
        </w:tc>
      </w:tr>
    </w:tbl>
    <w:p>
      <w:pPr>
        <w:spacing w:after="0" w:line="188" w:lineRule="exact"/>
        <w:rPr>
          <w:sz w:val="20"/>
          <w:szCs w:val="20"/>
          <w:color w:val="auto"/>
        </w:rPr>
      </w:pPr>
    </w:p>
    <w:p>
      <w:pPr>
        <w:jc w:val="both"/>
        <w:ind w:left="300" w:hanging="298"/>
        <w:spacing w:after="0" w:line="267" w:lineRule="auto"/>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92" w:lineRule="exact"/>
        <w:rPr>
          <w:rFonts w:ascii="Times New Roman" w:cs="Times New Roman" w:eastAsia="Times New Roman" w:hAnsi="Times New Roman"/>
          <w:sz w:val="17"/>
          <w:szCs w:val="17"/>
          <w:color w:val="auto"/>
        </w:rPr>
      </w:pPr>
    </w:p>
    <w:p>
      <w:pPr>
        <w:jc w:val="both"/>
        <w:ind w:left="300" w:hanging="298"/>
        <w:spacing w:after="0" w:line="255" w:lineRule="auto"/>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TSR performance of our peer group is weighted by their respective market capitalization as of December 31, 2019. Our peer group is the same peer group described below in “Role of Compensation Committee”. Current peer group companies Guild Holdings Company, loanDepot and UWM Holdings are not included in the weighted average cumulative TSR calculation because they were publicly listed after the beginning of the four-year measurement period. Similarly, cumulative TSR performance of companies used in prior peer groups who have since been delisted are not included in the weighted average cumulative TSR calculation, including Black Knight, CenterState Bank, CoreLogic, Flagstar Bancorp, Home Point Capital and People’s United Financial. Peer Group Total Shareholder Return values for our peer group used in 2021-2023 would be $134, $105, $125, and $102 for 2023, 2022, 2021 and 2020, respectively; for our peer group used in 2020-2021 would be $109, $108, $125 and $112 for 2023, 2022, 2021 and 2020, respectively, and for our peer group used in 2019-2020 would be $97, $106, $141 and $110 for 2023, 2022, 2021 and 2020, respectively. We revise our peer group from time to time to accommodate mergers and acquisitions activity within the previous peer group and the evolution of our business model, and to better reflect peers subject to similar regulatory oversight for performance and business practice benchmarking.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left="300" w:hanging="298"/>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amount of net income (loss) reflected in the Company’s audited financial statements for the applicable year.</w:t>
      </w:r>
    </w:p>
    <w:p>
      <w:pPr>
        <w:spacing w:after="0" w:line="239" w:lineRule="exact"/>
        <w:rPr>
          <w:rFonts w:ascii="Times New Roman" w:cs="Times New Roman" w:eastAsia="Times New Roman" w:hAnsi="Times New Roman"/>
          <w:sz w:val="17"/>
          <w:szCs w:val="17"/>
          <w:color w:val="auto"/>
        </w:rPr>
      </w:pPr>
    </w:p>
    <w:p>
      <w:pPr>
        <w:jc w:val="both"/>
        <w:ind w:left="300" w:hanging="298"/>
        <w:spacing w:after="0" w:line="26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After-Tax Return On Equity (ROE) is calculated as net income divided by average total equity, excluding notables. For a discussion of how we measure pre-tax income before notable items and a reconciliation to financial measures prepared under GAAP, please see our Current Report on Form 8-K filed with the Securities and Exchange Commission on February 27, 2024.</w:t>
      </w:r>
    </w:p>
    <w:p>
      <w:pPr>
        <w:spacing w:after="0" w:line="16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With our focus on long-term performance, we do not specifically align our performance measures with “compensation actually paid”. Nonetheless, in accordance with Item 402(v) of Regulation S-K, below are the relationships between compensation actually paid to the financial measures presented above:</w:t>
      </w:r>
    </w:p>
    <w:p>
      <w:pPr>
        <w:spacing w:after="0" w:line="148" w:lineRule="exact"/>
        <w:rPr>
          <w:sz w:val="20"/>
          <w:szCs w:val="20"/>
          <w:color w:val="auto"/>
        </w:rPr>
      </w:pPr>
    </w:p>
    <w:p>
      <w:pPr>
        <w:jc w:val="both"/>
        <w:ind w:left="620" w:hanging="310"/>
        <w:spacing w:after="0" w:line="264"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Cumulative Company TSR and Compensation Actually Paid</w:t>
      </w:r>
      <w:r>
        <w:rPr>
          <w:rFonts w:ascii="Times New Roman" w:cs="Times New Roman" w:eastAsia="Times New Roman" w:hAnsi="Times New Roman"/>
          <w:sz w:val="17"/>
          <w:szCs w:val="17"/>
          <w:color w:val="auto"/>
        </w:rPr>
        <w:t>: In 2020 and 2021, increases to our share price contributed to higher compensation actually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paid values versus the Summary Compensation Table value. In 2022, the 23% decrease to our year-end closing share price, plus the forfeiture of our 2019 performance-restricted stock units due to unattained metrics, resulted in a significant reduction compensation actually paid compared to 2021. In 2023, the above-target achievement of our 2020 performance-restricted stock units resulted in an increase to compensation actually paid compared to 2022.</w:t>
      </w:r>
    </w:p>
    <w:p>
      <w:pPr>
        <w:spacing w:after="0" w:line="189" w:lineRule="exact"/>
        <w:rPr>
          <w:rFonts w:ascii="Times New Roman" w:cs="Times New Roman" w:eastAsia="Times New Roman" w:hAnsi="Times New Roman"/>
          <w:sz w:val="17"/>
          <w:szCs w:val="17"/>
          <w:color w:val="auto"/>
        </w:rPr>
      </w:pPr>
    </w:p>
    <w:p>
      <w:pPr>
        <w:ind w:left="620" w:hanging="310"/>
        <w:spacing w:after="0" w:line="289"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Cumulative Company TSR and Cumulative Peer Group TSR</w:t>
      </w:r>
      <w:r>
        <w:rPr>
          <w:rFonts w:ascii="Times New Roman" w:cs="Times New Roman" w:eastAsia="Times New Roman" w:hAnsi="Times New Roman"/>
          <w:sz w:val="17"/>
          <w:szCs w:val="17"/>
          <w:color w:val="auto"/>
        </w:rPr>
        <w:t>: Our cumulative total shareholder return has been at least 19% higher than our peer group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average in each of the last three years, which has rewarded our executives, as described below in “Performance Results of Long-Term Incentive Awards”.</w:t>
      </w:r>
    </w:p>
    <w:p>
      <w:pPr>
        <w:spacing w:after="0" w:line="169" w:lineRule="exact"/>
        <w:rPr>
          <w:rFonts w:ascii="Times New Roman" w:cs="Times New Roman" w:eastAsia="Times New Roman" w:hAnsi="Times New Roman"/>
          <w:sz w:val="17"/>
          <w:szCs w:val="17"/>
          <w:color w:val="auto"/>
        </w:rPr>
      </w:pPr>
    </w:p>
    <w:p>
      <w:pPr>
        <w:ind w:left="620" w:hanging="310"/>
        <w:spacing w:after="0" w:line="289"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 Income and Compensation Actually Paid</w:t>
      </w:r>
      <w:r>
        <w:rPr>
          <w:rFonts w:ascii="Times New Roman" w:cs="Times New Roman" w:eastAsia="Times New Roman" w:hAnsi="Times New Roman"/>
          <w:sz w:val="17"/>
          <w:szCs w:val="17"/>
          <w:color w:val="auto"/>
        </w:rPr>
        <w:t>: Net Income was a metric included in our AIP scorecard each of the last four years. Performance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based on a percentage of target achieved in each respective year and reflected in final payout amounts.</w:t>
      </w:r>
    </w:p>
    <w:p>
      <w:pPr>
        <w:spacing w:after="0" w:line="169" w:lineRule="exact"/>
        <w:rPr>
          <w:rFonts w:ascii="Times New Roman" w:cs="Times New Roman" w:eastAsia="Times New Roman" w:hAnsi="Times New Roman"/>
          <w:sz w:val="17"/>
          <w:szCs w:val="17"/>
          <w:color w:val="auto"/>
        </w:rPr>
      </w:pPr>
    </w:p>
    <w:p>
      <w:pPr>
        <w:ind w:left="620" w:hanging="310"/>
        <w:spacing w:after="0" w:line="289" w:lineRule="auto"/>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ROE and Compensation Actually Paid</w:t>
      </w:r>
      <w:r>
        <w:rPr>
          <w:rFonts w:ascii="Times New Roman" w:cs="Times New Roman" w:eastAsia="Times New Roman" w:hAnsi="Times New Roman"/>
          <w:sz w:val="17"/>
          <w:szCs w:val="17"/>
          <w:color w:val="auto"/>
        </w:rPr>
        <w:t>: Return on Equity was a metric included in our AIP scorecard in 2021, 2022 and 2023. Performance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based on a percentage of target achieved in each respective year and reflected in final payout amounts.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Equity-based Compensation Has Created Strong Alignment with Shareholder Value Creation</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annual LTIP awards have created strong alignment between our NEOs’ total compensation and long-term shareholder value creation. These awards are a significant portion of total annual target pay for executives, and total outstanding award values place significant interest in long-term company share price performance.</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table below reflects each NEO’s annual target cash compensation and total equity holdings, excluding stock options, as of March 31, 2024, including shares of common stock beneficially owned and unvested restricted stock units. The table provides the value of those shares and restricted stock units based on the share price of our stock on March 31, 2024 and an illustrative diluted book value per share based on our publicly reported book value as of December 31, 2023. For example, the value of our CEO’s shares would increase over 70% (an additional $12.1 million) if our shares were trading at fully diluted book value compared to the March 31, 2024 share price.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Value of Equity Held by Named Executive Officers</w:t>
      </w:r>
      <w:r>
        <w:rPr>
          <w:rFonts w:ascii="Times New Roman" w:cs="Times New Roman" w:eastAsia="Times New Roman" w:hAnsi="Times New Roman"/>
          <w:sz w:val="28"/>
          <w:szCs w:val="28"/>
          <w:b w:val="1"/>
          <w:bCs w:val="1"/>
          <w:i w:val="1"/>
          <w:iCs w:val="1"/>
          <w:color w:val="auto"/>
          <w:vertAlign w:val="superscript"/>
        </w:rPr>
        <w:t>(1)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Value at $27.01 Share Price</w:t>
            </w:r>
          </w:p>
        </w:tc>
        <w:tc>
          <w:tcPr>
            <w:tcW w:w="2220" w:type="dxa"/>
            <w:vAlign w:val="bottom"/>
            <w:gridSpan w:val="4"/>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Value at $30.76 Share Price</w:t>
            </w:r>
          </w:p>
        </w:tc>
        <w:tc>
          <w:tcPr>
            <w:tcW w:w="206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Value at $46.80 Fully Diluted</w:t>
            </w:r>
          </w:p>
        </w:tc>
        <w:tc>
          <w:tcPr>
            <w:tcW w:w="0" w:type="dxa"/>
            <w:vAlign w:val="bottom"/>
          </w:tcPr>
          <w:p>
            <w:pPr>
              <w:spacing w:after="0"/>
              <w:rPr>
                <w:sz w:val="1"/>
                <w:szCs w:val="1"/>
                <w:color w:val="auto"/>
              </w:rPr>
            </w:pPr>
          </w:p>
        </w:tc>
      </w:tr>
      <w:tr>
        <w:trPr>
          <w:trHeight w:val="249"/>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(price on 3/31/2024)</w:t>
            </w:r>
          </w:p>
        </w:tc>
        <w:tc>
          <w:tcPr>
            <w:tcW w:w="260" w:type="dxa"/>
            <w:vAlign w:val="bottom"/>
          </w:tcPr>
          <w:p>
            <w:pPr>
              <w:spacing w:after="0"/>
              <w:rPr>
                <w:sz w:val="21"/>
                <w:szCs w:val="21"/>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(price on 12/31/2023)</w:t>
            </w:r>
          </w:p>
        </w:tc>
        <w:tc>
          <w:tcPr>
            <w:tcW w:w="280" w:type="dxa"/>
            <w:vAlign w:val="bottom"/>
          </w:tcPr>
          <w:p>
            <w:pPr>
              <w:spacing w:after="0"/>
              <w:rPr>
                <w:sz w:val="21"/>
                <w:szCs w:val="21"/>
                <w:color w:val="auto"/>
              </w:rPr>
            </w:pPr>
          </w:p>
        </w:tc>
        <w:tc>
          <w:tcPr>
            <w:tcW w:w="1940" w:type="dxa"/>
            <w:vAlign w:val="bottom"/>
            <w:tcBorders>
              <w:bottom w:val="single" w:sz="8" w:color="auto"/>
            </w:tcBorders>
            <w:gridSpan w:val="3"/>
          </w:tcPr>
          <w:p>
            <w:pPr>
              <w:jc w:val="center"/>
              <w:spacing w:after="0" w:line="244" w:lineRule="exact"/>
              <w:rPr>
                <w:sz w:val="20"/>
                <w:szCs w:val="20"/>
                <w:color w:val="auto"/>
              </w:rPr>
            </w:pPr>
            <w:r>
              <w:rPr>
                <w:rFonts w:ascii="Times New Roman" w:cs="Times New Roman" w:eastAsia="Times New Roman" w:hAnsi="Times New Roman"/>
                <w:sz w:val="15"/>
                <w:szCs w:val="15"/>
                <w:b w:val="1"/>
                <w:bCs w:val="1"/>
                <w:color w:val="auto"/>
                <w:w w:val="97"/>
              </w:rPr>
              <w:t>Book Value Per Share</w:t>
            </w:r>
            <w:r>
              <w:rPr>
                <w:rFonts w:ascii="Times New Roman" w:cs="Times New Roman" w:eastAsia="Times New Roman" w:hAnsi="Times New Roman"/>
                <w:sz w:val="25"/>
                <w:szCs w:val="25"/>
                <w:b w:val="1"/>
                <w:bCs w:val="1"/>
                <w:color w:val="auto"/>
                <w:w w:val="97"/>
                <w:vertAlign w:val="superscript"/>
              </w:rPr>
              <w:t>(6)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5"/>
                <w:szCs w:val="15"/>
                <w:b w:val="1"/>
                <w:bCs w:val="1"/>
                <w:color w:val="auto"/>
              </w:rPr>
              <w:t>Total Annual</w:t>
            </w:r>
          </w:p>
        </w:tc>
        <w:tc>
          <w:tcPr>
            <w:tcW w:w="82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5"/>
                <w:szCs w:val="15"/>
                <w:b w:val="1"/>
                <w:bCs w:val="1"/>
                <w:color w:val="auto"/>
              </w:rPr>
              <w:t>Unvested</w:t>
            </w:r>
          </w:p>
        </w:tc>
        <w:tc>
          <w:tcPr>
            <w:tcW w:w="820" w:type="dxa"/>
            <w:vAlign w:val="bottom"/>
            <w:gridSpan w:val="2"/>
          </w:tcPr>
          <w:p>
            <w:pPr>
              <w:jc w:val="right"/>
              <w:ind w:right="280"/>
              <w:spacing w:after="0" w:line="167" w:lineRule="exact"/>
              <w:rPr>
                <w:sz w:val="20"/>
                <w:szCs w:val="20"/>
                <w:color w:val="auto"/>
              </w:rPr>
            </w:pPr>
            <w:r>
              <w:rPr>
                <w:rFonts w:ascii="Times New Roman" w:cs="Times New Roman" w:eastAsia="Times New Roman" w:hAnsi="Times New Roman"/>
                <w:sz w:val="15"/>
                <w:szCs w:val="15"/>
                <w:b w:val="1"/>
                <w:bCs w:val="1"/>
                <w:color w:val="auto"/>
              </w:rPr>
              <w:t>Owned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5"/>
                <w:szCs w:val="15"/>
                <w:b w:val="1"/>
                <w:bCs w:val="1"/>
                <w:color w:val="auto"/>
                <w:w w:val="98"/>
              </w:rPr>
              <w:t>% of Total</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5"/>
                <w:szCs w:val="15"/>
                <w:b w:val="1"/>
                <w:bCs w:val="1"/>
                <w:color w:val="auto"/>
                <w:w w:val="98"/>
              </w:rPr>
              <w:t>% of Total</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5"/>
                <w:szCs w:val="15"/>
                <w:b w:val="1"/>
                <w:bCs w:val="1"/>
                <w:color w:val="auto"/>
                <w:w w:val="98"/>
              </w:rPr>
              <w:t>% of Total</w:t>
            </w:r>
          </w:p>
        </w:tc>
        <w:tc>
          <w:tcPr>
            <w:tcW w:w="0" w:type="dxa"/>
            <w:vAlign w:val="bottom"/>
          </w:tcPr>
          <w:p>
            <w:pPr>
              <w:spacing w:after="0"/>
              <w:rPr>
                <w:sz w:val="1"/>
                <w:szCs w:val="1"/>
                <w:color w:val="auto"/>
              </w:rPr>
            </w:pPr>
          </w:p>
        </w:tc>
      </w:tr>
      <w:tr>
        <w:trPr>
          <w:trHeight w:val="205"/>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Target Cash</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20" w:type="dxa"/>
            <w:vAlign w:val="bottom"/>
            <w:gridSpan w:val="2"/>
          </w:tcPr>
          <w:p>
            <w:pPr>
              <w:jc w:val="right"/>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9"/>
              </w:rPr>
              <w:t>Shares</w:t>
            </w:r>
            <w:r>
              <w:rPr>
                <w:rFonts w:ascii="Times New Roman" w:cs="Times New Roman" w:eastAsia="Times New Roman" w:hAnsi="Times New Roman"/>
                <w:sz w:val="23"/>
                <w:szCs w:val="23"/>
                <w:b w:val="1"/>
                <w:bCs w:val="1"/>
                <w:color w:val="auto"/>
                <w:w w:val="99"/>
                <w:vertAlign w:val="superscript"/>
              </w:rPr>
              <w:t>(1)</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30"/>
                <w:szCs w:val="30"/>
                <w:b w:val="1"/>
                <w:bCs w:val="1"/>
                <w:color w:val="auto"/>
                <w:vertAlign w:val="subscript"/>
              </w:rPr>
              <w:t>Value</w:t>
            </w:r>
            <w:r>
              <w:rPr>
                <w:rFonts w:ascii="Times New Roman" w:cs="Times New Roman" w:eastAsia="Times New Roman" w:hAnsi="Times New Roman"/>
                <w:sz w:val="13"/>
                <w:szCs w:val="13"/>
                <w:b w:val="1"/>
                <w:bCs w:val="1"/>
                <w:color w:val="auto"/>
              </w:rPr>
              <w:t>(2)(4)</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Annual Target</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30"/>
                <w:szCs w:val="30"/>
                <w:b w:val="1"/>
                <w:bCs w:val="1"/>
                <w:color w:val="auto"/>
                <w:vertAlign w:val="subscript"/>
              </w:rPr>
              <w:t>Value</w:t>
            </w:r>
            <w:r>
              <w:rPr>
                <w:rFonts w:ascii="Times New Roman" w:cs="Times New Roman" w:eastAsia="Times New Roman" w:hAnsi="Times New Roman"/>
                <w:sz w:val="13"/>
                <w:szCs w:val="13"/>
                <w:b w:val="1"/>
                <w:bCs w:val="1"/>
                <w:color w:val="auto"/>
              </w:rPr>
              <w:t>(2)(5)</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Annual Target</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30"/>
                <w:szCs w:val="30"/>
                <w:b w:val="1"/>
                <w:bCs w:val="1"/>
                <w:color w:val="auto"/>
                <w:vertAlign w:val="subscript"/>
              </w:rPr>
              <w:t>Value</w:t>
            </w:r>
            <w:r>
              <w:rPr>
                <w:rFonts w:ascii="Times New Roman" w:cs="Times New Roman" w:eastAsia="Times New Roman" w:hAnsi="Times New Roman"/>
                <w:sz w:val="13"/>
                <w:szCs w:val="13"/>
                <w:b w:val="1"/>
                <w:bCs w:val="1"/>
                <w:color w:val="auto"/>
              </w:rPr>
              <w:t>(2)(6)</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Annual Target</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820" w:type="dxa"/>
            <w:vAlign w:val="bottom"/>
            <w:gridSpan w:val="2"/>
          </w:tcPr>
          <w:p>
            <w:pPr>
              <w:jc w:val="center"/>
              <w:ind w:right="200"/>
              <w:spacing w:after="0" w:line="214" w:lineRule="exact"/>
              <w:rPr>
                <w:sz w:val="20"/>
                <w:szCs w:val="20"/>
                <w:color w:val="auto"/>
              </w:rPr>
            </w:pPr>
            <w:r>
              <w:rPr>
                <w:rFonts w:ascii="Times New Roman" w:cs="Times New Roman" w:eastAsia="Times New Roman" w:hAnsi="Times New Roman"/>
                <w:sz w:val="15"/>
                <w:szCs w:val="15"/>
                <w:b w:val="1"/>
                <w:bCs w:val="1"/>
                <w:color w:val="auto"/>
                <w:w w:val="94"/>
              </w:rPr>
              <w:t>Units</w:t>
            </w:r>
            <w:r>
              <w:rPr>
                <w:rFonts w:ascii="Times New Roman" w:cs="Times New Roman" w:eastAsia="Times New Roman" w:hAnsi="Times New Roman"/>
                <w:sz w:val="24"/>
                <w:szCs w:val="24"/>
                <w:b w:val="1"/>
                <w:bCs w:val="1"/>
                <w:color w:val="auto"/>
                <w:w w:val="94"/>
                <w:vertAlign w:val="superscript"/>
              </w:rPr>
              <w:t>(1)</w:t>
            </w:r>
          </w:p>
        </w:tc>
        <w:tc>
          <w:tcPr>
            <w:tcW w:w="62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980" w:type="dxa"/>
            <w:vAlign w:val="bottom"/>
            <w:gridSpan w:val="2"/>
            <w:vMerge w:val="continue"/>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980" w:type="dxa"/>
            <w:vAlign w:val="bottom"/>
            <w:gridSpan w:val="2"/>
            <w:vMerge w:val="continue"/>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0" w:type="dxa"/>
            <w:vAlign w:val="bottom"/>
          </w:tcPr>
          <w:p>
            <w:pPr>
              <w:spacing w:after="0"/>
              <w:rPr>
                <w:sz w:val="1"/>
                <w:szCs w:val="1"/>
                <w:color w:val="auto"/>
              </w:rPr>
            </w:pPr>
          </w:p>
        </w:tc>
      </w:tr>
      <w:tr>
        <w:trPr>
          <w:trHeight w:val="214"/>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Glen A. Messina</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2,500,000</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341,522</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268,935</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16,488,444</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660%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18,777,657</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751%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28,569,388</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w:t>
            </w:r>
          </w:p>
        </w:tc>
        <w:tc>
          <w:tcPr>
            <w:tcW w:w="0" w:type="dxa"/>
            <w:vAlign w:val="bottom"/>
          </w:tcPr>
          <w:p>
            <w:pPr>
              <w:spacing w:after="0"/>
              <w:rPr>
                <w:sz w:val="1"/>
                <w:szCs w:val="1"/>
                <w:color w:val="auto"/>
              </w:rPr>
            </w:pPr>
          </w:p>
        </w:tc>
      </w:tr>
      <w:tr>
        <w:trPr>
          <w:trHeight w:val="192"/>
        </w:trPr>
        <w:tc>
          <w:tcPr>
            <w:tcW w:w="1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Sean B. O’Neil</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1,100,000</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97,932</w:t>
            </w:r>
          </w:p>
        </w:tc>
        <w:tc>
          <w:tcPr>
            <w:tcW w:w="2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10,462</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2,927,722</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3,334,199</w:t>
            </w:r>
          </w:p>
        </w:tc>
        <w:tc>
          <w:tcPr>
            <w:tcW w:w="2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5,072,839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0" w:type="dxa"/>
            <w:vAlign w:val="bottom"/>
          </w:tcPr>
          <w:p>
            <w:pPr>
              <w:spacing w:after="0"/>
              <w:rPr>
                <w:sz w:val="1"/>
                <w:szCs w:val="1"/>
                <w:color w:val="auto"/>
              </w:rPr>
            </w:pPr>
          </w:p>
        </w:tc>
      </w:tr>
      <w:tr>
        <w:trPr>
          <w:trHeight w:val="192"/>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Scott W. Anderson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52,104</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24,162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2,059,945</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2,345,942</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3,569,249</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0" w:type="dxa"/>
            <w:vAlign w:val="bottom"/>
          </w:tcPr>
          <w:p>
            <w:pPr>
              <w:spacing w:after="0"/>
              <w:rPr>
                <w:sz w:val="1"/>
                <w:szCs w:val="1"/>
                <w:color w:val="auto"/>
              </w:rPr>
            </w:pPr>
          </w:p>
        </w:tc>
      </w:tr>
      <w:tr>
        <w:trPr>
          <w:trHeight w:val="192"/>
        </w:trPr>
        <w:tc>
          <w:tcPr>
            <w:tcW w:w="1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Dennis Zeleny</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49,712</w:t>
            </w:r>
          </w:p>
        </w:tc>
        <w:tc>
          <w:tcPr>
            <w:tcW w:w="2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11,520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1,653,876</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1,883,496</w:t>
            </w:r>
          </w:p>
        </w:tc>
        <w:tc>
          <w:tcPr>
            <w:tcW w:w="2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2,865,658</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192"/>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5,600,000</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541,270</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315,079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23,129,986</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26,341,295</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470%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40,077,133</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20" w:hanging="310"/>
        <w:spacing w:after="0" w:line="198" w:lineRule="auto"/>
        <w:tabs>
          <w:tab w:leader="none" w:pos="620"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Total equity includes shares of common stock beneficially owned plus unvested restricted stock units. For the vesting terms of our restricted stock units, see “Executive Compensation—Compensation Discussion and Analysis—2023 Long-Term Incentive (LTIP) Awards.”</w:t>
      </w:r>
    </w:p>
    <w:p>
      <w:pPr>
        <w:jc w:val="both"/>
        <w:ind w:left="620" w:hanging="310"/>
        <w:spacing w:after="0" w:line="216" w:lineRule="auto"/>
        <w:tabs>
          <w:tab w:leader="none" w:pos="620"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Values reflect all outstanding stock units, including cash settled restricted stock units and excluding stock options, as of March 31, 2024, with performance-based units adjusted for interim performance as of March 31, 2024. There is no guarantee that time-based units or performance-based units will vest. Vesting of cash-settled stock units will reduce totals shown above. See “Compensation Discussion and Analysis - 2023 Long-Term Incentive (LTIP) Awards” and “Outstanding Equity Awards at Fiscal Year-End”, below, for additional detail on outstanding restricted stock units.</w:t>
      </w:r>
    </w:p>
    <w:p>
      <w:pPr>
        <w:spacing w:after="0" w:line="1" w:lineRule="exact"/>
        <w:rPr>
          <w:rFonts w:ascii="Times New Roman" w:cs="Times New Roman" w:eastAsia="Times New Roman" w:hAnsi="Times New Roman"/>
          <w:sz w:val="28"/>
          <w:szCs w:val="28"/>
          <w:color w:val="auto"/>
          <w:vertAlign w:val="superscript"/>
        </w:rPr>
      </w:pPr>
    </w:p>
    <w:p>
      <w:pPr>
        <w:ind w:left="620" w:hanging="310"/>
        <w:spacing w:after="0" w:line="185" w:lineRule="auto"/>
        <w:tabs>
          <w:tab w:leader="none" w:pos="62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“Owned Shares” represents shares beneficially owned as of March 31, 2024. Includes shares held jointly, indirectly by spouse, and indirectly by trust.</w:t>
      </w:r>
    </w:p>
    <w:p>
      <w:pPr>
        <w:spacing w:after="0" w:line="1" w:lineRule="exact"/>
        <w:rPr>
          <w:rFonts w:ascii="Times New Roman" w:cs="Times New Roman" w:eastAsia="Times New Roman" w:hAnsi="Times New Roman"/>
          <w:sz w:val="23"/>
          <w:szCs w:val="23"/>
          <w:color w:val="auto"/>
          <w:vertAlign w:val="superscript"/>
        </w:rPr>
      </w:pPr>
    </w:p>
    <w:p>
      <w:pPr>
        <w:jc w:val="both"/>
        <w:ind w:left="620" w:hanging="310"/>
        <w:spacing w:after="0" w:line="206" w:lineRule="auto"/>
        <w:tabs>
          <w:tab w:leader="none" w:pos="620"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Calculations are based on share price as of March 28, 2024, the last closing price prior March 31, 2024, and equity holdings as of March 31, 2024. Our future stock price may vary materially from the closing price shown in the table. The closing price per share of our common stock on April 11, 2024 was $24.40 per share.</w:t>
      </w:r>
    </w:p>
    <w:p>
      <w:pPr>
        <w:spacing w:after="0" w:line="1" w:lineRule="exact"/>
        <w:rPr>
          <w:rFonts w:ascii="Times New Roman" w:cs="Times New Roman" w:eastAsia="Times New Roman" w:hAnsi="Times New Roman"/>
          <w:sz w:val="28"/>
          <w:szCs w:val="28"/>
          <w:color w:val="auto"/>
          <w:vertAlign w:val="superscript"/>
        </w:rPr>
      </w:pPr>
    </w:p>
    <w:p>
      <w:pPr>
        <w:ind w:left="620" w:hanging="310"/>
        <w:spacing w:after="0" w:line="190" w:lineRule="auto"/>
        <w:tabs>
          <w:tab w:leader="none" w:pos="620"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Calculations are based on $30.76 closing price per share of our common stock on December 29, 2023, the last closing price prior to December 31, 2023, and March 31, 2024 equity holdings. Our future stock price may vary materially from the closing price shown in the table.</w:t>
      </w:r>
    </w:p>
    <w:p>
      <w:pPr>
        <w:jc w:val="both"/>
        <w:ind w:left="620" w:hanging="310"/>
        <w:spacing w:after="0" w:line="227" w:lineRule="auto"/>
        <w:tabs>
          <w:tab w:leader="none" w:pos="620" w:val="left"/>
        </w:tabs>
        <w:numPr>
          <w:ilvl w:val="0"/>
          <w:numId w:val="4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Calculations are based on March 31, 2024 equity holdings and fully diluted book value per share. Fully diluted book value per share is calculated based on the Company’s most recent publicly reported book value of $401.8 million at December 29, 2023 and 9,230,269 shares, comprised of 7,784,253 shares outstanding and 1,446,016 warrants held by Oaktree as of March 31, 2024. See “Business Relationships and Related Transactions – Relationship with Oaktree”, below. Assumes cashless exercise of Oaktree warrants using 10-day average of Volume Weighted Average Price (10 days ending on preceding day of exercise) on March 31, 2024 of $25.54. Does not give effect to issuance of shares underlying vested and unvested restricted stock units shown in table or stock options with strike prices above current trading prices.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total shares owned and outstanding units granted to NEOs as of March 31, 2024 represent 11.2% of the diluted weighted average number (7,635,584) of shares of the Company’s common stock issued and outstanding in the 2023 fiscal year. When coupled with the holdings of non-management directors, as shown above, these groups collectively own shares and outstanding units representing 13.2% of the Company’s 2023 diluted weighted average shares outstanding.</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described further below, awards granted to NEOs in 2023 also applied a one-year holding requirement to shares acquired on vesting of newly-granted RSUs to continue to promote strong governance and risk management practices.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i w:val="1"/>
          <w:iCs w:val="1"/>
          <w:color w:val="auto"/>
        </w:rPr>
        <w:t>Parties Involved in Compensation Decisions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governance of our executive compensation programs generally occurs through interaction of three groups: the Compensation Committee, the Compensation Committee’s independent compensation consultant, and management. In 2023, on occasion and as it considered appropriate, the Compensation Committee enlisted the advice of outside counsel specializing in executive and non-employee director compensation matters to assist it in fulfilling its responsibilities under the Compensation Committee’s charter.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Role of the Compensation Committee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Compensation Committee is responsible for overseeing the development and approval of our executive compensation and benefits policies and programs. The Compensation Committee, consisting of three independent directors, is responsible for the design, review and approval of all aspects of our executive compensation program. Among its duties, the Compensation Committee formulates recommendations to the Board of Directors for CEO compensation and reviews and approves all compensation recommendations for the other NEOs. Adjustments are made by the Compensation Committee in its judgment, taking into account compensation arrangements for comparable positions at peer group companies (discussed below), analysis prepared by WTW, the Compensation Committee’s independent compensation consultant, individual performance of the NEO, an assessment of the value of the individual’s performance going forward and compensation levels necessary to maintain and attract quality personnel. Compensation levels are also considered upon a promotion or other change in job responsibility. The Company considers feedback from shareholders, including feedback in the form of shareholder advisory votes on Ocwen’s executive compensation. Additionally, the Compensation Committee reviews an annual risk assessment prepared by the Chief Risk and Compliance Officer to evaluate the likelihood that NEO incentive compensation plans may induce management actions inconsistent with the Company’s risk appetite statement and core values.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Compensation Committee’s review for NEOs also includes:</w:t>
      </w:r>
    </w:p>
    <w:p>
      <w:pPr>
        <w:spacing w:after="0" w:line="214" w:lineRule="exact"/>
        <w:rPr>
          <w:sz w:val="20"/>
          <w:szCs w:val="20"/>
          <w:color w:val="auto"/>
        </w:rPr>
      </w:pPr>
    </w:p>
    <w:p>
      <w:pPr>
        <w:ind w:left="620" w:hanging="310"/>
        <w:spacing w:after="0" w:line="262"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AIP Corporate Scorecard, which drives the variable compensation for approximately 600 top managers of the company including the NEOs;</w:t>
      </w:r>
    </w:p>
    <w:p>
      <w:pPr>
        <w:ind w:left="620" w:hanging="310"/>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individual performance results to determine the AIP individual performance multiplier of each NEO;</w:t>
      </w:r>
    </w:p>
    <w:p>
      <w:pPr>
        <w:spacing w:after="0" w:line="9" w:lineRule="exact"/>
        <w:rPr>
          <w:rFonts w:ascii="Times New Roman" w:cs="Times New Roman" w:eastAsia="Times New Roman" w:hAnsi="Times New Roman"/>
          <w:sz w:val="17"/>
          <w:szCs w:val="17"/>
          <w:color w:val="auto"/>
        </w:rPr>
      </w:pPr>
    </w:p>
    <w:p>
      <w:pPr>
        <w:ind w:left="620" w:hanging="310"/>
        <w:spacing w:after="0" w:line="251"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any changes to compensation, including, but not limited to, base salary, short-term and long-term incentive award opportunities, severance payments and retention programs; and</w:t>
      </w:r>
    </w:p>
    <w:p>
      <w:pPr>
        <w:jc w:val="both"/>
        <w:ind w:left="620" w:hanging="310"/>
        <w:spacing w:after="0" w:line="253"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the market competitiveness of each NEO’s total compensation (and principal elements of compensation) against relevant comparator groups, including broad-based industry survey data provided by the Compensation Committee’s independent compensation consultant (which is considered generally without focus on any particular company or group of companies in the survey other than the peer group companies noted below) as well as a peer group of companies that are recommended to the Compensation Committee by its independent compensation consultant based on a number of metrics, including industry classification, revenues, assets and number of employees. The peer group used to help inform compensation decisions from January through September 2023 is listed below.</w:t>
      </w:r>
    </w:p>
    <w:p>
      <w:pPr>
        <w:spacing w:after="0" w:line="181" w:lineRule="exact"/>
        <w:rPr>
          <w:sz w:val="20"/>
          <w:szCs w:val="20"/>
          <w:color w:val="auto"/>
        </w:rPr>
      </w:pPr>
    </w:p>
    <w:tbl>
      <w:tblPr>
        <w:tblLayout w:type="fixed"/>
        <w:tblInd w:w="1560" w:type="dxa"/>
        <w:tblCellMar>
          <w:top w:w="0" w:type="dxa"/>
          <w:left w:w="0" w:type="dxa"/>
          <w:bottom w:w="0" w:type="dxa"/>
          <w:right w:w="0" w:type="dxa"/>
        </w:tblCellMar>
      </w:tblP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Associated Banc-Corp</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w w:val="99"/>
              </w:rPr>
              <w:t>Mr. Cooper Group Inc.</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BankUnited, Inc.</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w w:val="99"/>
              </w:rPr>
              <w:t>Navient Corporation</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w w:val="99"/>
              </w:rPr>
              <w:t>Finance of America Companies, Inc.</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rPr>
              <w:t>PennyMac Financial Services, Inc.</w:t>
            </w:r>
          </w:p>
        </w:tc>
      </w:tr>
      <w:tr>
        <w:trPr>
          <w:trHeight w:val="205"/>
        </w:trPr>
        <w:tc>
          <w:tcPr>
            <w:tcW w:w="4100" w:type="dxa"/>
            <w:vAlign w:val="bottom"/>
          </w:tcPr>
          <w:p>
            <w:pPr>
              <w:jc w:val="center"/>
              <w:ind w:right="1495"/>
              <w:spacing w:after="0"/>
              <w:rPr>
                <w:sz w:val="20"/>
                <w:szCs w:val="20"/>
                <w:color w:val="auto"/>
              </w:rPr>
            </w:pPr>
            <w:r>
              <w:rPr>
                <w:rFonts w:ascii="Times New Roman" w:cs="Times New Roman" w:eastAsia="Times New Roman" w:hAnsi="Times New Roman"/>
                <w:sz w:val="17"/>
                <w:szCs w:val="17"/>
                <w:color w:val="auto"/>
              </w:rPr>
              <w:t>Guild Holdings Company</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w w:val="99"/>
              </w:rPr>
              <w:t>Radian Group Inc.</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Home Point Capital Inc.</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w w:val="99"/>
              </w:rPr>
              <w:t>South State Corporation</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w w:val="99"/>
              </w:rPr>
              <w:t>LendingTree, Inc.</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rPr>
              <w:t>UWM Holdings Corporation</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loanDepot, Inc.</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w w:val="99"/>
              </w:rPr>
              <w:t>Walker &amp; Dunlop, Inc.</w:t>
            </w:r>
          </w:p>
        </w:tc>
      </w:tr>
      <w:tr>
        <w:trPr>
          <w:trHeight w:val="222"/>
        </w:trPr>
        <w:tc>
          <w:tcPr>
            <w:tcW w:w="4100" w:type="dxa"/>
            <w:vAlign w:val="bottom"/>
          </w:tcPr>
          <w:p>
            <w:pPr>
              <w:jc w:val="center"/>
              <w:ind w:right="1495"/>
              <w:spacing w:after="0"/>
              <w:rPr>
                <w:sz w:val="20"/>
                <w:szCs w:val="20"/>
                <w:color w:val="auto"/>
              </w:rPr>
            </w:pPr>
            <w:r>
              <w:rPr>
                <w:rFonts w:ascii="Times New Roman" w:cs="Times New Roman" w:eastAsia="Times New Roman" w:hAnsi="Times New Roman"/>
                <w:sz w:val="17"/>
                <w:szCs w:val="17"/>
                <w:color w:val="auto"/>
              </w:rPr>
              <w:t>MGIC Investment Corporation</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w w:val="99"/>
              </w:rPr>
              <w:t>Webster Financial Corporation</w:t>
            </w:r>
          </w:p>
        </w:tc>
      </w:tr>
    </w:tbl>
    <w:p>
      <w:pPr>
        <w:spacing w:after="0" w:line="188"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7"/>
          <w:szCs w:val="17"/>
          <w:color w:val="auto"/>
        </w:rPr>
        <w:t>In September 2023, the Compensation Committee revised the peer group to the list below to accommodate mergers and acquisitions activity within the previous peer group, and to ensure the constituent companies remain aligned with Ocwen’s business model and key metrics noted above.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6" w:name="page47"/>
    <w:bookmarkEnd w:id="46"/>
    <w:tbl>
      <w:tblPr>
        <w:tblLayout w:type="fixed"/>
        <w:tblInd w:w="1560" w:type="dxa"/>
        <w:tblCellMar>
          <w:top w:w="0" w:type="dxa"/>
          <w:left w:w="0" w:type="dxa"/>
          <w:bottom w:w="0" w:type="dxa"/>
          <w:right w:w="0" w:type="dxa"/>
        </w:tblCellMar>
      </w:tblP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Associated Banc-Corp</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w w:val="99"/>
              </w:rPr>
              <w:t>Mr. Cooper Group Inc.</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Axos Financial, Inc.</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rPr>
              <w:t>PennyMac Financial Services, Inc.</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BankUnited, Inc.</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w w:val="99"/>
              </w:rPr>
              <w:t>Radian Group Inc.</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w w:val="99"/>
              </w:rPr>
              <w:t>Finance of America Companies, Inc.</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w w:val="99"/>
              </w:rPr>
              <w:t>South State Corporation</w:t>
            </w:r>
          </w:p>
        </w:tc>
      </w:tr>
      <w:tr>
        <w:trPr>
          <w:trHeight w:val="205"/>
        </w:trPr>
        <w:tc>
          <w:tcPr>
            <w:tcW w:w="4100" w:type="dxa"/>
            <w:vAlign w:val="bottom"/>
          </w:tcPr>
          <w:p>
            <w:pPr>
              <w:jc w:val="center"/>
              <w:ind w:right="1495"/>
              <w:spacing w:after="0"/>
              <w:rPr>
                <w:sz w:val="20"/>
                <w:szCs w:val="20"/>
                <w:color w:val="auto"/>
              </w:rPr>
            </w:pPr>
            <w:r>
              <w:rPr>
                <w:rFonts w:ascii="Times New Roman" w:cs="Times New Roman" w:eastAsia="Times New Roman" w:hAnsi="Times New Roman"/>
                <w:sz w:val="17"/>
                <w:szCs w:val="17"/>
                <w:color w:val="auto"/>
              </w:rPr>
              <w:t>Guild Holdings Company</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rPr>
              <w:t>UWM Holdings Corporation</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w w:val="99"/>
              </w:rPr>
              <w:t>LendingTree, Inc.</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w w:val="99"/>
              </w:rPr>
              <w:t>Walker &amp; Dunlop, Inc.</w:t>
            </w:r>
          </w:p>
        </w:tc>
      </w:tr>
      <w:tr>
        <w:trPr>
          <w:trHeight w:val="205"/>
        </w:trPr>
        <w:tc>
          <w:tcPr>
            <w:tcW w:w="4100" w:type="dxa"/>
            <w:vAlign w:val="bottom"/>
          </w:tcPr>
          <w:p>
            <w:pPr>
              <w:jc w:val="center"/>
              <w:ind w:right="1515"/>
              <w:spacing w:after="0"/>
              <w:rPr>
                <w:sz w:val="20"/>
                <w:szCs w:val="20"/>
                <w:color w:val="auto"/>
              </w:rPr>
            </w:pPr>
            <w:r>
              <w:rPr>
                <w:rFonts w:ascii="Times New Roman" w:cs="Times New Roman" w:eastAsia="Times New Roman" w:hAnsi="Times New Roman"/>
                <w:sz w:val="17"/>
                <w:szCs w:val="17"/>
                <w:color w:val="auto"/>
              </w:rPr>
              <w:t>loanDepot, Inc.</w:t>
            </w:r>
          </w:p>
        </w:tc>
        <w:tc>
          <w:tcPr>
            <w:tcW w:w="3960" w:type="dxa"/>
            <w:vAlign w:val="bottom"/>
          </w:tcPr>
          <w:p>
            <w:pPr>
              <w:jc w:val="center"/>
              <w:ind w:left="1495"/>
              <w:spacing w:after="0"/>
              <w:rPr>
                <w:sz w:val="20"/>
                <w:szCs w:val="20"/>
                <w:color w:val="auto"/>
              </w:rPr>
            </w:pPr>
            <w:r>
              <w:rPr>
                <w:rFonts w:ascii="Times New Roman" w:cs="Times New Roman" w:eastAsia="Times New Roman" w:hAnsi="Times New Roman"/>
                <w:sz w:val="17"/>
                <w:szCs w:val="17"/>
                <w:color w:val="auto"/>
                <w:w w:val="99"/>
              </w:rPr>
              <w:t>Webster Financial Corporation</w:t>
            </w:r>
          </w:p>
        </w:tc>
      </w:tr>
      <w:tr>
        <w:trPr>
          <w:trHeight w:val="222"/>
        </w:trPr>
        <w:tc>
          <w:tcPr>
            <w:tcW w:w="4100" w:type="dxa"/>
            <w:vAlign w:val="bottom"/>
          </w:tcPr>
          <w:p>
            <w:pPr>
              <w:jc w:val="center"/>
              <w:ind w:right="1495"/>
              <w:spacing w:after="0"/>
              <w:rPr>
                <w:sz w:val="20"/>
                <w:szCs w:val="20"/>
                <w:color w:val="auto"/>
              </w:rPr>
            </w:pPr>
            <w:r>
              <w:rPr>
                <w:rFonts w:ascii="Times New Roman" w:cs="Times New Roman" w:eastAsia="Times New Roman" w:hAnsi="Times New Roman"/>
                <w:sz w:val="17"/>
                <w:szCs w:val="17"/>
                <w:color w:val="auto"/>
              </w:rPr>
              <w:t>MGIC Investment Corporation</w:t>
            </w:r>
          </w:p>
        </w:tc>
        <w:tc>
          <w:tcPr>
            <w:tcW w:w="3960" w:type="dxa"/>
            <w:vAlign w:val="bottom"/>
          </w:tcPr>
          <w:p>
            <w:pPr>
              <w:jc w:val="center"/>
              <w:ind w:left="1515"/>
              <w:spacing w:after="0"/>
              <w:rPr>
                <w:sz w:val="20"/>
                <w:szCs w:val="20"/>
                <w:color w:val="auto"/>
              </w:rPr>
            </w:pPr>
            <w:r>
              <w:rPr>
                <w:rFonts w:ascii="Times New Roman" w:cs="Times New Roman" w:eastAsia="Times New Roman" w:hAnsi="Times New Roman"/>
                <w:sz w:val="17"/>
                <w:szCs w:val="17"/>
                <w:color w:val="auto"/>
              </w:rPr>
              <w:t>WSFS Financial Corporation</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We Make Compensation Decisions</w:t>
      </w:r>
    </w:p>
    <w:p>
      <w:pPr>
        <w:spacing w:after="0" w:line="2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Each year our executive and other compensation programs are developed and refined through a year’s worth of analysis and decision-making by the Compensation Committee. A typical year’s work is summarized below:</w:t>
      </w:r>
    </w:p>
    <w:p>
      <w:pPr>
        <w:spacing w:after="0" w:line="174" w:lineRule="exact"/>
        <w:rPr>
          <w:sz w:val="20"/>
          <w:szCs w:val="20"/>
          <w:color w:val="auto"/>
        </w:rPr>
      </w:pPr>
    </w:p>
    <w:p>
      <w:pPr>
        <w:ind w:left="800"/>
        <w:spacing w:after="0"/>
        <w:tabs>
          <w:tab w:leader="none" w:pos="3600" w:val="left"/>
          <w:tab w:leader="none" w:pos="6480" w:val="left"/>
          <w:tab w:leader="none" w:pos="9400" w:val="left"/>
        </w:tabs>
        <w:rPr>
          <w:sz w:val="20"/>
          <w:szCs w:val="20"/>
          <w:color w:val="auto"/>
        </w:rPr>
      </w:pPr>
      <w:r>
        <w:rPr>
          <w:rFonts w:ascii="Times New Roman" w:cs="Times New Roman" w:eastAsia="Times New Roman" w:hAnsi="Times New Roman"/>
          <w:sz w:val="17"/>
          <w:szCs w:val="17"/>
          <w:b w:val="1"/>
          <w:bCs w:val="1"/>
          <w:color w:val="auto"/>
        </w:rPr>
        <w:t>QUARTER 1</w:t>
      </w:r>
      <w:r>
        <w:rPr>
          <w:sz w:val="20"/>
          <w:szCs w:val="20"/>
          <w:color w:val="auto"/>
        </w:rPr>
        <w:tab/>
      </w:r>
      <w:r>
        <w:rPr>
          <w:rFonts w:ascii="Times New Roman" w:cs="Times New Roman" w:eastAsia="Times New Roman" w:hAnsi="Times New Roman"/>
          <w:sz w:val="17"/>
          <w:szCs w:val="17"/>
          <w:b w:val="1"/>
          <w:bCs w:val="1"/>
          <w:color w:val="auto"/>
        </w:rPr>
        <w:t>QUARTER 2</w:t>
      </w:r>
      <w:r>
        <w:rPr>
          <w:sz w:val="20"/>
          <w:szCs w:val="20"/>
          <w:color w:val="auto"/>
        </w:rPr>
        <w:tab/>
      </w:r>
      <w:r>
        <w:rPr>
          <w:rFonts w:ascii="Times New Roman" w:cs="Times New Roman" w:eastAsia="Times New Roman" w:hAnsi="Times New Roman"/>
          <w:sz w:val="17"/>
          <w:szCs w:val="17"/>
          <w:b w:val="1"/>
          <w:bCs w:val="1"/>
          <w:color w:val="auto"/>
        </w:rPr>
        <w:t>QUARTER 3</w:t>
      </w:r>
      <w:r>
        <w:rPr>
          <w:sz w:val="20"/>
          <w:szCs w:val="20"/>
          <w:color w:val="auto"/>
        </w:rPr>
        <w:tab/>
      </w:r>
      <w:r>
        <w:rPr>
          <w:rFonts w:ascii="Times New Roman" w:cs="Times New Roman" w:eastAsia="Times New Roman" w:hAnsi="Times New Roman"/>
          <w:sz w:val="16"/>
          <w:szCs w:val="16"/>
          <w:b w:val="1"/>
          <w:bCs w:val="1"/>
          <w:color w:val="auto"/>
        </w:rPr>
        <w:t>QUARTER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1393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spacing w:after="0" w:line="77" w:lineRule="exact"/>
        <w:rPr>
          <w:sz w:val="20"/>
          <w:szCs w:val="20"/>
          <w:color w:val="auto"/>
        </w:rPr>
      </w:pPr>
    </w:p>
    <w:p>
      <w:pPr>
        <w:ind w:left="200" w:right="40" w:hanging="152"/>
        <w:spacing w:after="0" w:line="255" w:lineRule="auto"/>
        <w:tabs>
          <w:tab w:leader="none" w:pos="1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Company’s prior year performance against the financial and strategic metrics set forth in the prior year’s AIP scorecard.</w:t>
      </w:r>
    </w:p>
    <w:p>
      <w:pPr>
        <w:spacing w:after="0" w:line="3" w:lineRule="exact"/>
        <w:rPr>
          <w:rFonts w:ascii="Times New Roman" w:cs="Times New Roman" w:eastAsia="Times New Roman" w:hAnsi="Times New Roman"/>
          <w:sz w:val="17"/>
          <w:szCs w:val="17"/>
          <w:color w:val="auto"/>
        </w:rPr>
      </w:pPr>
    </w:p>
    <w:p>
      <w:pPr>
        <w:ind w:left="200" w:right="20" w:hanging="152"/>
        <w:spacing w:after="0" w:line="251" w:lineRule="auto"/>
        <w:tabs>
          <w:tab w:leader="none" w:pos="1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evaluate the individual performance of the CEO and each of our other NEOs and other executive officers.</w:t>
      </w:r>
    </w:p>
    <w:p>
      <w:pPr>
        <w:spacing w:after="0" w:line="1" w:lineRule="exact"/>
        <w:rPr>
          <w:rFonts w:ascii="Times New Roman" w:cs="Times New Roman" w:eastAsia="Times New Roman" w:hAnsi="Times New Roman"/>
          <w:sz w:val="17"/>
          <w:szCs w:val="17"/>
          <w:color w:val="auto"/>
        </w:rPr>
      </w:pPr>
    </w:p>
    <w:p>
      <w:pPr>
        <w:ind w:left="200" w:hanging="152"/>
        <w:spacing w:after="0" w:line="251" w:lineRule="auto"/>
        <w:tabs>
          <w:tab w:leader="none" w:pos="1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payouts to be made under the AIP based on prior year’s performance.</w:t>
      </w:r>
    </w:p>
    <w:p>
      <w:pPr>
        <w:spacing w:after="0" w:line="1" w:lineRule="exact"/>
        <w:rPr>
          <w:rFonts w:ascii="Times New Roman" w:cs="Times New Roman" w:eastAsia="Times New Roman" w:hAnsi="Times New Roman"/>
          <w:sz w:val="17"/>
          <w:szCs w:val="17"/>
          <w:color w:val="auto"/>
        </w:rPr>
      </w:pPr>
    </w:p>
    <w:p>
      <w:pPr>
        <w:ind w:left="200" w:right="340" w:hanging="152"/>
        <w:spacing w:after="0" w:line="251" w:lineRule="auto"/>
        <w:tabs>
          <w:tab w:leader="none" w:pos="1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total target compensation levels for our NEOs and other executive officers, as informed by both market data and prior year’s performance.</w:t>
      </w:r>
    </w:p>
    <w:p>
      <w:pPr>
        <w:spacing w:after="0" w:line="2" w:lineRule="exact"/>
        <w:rPr>
          <w:rFonts w:ascii="Times New Roman" w:cs="Times New Roman" w:eastAsia="Times New Roman" w:hAnsi="Times New Roman"/>
          <w:sz w:val="17"/>
          <w:szCs w:val="17"/>
          <w:color w:val="auto"/>
        </w:rPr>
      </w:pPr>
    </w:p>
    <w:p>
      <w:pPr>
        <w:ind w:left="200" w:hanging="152"/>
        <w:spacing w:after="0" w:line="251" w:lineRule="auto"/>
        <w:tabs>
          <w:tab w:leader="none" w:pos="1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the structure and targets for the current year’s AIP to align with the financial and strategic priorities for the Company.</w:t>
      </w:r>
    </w:p>
    <w:p>
      <w:pPr>
        <w:spacing w:after="0" w:line="1" w:lineRule="exact"/>
        <w:rPr>
          <w:rFonts w:ascii="Times New Roman" w:cs="Times New Roman" w:eastAsia="Times New Roman" w:hAnsi="Times New Roman"/>
          <w:sz w:val="17"/>
          <w:szCs w:val="17"/>
          <w:color w:val="auto"/>
        </w:rPr>
      </w:pPr>
    </w:p>
    <w:p>
      <w:pPr>
        <w:ind w:left="200" w:right="320" w:hanging="152"/>
        <w:spacing w:after="0" w:line="255" w:lineRule="auto"/>
        <w:tabs>
          <w:tab w:leader="none" w:pos="19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the structure for the current year’s LTIP awards, including TSR or other performance objective.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55" w:right="160" w:hanging="155"/>
        <w:spacing w:after="0" w:line="274" w:lineRule="auto"/>
        <w:tabs>
          <w:tab w:leader="none" w:pos="14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the Compensation Committee’s report and CD&amp;A for the Proxy Statement.</w:t>
      </w:r>
    </w:p>
    <w:p>
      <w:pPr>
        <w:spacing w:after="0" w:line="1" w:lineRule="exact"/>
        <w:rPr>
          <w:rFonts w:ascii="Times New Roman" w:cs="Times New Roman" w:eastAsia="Times New Roman" w:hAnsi="Times New Roman"/>
          <w:sz w:val="16"/>
          <w:szCs w:val="16"/>
          <w:color w:val="auto"/>
        </w:rPr>
      </w:pPr>
    </w:p>
    <w:p>
      <w:pPr>
        <w:ind w:left="155" w:right="120" w:hanging="155"/>
        <w:spacing w:after="0" w:line="251" w:lineRule="auto"/>
        <w:tabs>
          <w:tab w:leader="none" w:pos="14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Say-on-Pay voting recommendations from proxy advisory firms.</w:t>
      </w:r>
    </w:p>
    <w:p>
      <w:pPr>
        <w:spacing w:after="0" w:line="1" w:lineRule="exact"/>
        <w:rPr>
          <w:rFonts w:ascii="Times New Roman" w:cs="Times New Roman" w:eastAsia="Times New Roman" w:hAnsi="Times New Roman"/>
          <w:sz w:val="17"/>
          <w:szCs w:val="17"/>
          <w:color w:val="auto"/>
        </w:rPr>
      </w:pPr>
    </w:p>
    <w:p>
      <w:pPr>
        <w:jc w:val="both"/>
        <w:ind w:left="155" w:hanging="155"/>
        <w:spacing w:after="0" w:line="251" w:lineRule="auto"/>
        <w:tabs>
          <w:tab w:leader="none" w:pos="14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the results of the voting at the Annual Meeting.</w:t>
      </w:r>
    </w:p>
    <w:p>
      <w:pPr>
        <w:ind w:left="155" w:right="380" w:hanging="155"/>
        <w:spacing w:after="0" w:line="254" w:lineRule="auto"/>
        <w:tabs>
          <w:tab w:leader="none" w:pos="14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reports from the Compensation Committee’s independent compensation consultants on practices and trends in the industry.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58" w:right="20" w:hanging="158"/>
        <w:spacing w:after="0" w:line="255" w:lineRule="auto"/>
        <w:tabs>
          <w:tab w:leader="none" w:pos="15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Undertake a review of the Company’s designated peer group to determine if any changes need to be made in order for it to remain appropriate.</w:t>
      </w:r>
    </w:p>
    <w:p>
      <w:pPr>
        <w:spacing w:after="0" w:line="3" w:lineRule="exact"/>
        <w:rPr>
          <w:rFonts w:ascii="Times New Roman" w:cs="Times New Roman" w:eastAsia="Times New Roman" w:hAnsi="Times New Roman"/>
          <w:sz w:val="17"/>
          <w:szCs w:val="17"/>
          <w:color w:val="auto"/>
        </w:rPr>
      </w:pPr>
    </w:p>
    <w:p>
      <w:pPr>
        <w:ind w:left="158" w:hanging="158"/>
        <w:spacing w:after="0" w:line="251" w:lineRule="auto"/>
        <w:tabs>
          <w:tab w:leader="none" w:pos="15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shareholder engagement focused on the Say-on-Pay vote at the Annual Meeting to inform pay decisions and design compensation programs for the coming year.</w:t>
      </w:r>
    </w:p>
    <w:p>
      <w:pPr>
        <w:spacing w:after="0" w:line="2" w:lineRule="exact"/>
        <w:rPr>
          <w:rFonts w:ascii="Times New Roman" w:cs="Times New Roman" w:eastAsia="Times New Roman" w:hAnsi="Times New Roman"/>
          <w:sz w:val="17"/>
          <w:szCs w:val="17"/>
          <w:color w:val="auto"/>
        </w:rPr>
      </w:pPr>
    </w:p>
    <w:p>
      <w:pPr>
        <w:ind w:left="158" w:right="40" w:hanging="158"/>
        <w:spacing w:after="0" w:line="263" w:lineRule="auto"/>
        <w:tabs>
          <w:tab w:leader="none" w:pos="15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human capital initiatives to support growth.</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left="158" w:right="140" w:hanging="158"/>
        <w:spacing w:after="0" w:line="258" w:lineRule="auto"/>
        <w:tabs>
          <w:tab w:leader="none" w:pos="15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shareholder engagement focused on Say-on-Pay vote at the Annual Meeting.</w:t>
      </w:r>
    </w:p>
    <w:p>
      <w:pPr>
        <w:spacing w:after="0" w:line="1" w:lineRule="exact"/>
        <w:rPr>
          <w:rFonts w:ascii="Times New Roman" w:cs="Times New Roman" w:eastAsia="Times New Roman" w:hAnsi="Times New Roman"/>
          <w:sz w:val="17"/>
          <w:szCs w:val="17"/>
          <w:color w:val="auto"/>
        </w:rPr>
      </w:pPr>
    </w:p>
    <w:p>
      <w:pPr>
        <w:ind w:left="158" w:right="100" w:hanging="158"/>
        <w:spacing w:after="0" w:line="251" w:lineRule="auto"/>
        <w:tabs>
          <w:tab w:leader="none" w:pos="15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goals and objectives of the Company’s compensation programs.</w:t>
      </w:r>
    </w:p>
    <w:p>
      <w:pPr>
        <w:spacing w:after="0" w:line="1" w:lineRule="exact"/>
        <w:rPr>
          <w:rFonts w:ascii="Times New Roman" w:cs="Times New Roman" w:eastAsia="Times New Roman" w:hAnsi="Times New Roman"/>
          <w:sz w:val="17"/>
          <w:szCs w:val="17"/>
          <w:color w:val="auto"/>
        </w:rPr>
      </w:pPr>
    </w:p>
    <w:p>
      <w:pPr>
        <w:ind w:left="158" w:right="40" w:hanging="158"/>
        <w:spacing w:after="0" w:line="251" w:lineRule="auto"/>
        <w:tabs>
          <w:tab w:leader="none" w:pos="15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an assessment of executive compensation and independent director compensation against peer group and relevant general survey data provided by the Compensation Committee’s independent compensation consultant.</w:t>
      </w:r>
    </w:p>
    <w:p>
      <w:pPr>
        <w:spacing w:after="0" w:line="3" w:lineRule="exact"/>
        <w:rPr>
          <w:rFonts w:ascii="Times New Roman" w:cs="Times New Roman" w:eastAsia="Times New Roman" w:hAnsi="Times New Roman"/>
          <w:sz w:val="17"/>
          <w:szCs w:val="17"/>
          <w:color w:val="auto"/>
        </w:rPr>
      </w:pPr>
    </w:p>
    <w:p>
      <w:pPr>
        <w:ind w:left="158" w:right="60" w:hanging="158"/>
        <w:spacing w:after="0" w:line="253" w:lineRule="auto"/>
        <w:tabs>
          <w:tab w:leader="none" w:pos="15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comprehensive, risk-based review of the Company’s compensation policies and practices that is designed to ensure appropriate mitigation of undue risk.</w:t>
      </w:r>
    </w:p>
    <w:p>
      <w:pPr>
        <w:spacing w:after="0" w:line="1433" w:lineRule="exact"/>
        <w:rPr>
          <w:sz w:val="20"/>
          <w:szCs w:val="20"/>
          <w:color w:val="auto"/>
        </w:rPr>
      </w:pPr>
    </w:p>
    <w:p>
      <w:pPr>
        <w:sectPr>
          <w:pgSz w:w="11900" w:h="16838" w:orient="portrait"/>
          <w:cols w:equalWidth="0" w:num="4">
            <w:col w:w="2520" w:space="345"/>
            <w:col w:w="2455" w:space="362"/>
            <w:col w:w="2598" w:space="322"/>
            <w:col w:w="2638"/>
          </w:cols>
          <w:pgMar w:left="320" w:top="661"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3930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i w:val="1"/>
          <w:iCs w:val="1"/>
          <w:color w:val="auto"/>
        </w:rPr>
        <w:t>Roles of Executive Officers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CEO is involved in the recommendation of certain compensation arrangements for approval by the Compensation Committee. The CEO, with the assistance of the Chief Administrative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CEO presents his conclusions and recommendations regarding annual compensation and annual incentive opportunity amounts for the executive officers to the Compensation Committee for its consideration and approval. In formulating the conclusions and recommendations for the Chief Audit Executive, Chief Financial Officer, Chief Risk and Compliance Officer, and Chief Administrative Officer, the CEO consults with the Chairs of the Audit Committee, Risk and Compliance Committee and Compensation Committee to incorporate the views and perspectives of the relevant committee chair. The Compensation Committee can exercise its discretion in accepting, rejecting and/or modifying any such recommendations, subject to any applicable limits contained in any plan or agreements applicable to such awards. All compensation decisions with respect to the compensation of the CEO are made by the Compensation Committee, which consults with the other non-management directors and outside advisors to the extent it deems appropriate. The Chief Administrative Officer assists the CEO and the Compensation Committee by providing them with market data and other reference materials.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Role of Independent Compensation Consultant</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primary role of the Compensation Committee’s independent compensation consultant, WTW, is to provide advice to the Compensation Committee in connection with the development and approval of our compensation policies and programs. Except as otherwise noted in this Compensation Discussion and Analysis, the Compensation Committee’s decisions are the result of the Compensation Committee’s business judgment with respect to compensation matters, informed by the experiences of its members and analysis and input from independent compensation consultants, among other factors. The Compensation Committee has assessed the independence of WTW and has concluded that WTW’s engagement does not raise any conflict of interest with the Company or any of its directors or executive officers. WTW performed a number of services for the Compensation Committee, including but not limited to reviewing and providing guidance on:</w:t>
      </w:r>
    </w:p>
    <w:p>
      <w:pPr>
        <w:spacing w:after="0" w:line="173" w:lineRule="exact"/>
        <w:rPr>
          <w:sz w:val="20"/>
          <w:szCs w:val="20"/>
          <w:color w:val="auto"/>
        </w:rPr>
      </w:pPr>
    </w:p>
    <w:p>
      <w:pPr>
        <w:ind w:left="620" w:hanging="31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of the annual AIP and LTIP awards;</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competitiveness of compensation of our NEOs;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Company’s peer group for purposes of informing compensation decisions;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of proxy advisory firms, including ISS and Glass Lewis, relating to the proxy statement;</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competitiveness of the compensation of our independent directors;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best practices for executive and independent director compensation.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Engagement and Consideration of Shareholder Advisors’ Input</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Compensation Committee and our Board of Directors value shareholder feedback and actively engage with our largest shareholders through outreach and direct meetings with active investors. The Committee also considers recommended best practices put forth by shareholder proxy advisory firms, such as ISS, to the extent these institutions’ recommendations are aligned with the interests of our shareholders. Shareholder input has helped shape our approach towards LTIP awards and related performance metrics and strengthened how we implement our pay-for-performance philosophy. We aspire to continued strong support for our executive pay decisions; in 2023, 85% of shareholder advisory votes were cast in favor of our Say-on-Pay proposal. We also intend to continue to hold an advisory Say-on-Pay vote at each annual meeting of shareholders.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t>Key Governance Considerations in How We Design and Implement Our Compensation Programs</w:t>
      </w:r>
    </w:p>
    <w:p>
      <w:pPr>
        <w:sectPr>
          <w:pgSz w:w="11900" w:h="16838" w:orient="portrait"/>
          <w:cols w:equalWidth="0" w:num="1">
            <w:col w:w="11240"/>
          </w:cols>
          <w:pgMar w:left="320" w:top="655"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350456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04565" cy="1651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for performance</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Most of our NEOs’ pay is at-risk and not guaranteed. We set clear and transparent financial and strategic goals within our short- and long-term incentive awards which include performance-based vesting conditions.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Discourage excessive risk taking</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operate within our risk management framework and include a balanced program design, multiple performance measures, claw-back and retention requirements. We also conduct an annual risk assessment of our NEO compensation plans to ensure they do not promote undue or excessive risk-taking.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Retain an independent compensation consultant</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Compensation Committee has retained the services of WTW as an independent consultant that reports directly to the Chair of the Compensation Committee.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Caps on annual incentives</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practice under the AIP provides for a maximum payout opportunity at 150% of the target incentive.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Introduced holding requirement for shares</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Effective with equity granted to executives on or after March 31, 2022, shares acquired on vesting pursuant to those awards will be subject to a one-year holding period.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Salaries and Annual Incentive Targets for our NEOs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349631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96310" cy="1651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fixed term of employment agreements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do not have employment agreements that provide for a fixed term of employment with any of our executive officers. Employment is at-will and provisions for separation and treatment of compensation is contained in applicable award documents or offer letters.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tax gross-ups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It is our policy to not provide tax gross-ups (other than for taxable relocation expenses for moves necessitated by our business), including tax gross-ups related to excess parachute payments as defined under section 280G of the Internal Revenue Code.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option back-dating, re-pricing or reloading</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do not permit back-dating, re-pricing of stock options, or reloading of stock options. No stock options are granted with exercise prices that are below the closing price of Ocwen stock on the date of grant.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hedging or pledging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prohibit directors and all employees, including executive officers, from pledging shares of our stock as collateral for loans or for other reasons and from engaging in any activity that hedges the economic risk of an investment in our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“single-trigger” LTIP awards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LTIP awards do not automatically vest upon the occurrence of a change in control. Rather, these awards include double-trigger provisions such that following a change in control a NEO will only receive accelerated payouts if terminated without cause or upon voluntary resignation for good reason.</w:t>
      </w:r>
    </w:p>
    <w:p>
      <w:pPr>
        <w:spacing w:after="0" w:line="565" w:lineRule="exact"/>
        <w:rPr>
          <w:sz w:val="20"/>
          <w:szCs w:val="20"/>
          <w:color w:val="auto"/>
        </w:rPr>
      </w:pPr>
    </w:p>
    <w:p>
      <w:pPr>
        <w:sectPr>
          <w:pgSz w:w="11900" w:h="16838" w:orient="portrait"/>
          <w:cols w:equalWidth="0" w:num="2">
            <w:col w:w="5520" w:space="220"/>
            <w:col w:w="5500"/>
          </w:cols>
          <w:pgMar w:left="320" w:top="655" w:right="339" w:bottom="1440" w:gutter="0" w:footer="0" w:header="0"/>
          <w:type w:val="continuous"/>
        </w:sectPr>
      </w:pPr>
    </w:p>
    <w:p>
      <w:pPr>
        <w:spacing w:after="0" w:line="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Base salaries and annual incentive targets are intended to provide a target level of cash compensation that is competitive and appropriate for the responsibilities of the executive’s position. The Compensation Committee determines each executive’s compensation levels based on its assessment of the nature and scope of each executive officer’s responsibilities, experience and performance, and an assessment of compensation levels necessary to maintain and attract quality personnel as informed by peer group and general industry survey data. As of December 31, 2023, the variable (AIP) proportion of total target cash compensation is 60% for the CEO and 50% for other NEOs.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The table below reflects each NEO’s 2023 base salary and AIP target, which were unchanged from 2022 compensation levels.</w:t>
      </w: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Annual Total</w:t>
            </w:r>
          </w:p>
        </w:tc>
      </w:tr>
      <w:tr>
        <w:trPr>
          <w:trHeight w:val="205"/>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Target Cash</w:t>
            </w:r>
          </w:p>
        </w:tc>
      </w:tr>
      <w:tr>
        <w:trPr>
          <w:trHeight w:val="205"/>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Annual Salary</w:t>
            </w:r>
          </w:p>
        </w:tc>
        <w:tc>
          <w:tcPr>
            <w:tcW w:w="20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Annual AIP Target</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r>
      <w:tr>
        <w:trPr>
          <w:trHeight w:val="231"/>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and % of Salary)</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05"/>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26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rPr>
              <w:t>1,500,000</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w:t>
            </w:r>
          </w:p>
        </w:tc>
        <w:tc>
          <w:tcPr>
            <w:tcW w:w="100" w:type="dxa"/>
            <w:vAlign w:val="bottom"/>
            <w:shd w:val="clear" w:color="auto" w:fill="CCEEFF"/>
          </w:tcPr>
          <w:p>
            <w:pPr>
              <w:spacing w:after="0"/>
              <w:rPr>
                <w:sz w:val="17"/>
                <w:szCs w:val="17"/>
                <w:color w:val="auto"/>
              </w:rPr>
            </w:pPr>
          </w:p>
        </w:tc>
      </w:tr>
      <w:tr>
        <w:trPr>
          <w:trHeight w:val="205"/>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B. O’Neil</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550,000</w:t>
            </w:r>
          </w:p>
        </w:tc>
        <w:tc>
          <w:tcPr>
            <w:tcW w:w="2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rPr>
              <w:t>550,000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w:t>
            </w:r>
          </w:p>
        </w:tc>
        <w:tc>
          <w:tcPr>
            <w:tcW w:w="100" w:type="dxa"/>
            <w:vAlign w:val="bottom"/>
          </w:tcPr>
          <w:p>
            <w:pPr>
              <w:spacing w:after="0"/>
              <w:rPr>
                <w:sz w:val="17"/>
                <w:szCs w:val="17"/>
                <w:color w:val="auto"/>
              </w:rPr>
            </w:pPr>
          </w:p>
        </w:tc>
      </w:tr>
      <w:tr>
        <w:trPr>
          <w:trHeight w:val="20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500,000</w:t>
            </w:r>
          </w:p>
        </w:tc>
        <w:tc>
          <w:tcPr>
            <w:tcW w:w="2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rPr>
              <w:t>500,000</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7"/>
                <w:szCs w:val="17"/>
                <w:color w:val="auto"/>
              </w:rPr>
            </w:pPr>
          </w:p>
        </w:tc>
      </w:tr>
      <w:tr>
        <w:trPr>
          <w:trHeight w:val="205"/>
        </w:trPr>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500,000</w:t>
            </w:r>
          </w:p>
        </w:tc>
        <w:tc>
          <w:tcPr>
            <w:tcW w:w="2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rPr>
              <w:t>500,000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Pr>
          <w:p>
            <w:pPr>
              <w:spacing w:after="0"/>
              <w:rPr>
                <w:sz w:val="17"/>
                <w:szCs w:val="17"/>
                <w:color w:val="auto"/>
              </w:rPr>
            </w:pPr>
          </w:p>
        </w:tc>
      </w:tr>
      <w:tr>
        <w:trPr>
          <w:trHeight w:val="205"/>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T. Henley</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500,000</w:t>
            </w:r>
          </w:p>
        </w:tc>
        <w:tc>
          <w:tcPr>
            <w:tcW w:w="2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rPr>
              <w:t>500,000</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7"/>
                <w:szCs w:val="17"/>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Annual Incentive Plan (AIP)</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Ocwen’s annual incentive compensation opportunity for eligible employees, including our executive officers, is provided under the 1998 Annual Incentive Plan, as amended, which has been approved by our shareholders. The AIP award opportunity motivates executives to deliver against the Board-approved business plan and the key initiatives that the Compensation Committee, working with the CEO, management and the Compensation Committee’s independent advisor, believes will enhance Company performance and create a path for long-term shareholder value.</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AIP award opportunities for each NEO were based on a combination of organization and individual performance, as summarized below and followed with additional detail further below:</w:t>
      </w:r>
    </w:p>
    <w:p>
      <w:pPr>
        <w:spacing w:after="0" w:line="152" w:lineRule="exact"/>
        <w:rPr>
          <w:sz w:val="20"/>
          <w:szCs w:val="20"/>
          <w:color w:val="auto"/>
        </w:rPr>
      </w:pPr>
    </w:p>
    <w:p>
      <w:pPr>
        <w:ind w:left="620" w:hanging="310"/>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performance against the Corporate Scorecard objectives is used to calculate preliminary results.</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Scorecard results are then adjusted by a service excellence modifier to establish the baseline funding level for the entire plan.</w:t>
      </w:r>
    </w:p>
    <w:p>
      <w:pPr>
        <w:spacing w:after="0" w:line="9" w:lineRule="exact"/>
        <w:rPr>
          <w:rFonts w:ascii="Times New Roman" w:cs="Times New Roman" w:eastAsia="Times New Roman" w:hAnsi="Times New Roman"/>
          <w:sz w:val="17"/>
          <w:szCs w:val="17"/>
          <w:color w:val="auto"/>
        </w:rPr>
      </w:pPr>
    </w:p>
    <w:p>
      <w:pPr>
        <w:ind w:left="620" w:hanging="310"/>
        <w:spacing w:after="0" w:line="251"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there, organizational performance funding is allocated to each business unit and its managing NEO based on an assessment of the business unit’s achievement of its key priorities and the corresponding contributions to overall Corporate Scorecard results.</w:t>
      </w:r>
    </w:p>
    <w:p>
      <w:pPr>
        <w:ind w:left="620" w:hanging="310"/>
        <w:spacing w:after="0" w:line="263"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Finally, each NEO’s award is adjusted based on an assessment of his or her individual performance against a number of key objectives unique to him or her, including demonstrated leadership in creating and sustaining a high-performing culture.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Scorecard</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Corporate Scorecard, which drives the overall funding for the AIP, is approved annually by the Compensation Committee. In determining whether to approve the Corporate Scorecard each year, the Compensation Committee considers a number of factors, including whether the goals are consistent with and likely to enhance corporate performance and long-term shareholder value and discourage executives from pursuing short-term goals that may not be consistent with achieving such long-term success, as well as the level of difficulty associated with attainment of each goal in the scorecard. The 2023 Corporate Scorecard objectives, shown below with final performance results, were directly aligned to the Board-approved 2023 business plan and our key business priorities, as follows:</w:t>
      </w:r>
    </w:p>
    <w:p>
      <w:pPr>
        <w:spacing w:after="0" w:line="175" w:lineRule="exact"/>
        <w:rPr>
          <w:sz w:val="20"/>
          <w:szCs w:val="20"/>
          <w:color w:val="auto"/>
        </w:rPr>
      </w:pPr>
    </w:p>
    <w:p>
      <w:pPr>
        <w:ind w:left="620" w:hanging="310"/>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Profitability,</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Prudent growth,</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higher margin products and services,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leadership,</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excellence,</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Workforce engagement and diversity,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excellence.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spacing w:after="0" w:line="262" w:lineRule="auto"/>
        <w:rPr>
          <w:sz w:val="20"/>
          <w:szCs w:val="20"/>
          <w:color w:val="auto"/>
        </w:rPr>
      </w:pPr>
      <w:r>
        <w:rPr>
          <w:rFonts w:ascii="Times New Roman" w:cs="Times New Roman" w:eastAsia="Times New Roman" w:hAnsi="Times New Roman"/>
          <w:sz w:val="17"/>
          <w:szCs w:val="17"/>
          <w:color w:val="auto"/>
        </w:rPr>
        <w:t>Financial performance, including net income and return on equity, constituted 58% of the overall scorecard weight as sustaining profitability was critical to delivering on shareholder expectations. Our other priorities were necessary to enable growth and improve efficiencies, and our focus on maintaining key employees in the midst of change is vital to our long-term success and our mission, values and operating principles. Additionally, because “helping homeowners is what we do”, the scorecard results are adjusted +/- 20% by a service excellence modifier that assesses how we deliver on our commitments to our customers and clients.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Compensation Committee establishes the “target” performance of each goal at a level that it intends to be challenging to achieve, a “threshold” level for each goal that must be met in order for any portion of the incentive to be paid with respect to that goal, and an outstanding or “maximum” level for each goal that would result in payment of the maximum bonus opportunity with respect to that goal. The chart below depicts the level of achievement for a given objective on the scorecard and the corresponding incentive leverage that is applied to the target funding for the given objective.</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Service Excellence</w:t>
            </w:r>
          </w:p>
        </w:tc>
      </w:tr>
      <w:tr>
        <w:trPr>
          <w:trHeight w:val="205"/>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w w:val="98"/>
              </w:rPr>
              <w:t>AIP Scorecard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Modifier</w:t>
            </w:r>
          </w:p>
        </w:tc>
      </w:tr>
      <w:tr>
        <w:trPr>
          <w:trHeight w:val="205"/>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w w:val="96"/>
              </w:rPr>
              <w:t>% of Target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 of Target</w:t>
            </w:r>
          </w:p>
        </w:tc>
      </w:tr>
      <w:tr>
        <w:trPr>
          <w:trHeight w:val="231"/>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Level of Achievement</w:t>
            </w:r>
          </w:p>
        </w:tc>
        <w:tc>
          <w:tcPr>
            <w:tcW w:w="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rPr>
              <w:t>Opportunity</w:t>
            </w: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Opportunity</w:t>
            </w:r>
          </w:p>
        </w:tc>
        <w:tc>
          <w:tcPr>
            <w:tcW w:w="160" w:type="dxa"/>
            <w:vAlign w:val="bottom"/>
            <w:tcBorders>
              <w:bottom w:val="single" w:sz="8" w:color="CCEEFF"/>
            </w:tcBorders>
          </w:tcPr>
          <w:p>
            <w:pPr>
              <w:spacing w:after="0"/>
              <w:rPr>
                <w:sz w:val="20"/>
                <w:szCs w:val="20"/>
                <w:color w:val="auto"/>
              </w:rPr>
            </w:pPr>
          </w:p>
        </w:tc>
      </w:tr>
      <w:tr>
        <w:trPr>
          <w:trHeight w:val="20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Maximum</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5"/>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Target</w:t>
            </w:r>
          </w:p>
        </w:tc>
        <w:tc>
          <w:tcPr>
            <w:tcW w:w="14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Threshold</w:t>
            </w:r>
          </w:p>
        </w:tc>
        <w:tc>
          <w:tcPr>
            <w:tcW w:w="1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2"/>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Below Threshold</w:t>
            </w:r>
          </w:p>
        </w:tc>
        <w:tc>
          <w:tcPr>
            <w:tcW w:w="14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w:t>
            </w:r>
          </w:p>
        </w:tc>
      </w:tr>
    </w:tbl>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Committee measured the level of performance achievement against scorecard and modifier objectives using quantitative assessments. The level of achievement was determined using straight-line interpolation between the “threshold”, “target” and “maximum” anchor posts, as applicable. Qualitative assessments were also applied to ensure achievement levels were consistent with expected broader strategic outcomes.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Prior to the Committee’s assessment of the level of performance achieved against scorecard and modifier objectives, the information on which the Committee based its assessment was first reviewed and verified by the Company’s internal audit, finance and risk management functions.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67" w:lineRule="auto"/>
        <w:rPr>
          <w:sz w:val="20"/>
          <w:szCs w:val="20"/>
          <w:color w:val="auto"/>
        </w:rPr>
      </w:pPr>
      <w:r>
        <w:rPr>
          <w:rFonts w:ascii="Times New Roman" w:cs="Times New Roman" w:eastAsia="Times New Roman" w:hAnsi="Times New Roman"/>
          <w:sz w:val="17"/>
          <w:szCs w:val="17"/>
          <w:color w:val="auto"/>
        </w:rPr>
        <w:t>Based on the Company’s final performance and the relative weightings assigned to each objective in both the Scorecard and modifier, the overall Corporate Scorecard funding was 86.2%, which was then multiplied by the 116.4% service excellence modifier for total results of 100.3%. Our Corporate Scorecard and service excellence modifier and corresponding achievement levels for each are detailed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5"/>
        </w:trPr>
        <w:tc>
          <w:tcPr>
            <w:tcW w:w="3200" w:type="dxa"/>
            <w:vAlign w:val="bottom"/>
          </w:tcPr>
          <w:p>
            <w:pPr>
              <w:spacing w:after="0"/>
              <w:rPr>
                <w:sz w:val="17"/>
                <w:szCs w:val="17"/>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Objective</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Performance</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Performance</w:t>
            </w:r>
          </w:p>
        </w:tc>
      </w:tr>
      <w:tr>
        <w:trPr>
          <w:trHeight w:val="231"/>
        </w:trPr>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Corporate Scorecard Objective</w:t>
            </w: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Weight</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1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w w:val="99"/>
              </w:rPr>
              <w:t>Outcome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Achievement</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Achievement</w:t>
            </w:r>
          </w:p>
        </w:tc>
      </w:tr>
      <w:tr>
        <w:trPr>
          <w:trHeight w:val="243"/>
        </w:trPr>
        <w:tc>
          <w:tcPr>
            <w:tcW w:w="320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Profitability</w:t>
            </w:r>
            <w:r>
              <w:rPr>
                <w:rFonts w:ascii="Times New Roman" w:cs="Times New Roman" w:eastAsia="Times New Roman" w:hAnsi="Times New Roman"/>
                <w:sz w:val="28"/>
                <w:szCs w:val="28"/>
                <w:b w:val="1"/>
                <w:bCs w:val="1"/>
                <w:color w:val="auto"/>
                <w:vertAlign w:val="superscript"/>
              </w:rPr>
              <w:t>(1)</w:t>
            </w:r>
          </w:p>
        </w:tc>
        <w:tc>
          <w:tcPr>
            <w:tcW w:w="1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1a. Full-Year GAAP Net Income ($M)</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15.8%</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4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-63.7</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184"/>
        </w:trPr>
        <w:tc>
          <w:tcPr>
            <w:tcW w:w="32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w w:val="99"/>
              </w:rPr>
              <w:t>1b. Full-Year Adjusted Pre-Tax Net Income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2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30.3</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31.6%</w:t>
            </w:r>
          </w:p>
        </w:tc>
      </w:tr>
      <w:tr>
        <w:trPr>
          <w:trHeight w:val="184"/>
        </w:trPr>
        <w:tc>
          <w:tcPr>
            <w:tcW w:w="320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1c. Second Half After-Tax Return 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5"/>
        </w:trPr>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 (ROE), excluding notables</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21.1%</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w:t>
            </w:r>
          </w:p>
        </w:tc>
        <w:tc>
          <w:tcPr>
            <w:tcW w:w="2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30.8%</w:t>
            </w: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Excellence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88"/>
        </w:trPr>
        <w:tc>
          <w:tcPr>
            <w:tcW w:w="32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2a. Prudent Growth: Originations Growth</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w w:val="98"/>
              </w:rPr>
              <w:t>Grow non-MAV-related subservicing additions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($B UPB)</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184"/>
        </w:trPr>
        <w:tc>
          <w:tcPr>
            <w:tcW w:w="32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2b. Prudent Growth: Originations Cash</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Yield</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Owned servicing originated at cash yields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higher than cost of capital</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0.48%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w:t>
            </w:r>
          </w:p>
        </w:tc>
      </w:tr>
      <w:tr>
        <w:trPr>
          <w:trHeight w:val="188"/>
        </w:trPr>
        <w:tc>
          <w:tcPr>
            <w:tcW w:w="32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2c. Prudent Growth: Servicing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End of year total UPB ($B)</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13.2%</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334</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351</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288</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3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3a. Productivity: Originations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operating expenses as a percent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Origination volume (bps)</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43.5</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41.4</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35.9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w:t>
            </w:r>
          </w:p>
        </w:tc>
      </w:tr>
      <w:tr>
        <w:trPr>
          <w:trHeight w:val="188"/>
        </w:trPr>
        <w:tc>
          <w:tcPr>
            <w:tcW w:w="32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3b. Productivity: Servicing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Average operating expenses as a percent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Servicing UPB (bps)</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6.3%</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9.72</w:t>
            </w:r>
          </w:p>
        </w:tc>
        <w:tc>
          <w:tcPr>
            <w:tcW w:w="2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9.63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6.9%</w:t>
            </w:r>
          </w:p>
        </w:tc>
      </w:tr>
      <w:tr>
        <w:trPr>
          <w:trHeight w:val="188"/>
        </w:trPr>
        <w:tc>
          <w:tcPr>
            <w:tcW w:w="3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3c. Productivity: Corporate Functions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operating expenses as a percent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Servicing UPB (bps)</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2.04</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1.94</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320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4. Diversity, Equity &amp; Inclusion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w w:val="99"/>
              </w:rPr>
              <w:t>Execute against the objectives contained in the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four pillars of the DE&amp;I Road Map (%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objectives met)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75%</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w:t>
            </w:r>
          </w:p>
        </w:tc>
        <w:tc>
          <w:tcPr>
            <w:tcW w:w="2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6.6%</w:t>
            </w: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100%</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86.2%</w:t>
            </w:r>
          </w:p>
        </w:tc>
      </w:tr>
    </w:tbl>
    <w:p>
      <w:pPr>
        <w:spacing w:after="0" w:line="188" w:lineRule="exact"/>
        <w:rPr>
          <w:sz w:val="20"/>
          <w:szCs w:val="20"/>
          <w:color w:val="auto"/>
        </w:rPr>
      </w:pPr>
    </w:p>
    <w:p>
      <w:pPr>
        <w:jc w:val="both"/>
        <w:ind w:left="300" w:hanging="298"/>
        <w:spacing w:after="0" w:line="221" w:lineRule="auto"/>
        <w:tabs>
          <w:tab w:leader="none" w:pos="300" w:val="left"/>
        </w:tabs>
        <w:numPr>
          <w:ilvl w:val="0"/>
          <w:numId w:val="4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Full-Year GAAP Net Income and Adjusted Pre-Tax Income are inclusive of expense accrual for AIP. Second Half After-Tax Return On Equity (ROE) in Q3 and Q4 is calculated as Q3 and Q4 GAAP Net Income divided by Average of Q1 and Q2 Total Equity and Q3 and Q4 Total Equity. For a discussion of how we measure pre-tax income before notable items and a reconciliation to financial measures prepared under Generally Accepted Accounting Principles (GAAP), please see our Current Report on Form 8-K filed with the Securities and Exchange Commission on February 27,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Engagement</w:t>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Corporate Scorecard initially included an employee engagement metric weighted at 5%, measuring progress in employee survey results from Q2 2023 to Q4 2023. Management postponed the Q4 survey to allow for sufficient time to implement actions plans based on Q2 results in a visible and impactful manner.</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Consequently, after considering the scores from the Q2 survey, which were strong and above external benchmarks despite significant expense and headcount reduction actions taken by management in response to the challenging business environment, the Compensation Committee determined that the 5% weight for that metric should be reallocated evenly among the remaining metrics (as shown above) so as not to favor any metric over another. In the Compensation Committee’s view, management remained focused on employee engagement throughout the year notwithstanding the absence of a Q4 Scorecard metric, including initiatives to improve communication, professional development, recognition and work-life balance.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Diversity, Equity &amp; Inclusion (see 4 above)</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Diversity, equity, inclusiveness and respect are integral parts of our culture and work environment, and we are committed to being a globally diverse and inclusive workplace where every voice is heard. Our DE&amp;I strategy, which we refer to as our “road map”, is built around the four pillars of our diversity program, with numerous initiatives and short-term actions to support each one. Our 2023 goals and key results are summarized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Pillar</w:t>
            </w:r>
          </w:p>
        </w:tc>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Road Map Goals</w:t>
            </w:r>
          </w:p>
        </w:tc>
        <w:tc>
          <w:tcPr>
            <w:tcW w:w="6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Key Results</w:t>
            </w:r>
          </w:p>
        </w:tc>
      </w:tr>
      <w:tr>
        <w:trPr>
          <w:trHeight w:val="188"/>
        </w:trPr>
        <w:tc>
          <w:tcPr>
            <w:tcW w:w="20" w:type="dxa"/>
            <w:vAlign w:val="bottom"/>
          </w:tcPr>
          <w:p>
            <w:pPr>
              <w:spacing w:after="0"/>
              <w:rPr>
                <w:sz w:val="16"/>
                <w:szCs w:val="16"/>
                <w:color w:val="auto"/>
              </w:rPr>
            </w:pPr>
          </w:p>
        </w:tc>
        <w:tc>
          <w:tcPr>
            <w:tcW w:w="13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Leadership</w:t>
            </w:r>
          </w:p>
        </w:tc>
        <w:tc>
          <w:tcPr>
            <w:tcW w:w="240" w:type="dxa"/>
            <w:vAlign w:val="bottom"/>
          </w:tcPr>
          <w:p>
            <w:pPr>
              <w:spacing w:after="0"/>
              <w:rPr>
                <w:sz w:val="16"/>
                <w:szCs w:val="16"/>
                <w:color w:val="auto"/>
              </w:rPr>
            </w:pPr>
          </w:p>
        </w:tc>
        <w:tc>
          <w:tcPr>
            <w:tcW w:w="35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Strengthen the understanding and commitment of</w:t>
            </w:r>
          </w:p>
        </w:tc>
        <w:tc>
          <w:tcPr>
            <w:tcW w:w="6060" w:type="dxa"/>
            <w:vAlign w:val="bottom"/>
            <w:tcBorders>
              <w:top w:val="single" w:sz="8" w:color="auto"/>
            </w:tcBorders>
          </w:tcPr>
          <w:p>
            <w:pPr>
              <w:ind w:left="220"/>
              <w:spacing w:after="0" w:line="189" w:lineRule="exact"/>
              <w:rPr>
                <w:sz w:val="20"/>
                <w:szCs w:val="20"/>
                <w:color w:val="auto"/>
              </w:rPr>
            </w:pPr>
            <w:r>
              <w:rPr>
                <w:rFonts w:ascii="Times New Roman" w:cs="Times New Roman" w:eastAsia="Times New Roman" w:hAnsi="Times New Roman"/>
                <w:sz w:val="17"/>
                <w:szCs w:val="17"/>
                <w:color w:val="auto"/>
              </w:rPr>
              <w:t>● Implemented action plans in select areas to respond to employee feedback.</w:t>
            </w: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DE&amp;I throughout all levels of the organization.</w:t>
            </w:r>
          </w:p>
        </w:tc>
        <w:tc>
          <w:tcPr>
            <w:tcW w:w="60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Ensure all leaders fully understand the benefit of</w:t>
            </w:r>
          </w:p>
        </w:tc>
        <w:tc>
          <w:tcPr>
            <w:tcW w:w="6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Continued inclusive workplace efforts through affinity groups for women, African-</w:t>
            </w:r>
          </w:p>
        </w:tc>
      </w:tr>
      <w:tr>
        <w:trPr>
          <w:trHeight w:val="205"/>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DE&amp;I  and  can  demonstrate  inclusive  work</w:t>
            </w:r>
          </w:p>
        </w:tc>
        <w:tc>
          <w:tcPr>
            <w:tcW w:w="60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Americans and LGBTQ+ employees.</w:t>
            </w: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strategies.</w:t>
            </w:r>
          </w:p>
        </w:tc>
        <w:tc>
          <w:tcPr>
            <w:tcW w:w="6060" w:type="dxa"/>
            <w:vAlign w:val="bottom"/>
          </w:tcPr>
          <w:p>
            <w:pPr>
              <w:spacing w:after="0"/>
              <w:rPr>
                <w:sz w:val="19"/>
                <w:szCs w:val="19"/>
                <w:color w:val="auto"/>
              </w:rPr>
            </w:pPr>
          </w:p>
        </w:tc>
      </w:tr>
    </w:tbl>
    <w:p>
      <w:pPr>
        <w:spacing w:after="0" w:line="184" w:lineRule="exact"/>
        <w:rPr>
          <w:sz w:val="20"/>
          <w:szCs w:val="20"/>
          <w:color w:val="auto"/>
        </w:rPr>
      </w:pPr>
    </w:p>
    <w:p>
      <w:pPr>
        <w:sectPr>
          <w:pgSz w:w="11900" w:h="16838" w:orient="portrait"/>
          <w:cols w:equalWidth="0" w:num="1">
            <w:col w:w="11240"/>
          </w:cols>
          <w:pgMar w:left="320" w:top="655" w:right="339" w:bottom="1440" w:gutter="0" w:footer="0" w:header="0"/>
        </w:sectPr>
      </w:pPr>
    </w:p>
    <w:p>
      <w:pPr>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Workforce</w:t>
      </w:r>
      <w:r>
        <w:rPr>
          <w:sz w:val="20"/>
          <w:szCs w:val="20"/>
          <w:color w:val="auto"/>
        </w:rPr>
        <w:tab/>
      </w:r>
      <w:r>
        <w:rPr>
          <w:rFonts w:ascii="Times New Roman" w:cs="Times New Roman" w:eastAsia="Times New Roman" w:hAnsi="Times New Roman"/>
          <w:sz w:val="17"/>
          <w:szCs w:val="17"/>
          <w:color w:val="auto"/>
        </w:rPr>
        <w:t>Increase our ability to attract and hire diverse talent</w:t>
      </w:r>
    </w:p>
    <w:p>
      <w:pPr>
        <w:spacing w:after="0" w:line="3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and improve our DE&amp;I brand.</w:t>
      </w:r>
    </w:p>
    <w:p>
      <w:pPr>
        <w:spacing w:after="0" w:line="193"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Community</w:t>
      </w:r>
      <w:r>
        <w:rPr>
          <w:sz w:val="20"/>
          <w:szCs w:val="20"/>
          <w:color w:val="auto"/>
        </w:rPr>
        <w:tab/>
      </w:r>
      <w:r>
        <w:rPr>
          <w:rFonts w:ascii="Times New Roman" w:cs="Times New Roman" w:eastAsia="Times New Roman" w:hAnsi="Times New Roman"/>
          <w:sz w:val="17"/>
          <w:szCs w:val="17"/>
          <w:color w:val="auto"/>
        </w:rPr>
        <w:t>Continue efforts to support external community</w:t>
      </w:r>
    </w:p>
    <w:p>
      <w:pPr>
        <w:spacing w:after="0" w:line="3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Engagement</w:t>
      </w:r>
      <w:r>
        <w:rPr>
          <w:sz w:val="20"/>
          <w:szCs w:val="20"/>
          <w:color w:val="auto"/>
        </w:rPr>
        <w:tab/>
      </w:r>
      <w:r>
        <w:rPr>
          <w:rFonts w:ascii="Times New Roman" w:cs="Times New Roman" w:eastAsia="Times New Roman" w:hAnsi="Times New Roman"/>
          <w:sz w:val="17"/>
          <w:szCs w:val="17"/>
          <w:color w:val="auto"/>
        </w:rPr>
        <w:t>engagement partnerships.</w:t>
      </w:r>
    </w:p>
    <w:p>
      <w:pPr>
        <w:spacing w:after="0" w:line="20" w:lineRule="exact"/>
        <w:rPr>
          <w:sz w:val="20"/>
          <w:szCs w:val="20"/>
          <w:color w:val="auto"/>
        </w:rPr>
      </w:pPr>
      <w:r>
        <w:rPr>
          <w:sz w:val="20"/>
          <w:szCs w:val="20"/>
          <w:color w:val="auto"/>
        </w:rPr>
        <w:br w:type="column"/>
      </w:r>
    </w:p>
    <w:p>
      <w:pPr>
        <w:ind w:left="154" w:hanging="154"/>
        <w:spacing w:after="0" w:line="284" w:lineRule="auto"/>
        <w:tabs>
          <w:tab w:leader="none" w:pos="25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percentage of diverse representation in leadership and leadership candidate pools.</w:t>
      </w:r>
    </w:p>
    <w:p>
      <w:pPr>
        <w:spacing w:after="0" w:line="152" w:lineRule="exact"/>
        <w:rPr>
          <w:rFonts w:ascii="Times New Roman" w:cs="Times New Roman" w:eastAsia="Times New Roman" w:hAnsi="Times New Roman"/>
          <w:sz w:val="17"/>
          <w:szCs w:val="17"/>
          <w:color w:val="auto"/>
        </w:rPr>
      </w:pPr>
    </w:p>
    <w:p>
      <w:pPr>
        <w:ind w:left="154" w:hanging="154"/>
        <w:spacing w:after="0"/>
        <w:tabs>
          <w:tab w:leader="none" w:pos="15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Hosted borrower outreach events.</w:t>
      </w:r>
    </w:p>
    <w:p>
      <w:pPr>
        <w:spacing w:after="0" w:line="214" w:lineRule="exact"/>
        <w:rPr>
          <w:rFonts w:ascii="Times New Roman" w:cs="Times New Roman" w:eastAsia="Times New Roman" w:hAnsi="Times New Roman"/>
          <w:sz w:val="17"/>
          <w:szCs w:val="17"/>
          <w:color w:val="auto"/>
        </w:rPr>
      </w:pPr>
    </w:p>
    <w:p>
      <w:pPr>
        <w:ind w:left="154" w:hanging="154"/>
        <w:spacing w:after="0" w:line="284" w:lineRule="auto"/>
        <w:tabs>
          <w:tab w:leader="none" w:pos="23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Participated in external engagements with consumer advocacy and mortgage industry diversity councils.</w:t>
      </w:r>
    </w:p>
    <w:p>
      <w:pPr>
        <w:spacing w:after="0" w:line="148" w:lineRule="exact"/>
        <w:rPr>
          <w:sz w:val="20"/>
          <w:szCs w:val="20"/>
          <w:color w:val="auto"/>
        </w:rPr>
      </w:pPr>
    </w:p>
    <w:p>
      <w:pPr>
        <w:sectPr>
          <w:pgSz w:w="11900" w:h="16838" w:orient="portrait"/>
          <w:cols w:equalWidth="0" w:num="2">
            <w:col w:w="5180" w:space="226"/>
            <w:col w:w="5834"/>
          </w:cols>
          <w:pgMar w:left="320" w:top="655" w:right="339" w:bottom="1440" w:gutter="0" w:footer="0" w:header="0"/>
          <w:type w:val="continuous"/>
        </w:sectPr>
      </w:pPr>
    </w:p>
    <w:p>
      <w:pPr>
        <w:jc w:val="both"/>
        <w:ind w:left="1600" w:hanging="1587"/>
        <w:spacing w:after="0" w:line="267" w:lineRule="auto"/>
        <w:tabs>
          <w:tab w:leader="none" w:pos="1580" w:val="left"/>
        </w:tabs>
        <w:rPr>
          <w:sz w:val="20"/>
          <w:szCs w:val="20"/>
          <w:color w:val="auto"/>
        </w:rPr>
      </w:pPr>
      <w:r>
        <w:rPr>
          <w:rFonts w:ascii="Times New Roman" w:cs="Times New Roman" w:eastAsia="Times New Roman" w:hAnsi="Times New Roman"/>
          <w:sz w:val="17"/>
          <w:szCs w:val="17"/>
          <w:b w:val="1"/>
          <w:bCs w:val="1"/>
          <w:color w:val="auto"/>
        </w:rPr>
        <w:t>Vendor Diversity</w:t>
      </w:r>
      <w:r>
        <w:rPr>
          <w:sz w:val="20"/>
          <w:szCs w:val="20"/>
          <w:color w:val="auto"/>
        </w:rPr>
        <w:tab/>
      </w:r>
      <w:r>
        <w:rPr>
          <w:rFonts w:ascii="Times New Roman" w:cs="Times New Roman" w:eastAsia="Times New Roman" w:hAnsi="Times New Roman"/>
          <w:sz w:val="17"/>
          <w:szCs w:val="17"/>
          <w:color w:val="auto"/>
        </w:rPr>
        <w:t>Strengthen partnerships with diverse supplier groups in the U.S. and expand or maintain supplier diversity efforts year over year.</w:t>
      </w:r>
    </w:p>
    <w:p>
      <w:pPr>
        <w:spacing w:after="0" w:line="20" w:lineRule="exact"/>
        <w:rPr>
          <w:sz w:val="20"/>
          <w:szCs w:val="20"/>
          <w:color w:val="auto"/>
        </w:rPr>
      </w:pPr>
      <w:r>
        <w:rPr>
          <w:sz w:val="20"/>
          <w:szCs w:val="20"/>
          <w:color w:val="auto"/>
        </w:rPr>
        <w:br w:type="column"/>
      </w:r>
    </w:p>
    <w:p>
      <w:pPr>
        <w:ind w:left="154" w:hanging="154"/>
        <w:spacing w:after="0"/>
        <w:tabs>
          <w:tab w:leader="none" w:pos="15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Maintained diverse vendor utilization rate.</w:t>
      </w:r>
    </w:p>
    <w:p>
      <w:pPr>
        <w:spacing w:after="0" w:line="26" w:lineRule="exact"/>
        <w:rPr>
          <w:rFonts w:ascii="Times New Roman" w:cs="Times New Roman" w:eastAsia="Times New Roman" w:hAnsi="Times New Roman"/>
          <w:sz w:val="17"/>
          <w:szCs w:val="17"/>
          <w:color w:val="auto"/>
        </w:rPr>
      </w:pPr>
    </w:p>
    <w:p>
      <w:pPr>
        <w:ind w:left="154" w:hanging="154"/>
        <w:spacing w:after="0"/>
        <w:tabs>
          <w:tab w:leader="none" w:pos="15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Promoted vendor diversity value proposition with key stakeholders.</w:t>
      </w:r>
    </w:p>
    <w:p>
      <w:pPr>
        <w:spacing w:after="0" w:line="395" w:lineRule="exact"/>
        <w:rPr>
          <w:sz w:val="20"/>
          <w:szCs w:val="20"/>
          <w:color w:val="auto"/>
        </w:rPr>
      </w:pPr>
    </w:p>
    <w:p>
      <w:pPr>
        <w:sectPr>
          <w:pgSz w:w="11900" w:h="16838" w:orient="portrait"/>
          <w:cols w:equalWidth="0" w:num="2">
            <w:col w:w="5180" w:space="226"/>
            <w:col w:w="5834"/>
          </w:cols>
          <w:pgMar w:left="320" w:top="65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Excellence Modifier</w:t>
      </w:r>
    </w:p>
    <w:p>
      <w:pPr>
        <w:spacing w:after="0" w:line="2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Corporate Scorecard results were adjusted based on how we performed in satisfying our customers and clients and meeting quality objectives. Our 2023 goals and key results are summarized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5"/>
        </w:trPr>
        <w:tc>
          <w:tcPr>
            <w:tcW w:w="1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Customer &amp; Client Segment and Service</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Metric</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Performance</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Performance</w:t>
            </w:r>
          </w:p>
        </w:tc>
      </w:tr>
      <w:tr>
        <w:trPr>
          <w:trHeight w:val="231"/>
        </w:trPr>
        <w:tc>
          <w:tcPr>
            <w:tcW w:w="140" w:type="dxa"/>
            <w:vAlign w:val="bottom"/>
          </w:tcPr>
          <w:p>
            <w:pPr>
              <w:spacing w:after="0"/>
              <w:rPr>
                <w:sz w:val="20"/>
                <w:szCs w:val="20"/>
                <w:color w:val="auto"/>
              </w:rPr>
            </w:pPr>
          </w:p>
        </w:tc>
        <w:tc>
          <w:tcPr>
            <w:tcW w:w="3300" w:type="dxa"/>
            <w:vAlign w:val="bottom"/>
            <w:gridSpan w:val="2"/>
          </w:tcPr>
          <w:p>
            <w:pPr>
              <w:ind w:left="840"/>
              <w:spacing w:after="0"/>
              <w:rPr>
                <w:sz w:val="20"/>
                <w:szCs w:val="20"/>
                <w:color w:val="auto"/>
              </w:rPr>
            </w:pPr>
            <w:r>
              <w:rPr>
                <w:rFonts w:ascii="Times New Roman" w:cs="Times New Roman" w:eastAsia="Times New Roman" w:hAnsi="Times New Roman"/>
                <w:sz w:val="17"/>
                <w:szCs w:val="17"/>
                <w:b w:val="1"/>
                <w:bCs w:val="1"/>
                <w:color w:val="auto"/>
              </w:rPr>
              <w:t>Excellence Metric</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Weight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6"/>
              </w:rPr>
              <w:t>Threshold</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Outcome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7"/>
              </w:rPr>
              <w:t>Achievement</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Achievement</w:t>
            </w:r>
          </w:p>
        </w:tc>
      </w:tr>
      <w:tr>
        <w:trPr>
          <w:trHeight w:val="188"/>
        </w:trPr>
        <w:tc>
          <w:tcPr>
            <w:tcW w:w="1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1.</w:t>
            </w:r>
          </w:p>
        </w:tc>
        <w:tc>
          <w:tcPr>
            <w:tcW w:w="3120" w:type="dxa"/>
            <w:vAlign w:val="bottom"/>
            <w:tcBorders>
              <w:top w:val="single" w:sz="8" w:color="auto"/>
            </w:tcBorders>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Lending - Retail Customer</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Quarterly Net Promoter Score (NPS)</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1"/>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from Transactional Survey</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78.8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18.0%</w:t>
            </w:r>
          </w:p>
        </w:tc>
      </w:tr>
      <w:tr>
        <w:trPr>
          <w:trHeight w:val="188"/>
        </w:trPr>
        <w:tc>
          <w:tcPr>
            <w:tcW w:w="1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2.</w:t>
            </w:r>
          </w:p>
        </w:tc>
        <w:tc>
          <w:tcPr>
            <w:tcW w:w="33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Lending - Third Party Client - Forward</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Average Quarterly NPS from CL Delegated</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1"/>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Relationship Survey</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4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73.0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9.0%</w:t>
            </w:r>
          </w:p>
        </w:tc>
      </w:tr>
      <w:tr>
        <w:trPr>
          <w:trHeight w:val="188"/>
        </w:trPr>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3.</w:t>
            </w:r>
          </w:p>
        </w:tc>
        <w:tc>
          <w:tcPr>
            <w:tcW w:w="33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Lending - Third Party Client - Reverse</w:t>
            </w: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Quarterly NPS from Reverse</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1"/>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Wholesale/HCL Relationship Survey</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83.3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w:t>
            </w:r>
          </w:p>
        </w:tc>
      </w:tr>
      <w:tr>
        <w:trPr>
          <w:trHeight w:val="188"/>
        </w:trPr>
        <w:tc>
          <w:tcPr>
            <w:tcW w:w="1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4.</w:t>
            </w:r>
          </w:p>
        </w:tc>
        <w:tc>
          <w:tcPr>
            <w:tcW w:w="33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Servicing - Customer</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7"/>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Q4 NPS, weighted by segment and contact</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8"/>
        </w:trPr>
        <w:tc>
          <w:tcPr>
            <w:tcW w:w="3440" w:type="dxa"/>
            <w:vAlign w:val="bottom"/>
            <w:gridSpan w:val="3"/>
          </w:tcPr>
          <w:p>
            <w:pPr>
              <w:spacing w:after="0" w:line="258" w:lineRule="exact"/>
              <w:rPr>
                <w:sz w:val="20"/>
                <w:szCs w:val="20"/>
                <w:color w:val="auto"/>
              </w:rPr>
            </w:pPr>
            <w:r>
              <w:rPr>
                <w:rFonts w:ascii="Times New Roman" w:cs="Times New Roman" w:eastAsia="Times New Roman" w:hAnsi="Times New Roman"/>
                <w:sz w:val="17"/>
                <w:szCs w:val="17"/>
                <w:color w:val="auto"/>
              </w:rPr>
              <w:t>format</w:t>
            </w:r>
            <w:r>
              <w:rPr>
                <w:rFonts w:ascii="Times New Roman" w:cs="Times New Roman" w:eastAsia="Times New Roman" w:hAnsi="Times New Roman"/>
                <w:sz w:val="28"/>
                <w:szCs w:val="28"/>
                <w:color w:val="auto"/>
                <w:vertAlign w:val="superscript"/>
              </w:rPr>
              <w:t>(1)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tcPr>
          <w:p>
            <w:pPr>
              <w:spacing w:after="0"/>
              <w:rPr>
                <w:sz w:val="22"/>
                <w:szCs w:val="22"/>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38.8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15.6%</w:t>
            </w:r>
          </w:p>
        </w:tc>
      </w:tr>
      <w:tr>
        <w:trPr>
          <w:trHeight w:val="188"/>
        </w:trPr>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5.</w:t>
            </w:r>
          </w:p>
        </w:tc>
        <w:tc>
          <w:tcPr>
            <w:tcW w:w="33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Servicing - Subserviced Clients</w:t>
            </w: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1-3 Subservicing Individual Client NPS</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1"/>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(excludes Reverse)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18.0%</w:t>
            </w:r>
          </w:p>
        </w:tc>
      </w:tr>
      <w:tr>
        <w:trPr>
          <w:trHeight w:val="188"/>
        </w:trPr>
        <w:tc>
          <w:tcPr>
            <w:tcW w:w="1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6.</w:t>
            </w:r>
          </w:p>
        </w:tc>
        <w:tc>
          <w:tcPr>
            <w:tcW w:w="33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Servicing</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1"/>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CFPB complaints per 1000 loans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1.00</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0.94</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0.88</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0.78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18.0%</w:t>
            </w:r>
          </w:p>
        </w:tc>
      </w:tr>
      <w:tr>
        <w:trPr>
          <w:trHeight w:val="188"/>
        </w:trPr>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7.</w:t>
            </w:r>
          </w:p>
        </w:tc>
        <w:tc>
          <w:tcPr>
            <w:tcW w:w="330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Lending - Retail Originations</w:t>
            </w: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7"/>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Final significant defect rates monthly ending</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58"/>
        </w:trPr>
        <w:tc>
          <w:tcPr>
            <w:tcW w:w="3440" w:type="dxa"/>
            <w:vAlign w:val="bottom"/>
            <w:gridSpan w:val="3"/>
            <w:shd w:val="clear" w:color="auto" w:fill="CCEEFF"/>
          </w:tcPr>
          <w:p>
            <w:pPr>
              <w:spacing w:after="0" w:line="258" w:lineRule="exact"/>
              <w:rPr>
                <w:sz w:val="20"/>
                <w:szCs w:val="20"/>
                <w:color w:val="auto"/>
              </w:rPr>
            </w:pPr>
            <w:r>
              <w:rPr>
                <w:rFonts w:ascii="Times New Roman" w:cs="Times New Roman" w:eastAsia="Times New Roman" w:hAnsi="Times New Roman"/>
                <w:sz w:val="17"/>
                <w:szCs w:val="17"/>
                <w:color w:val="auto"/>
              </w:rPr>
              <w:t>average</w:t>
            </w:r>
            <w:r>
              <w:rPr>
                <w:rFonts w:ascii="Times New Roman" w:cs="Times New Roman" w:eastAsia="Times New Roman" w:hAnsi="Times New Roman"/>
                <w:sz w:val="28"/>
                <w:szCs w:val="28"/>
                <w:color w:val="auto"/>
                <w:vertAlign w:val="superscript"/>
              </w:rPr>
              <w:t>(2)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w:t>
            </w:r>
          </w:p>
        </w:tc>
      </w:tr>
      <w:tr>
        <w:trPr>
          <w:trHeight w:val="188"/>
        </w:trPr>
        <w:tc>
          <w:tcPr>
            <w:tcW w:w="1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3"/>
              </w:rPr>
              <w:t>8.</w:t>
            </w:r>
          </w:p>
        </w:tc>
        <w:tc>
          <w:tcPr>
            <w:tcW w:w="33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b w:val="1"/>
                <w:bCs w:val="1"/>
                <w:color w:val="auto"/>
              </w:rPr>
              <w:t>Servicing</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7"/>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Percentage of operating metrics within</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8"/>
        </w:trPr>
        <w:tc>
          <w:tcPr>
            <w:tcW w:w="3440" w:type="dxa"/>
            <w:vAlign w:val="bottom"/>
            <w:gridSpan w:val="3"/>
          </w:tcPr>
          <w:p>
            <w:pPr>
              <w:spacing w:after="0" w:line="258" w:lineRule="exact"/>
              <w:rPr>
                <w:sz w:val="20"/>
                <w:szCs w:val="20"/>
                <w:color w:val="auto"/>
              </w:rPr>
            </w:pPr>
            <w:r>
              <w:rPr>
                <w:rFonts w:ascii="Times New Roman" w:cs="Times New Roman" w:eastAsia="Times New Roman" w:hAnsi="Times New Roman"/>
                <w:sz w:val="17"/>
                <w:szCs w:val="17"/>
                <w:color w:val="auto"/>
              </w:rPr>
              <w:t>specifications</w:t>
            </w:r>
            <w:r>
              <w:rPr>
                <w:rFonts w:ascii="Times New Roman" w:cs="Times New Roman" w:eastAsia="Times New Roman" w:hAnsi="Times New Roman"/>
                <w:sz w:val="28"/>
                <w:szCs w:val="28"/>
                <w:color w:val="auto"/>
                <w:vertAlign w:val="superscript"/>
              </w:rPr>
              <w:t>(3)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93.60%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94.85%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96.10%</w:t>
            </w: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96.41%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18.0%</w:t>
            </w:r>
          </w:p>
        </w:tc>
      </w:tr>
      <w:tr>
        <w:trPr>
          <w:trHeight w:val="205"/>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100%</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116.4%</w:t>
            </w:r>
          </w:p>
        </w:tc>
      </w:tr>
    </w:tbl>
    <w:p>
      <w:pPr>
        <w:spacing w:after="0" w:line="89" w:lineRule="exact"/>
        <w:rPr>
          <w:sz w:val="20"/>
          <w:szCs w:val="20"/>
          <w:color w:val="auto"/>
        </w:rPr>
      </w:pPr>
    </w:p>
    <w:p>
      <w:pPr>
        <w:ind w:left="300" w:hanging="298"/>
        <w:spacing w:after="0"/>
        <w:tabs>
          <w:tab w:leader="none" w:pos="300" w:val="left"/>
        </w:tabs>
        <w:numPr>
          <w:ilvl w:val="0"/>
          <w:numId w:val="5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NPS weighted 40% to forward contact, 40% to forward non-contact, and 20% to reverse contact.</w:t>
      </w:r>
    </w:p>
    <w:p>
      <w:pPr>
        <w:spacing w:after="0" w:line="187" w:lineRule="exact"/>
        <w:rPr>
          <w:rFonts w:ascii="Times New Roman" w:cs="Times New Roman" w:eastAsia="Times New Roman" w:hAnsi="Times New Roman"/>
          <w:sz w:val="28"/>
          <w:szCs w:val="28"/>
          <w:color w:val="auto"/>
          <w:vertAlign w:val="superscript"/>
        </w:rPr>
      </w:pPr>
    </w:p>
    <w:p>
      <w:pPr>
        <w:ind w:left="300" w:hanging="298"/>
        <w:spacing w:after="0" w:line="198" w:lineRule="auto"/>
        <w:tabs>
          <w:tab w:leader="none" w:pos="300" w:val="left"/>
        </w:tabs>
        <w:numPr>
          <w:ilvl w:val="0"/>
          <w:numId w:val="5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Final significant defect rates are calculated as the sum of all defects identified as a part of Quality Assurance (QA) reviews divided by the total sample size over the same period.</w:t>
      </w:r>
    </w:p>
    <w:p>
      <w:pPr>
        <w:spacing w:after="0" w:line="187" w:lineRule="exact"/>
        <w:rPr>
          <w:rFonts w:ascii="Times New Roman" w:cs="Times New Roman" w:eastAsia="Times New Roman" w:hAnsi="Times New Roman"/>
          <w:sz w:val="28"/>
          <w:szCs w:val="28"/>
          <w:color w:val="auto"/>
          <w:vertAlign w:val="superscript"/>
        </w:rPr>
      </w:pPr>
    </w:p>
    <w:p>
      <w:pPr>
        <w:ind w:left="300" w:hanging="298"/>
        <w:spacing w:after="0" w:line="198" w:lineRule="auto"/>
        <w:tabs>
          <w:tab w:leader="none" w:pos="300" w:val="left"/>
        </w:tabs>
        <w:numPr>
          <w:ilvl w:val="0"/>
          <w:numId w:val="5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Percentage of Servicing metrics within specifications is a meta-metric across the Servicing segment that is the sum of passing reviews from the Monthly Business Review and GSE QA in 2023 divided by the total reviews in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Organizational Performance Funding Allocation by Business Unit</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Upon approval of the Corporate Scorecard results, funding is allocated to each business unit based on the Compensation Committee’s assessment of the business unit’s contributions to scorecard achievement, which is informed by the CEO’s recommendation. The assessment is based on the business unit’s achievement of a unique set of financial and operating objectives required to support the key priorities reflected in the Corporate Scorecard and service excellence modifier.</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NEO worked with the CEO to develop their unique set of key priorities in their respective area of responsibility, which included specific cost or profitability targets, and were weighted depending upon their relative importance to overall organization success. These priorities are outlined in the Performance Assessments section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Individual Performance Multiplier</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Compensation Committee is accountable for reviewing and approving the full-year performance evaluations and recommended performance appraisal ratings for each member of the executive leadership team, including the CEO. The Compensation Committee considers recommendations from the CEO in determining performance appraisal ratings of the other NEOs. The CEO’s performance appraisal rating is determined by the Compensation Committee in consultation with the other independent directors.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documentation provided to the Compensation Committee includes the executives’ self-assessments capturing their views on their performance against each of the objectives they and the CEO agreed to at the start of the year, as well as those that may have been introduced as a result of emerging priorities during the year. The objectives for all employees, including NEOs, fell into three weighted categories:</w:t>
      </w:r>
    </w:p>
    <w:p>
      <w:pPr>
        <w:spacing w:after="0" w:line="167" w:lineRule="exact"/>
        <w:rPr>
          <w:sz w:val="20"/>
          <w:szCs w:val="20"/>
          <w:color w:val="auto"/>
        </w:rPr>
      </w:pPr>
    </w:p>
    <w:p>
      <w:pPr>
        <w:ind w:left="620" w:hanging="310"/>
        <w:spacing w:after="0" w:line="284"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business unit and functional priorities (50% weight) reflected individual goals required to meet the objectives contained in the Corporate Scorecard and service excellence modifier;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4" w:name="page55"/>
    <w:bookmarkEnd w:id="54"/>
    <w:p>
      <w:pPr>
        <w:jc w:val="both"/>
        <w:ind w:left="620" w:hanging="310"/>
        <w:spacing w:after="0" w:line="267"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and compliance metrics (25% weight) assessed executive performance in promoting a culture of appropriate risk and compliance through training and policy review and adherence, remediating any identified issues, and lack of any material findings relating to audit protocols under the Sarbanes-Oxley Act or examination matters; and</w:t>
      </w:r>
    </w:p>
    <w:p>
      <w:pPr>
        <w:spacing w:after="0" w:line="16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Leadership expectations and behaviors (25% weight, described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Leadership expectations and behaviors for our executive team require them to:</w:t>
      </w:r>
    </w:p>
    <w:p>
      <w:pPr>
        <w:spacing w:after="0" w:line="214" w:lineRule="exact"/>
        <w:rPr>
          <w:sz w:val="20"/>
          <w:szCs w:val="20"/>
          <w:color w:val="auto"/>
        </w:rPr>
      </w:pPr>
    </w:p>
    <w:p>
      <w:pPr>
        <w:ind w:left="620" w:hanging="310"/>
        <w:spacing w:after="0" w:line="284"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Behave as a leadership role model </w:t>
      </w:r>
      <w:r>
        <w:rPr>
          <w:rFonts w:ascii="Times New Roman" w:cs="Times New Roman" w:eastAsia="Times New Roman" w:hAnsi="Times New Roman"/>
          <w:sz w:val="17"/>
          <w:szCs w:val="17"/>
          <w:color w:val="262626"/>
        </w:rPr>
        <w:t>by self-identifying as an owner, maintaining a balanced perspective, demonstrating intellectual curiosity, being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62626"/>
        </w:rPr>
        <w:t>accountable for driving positive outcomes and operating as part of a larger team</w:t>
      </w:r>
      <w:r>
        <w:rPr>
          <w:rFonts w:ascii="Times New Roman" w:cs="Times New Roman" w:eastAsia="Times New Roman" w:hAnsi="Times New Roman"/>
          <w:sz w:val="17"/>
          <w:szCs w:val="17"/>
          <w:color w:val="000000"/>
        </w:rPr>
        <w:t>.</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Build strong working relationships in which they </w:t>
      </w:r>
      <w:r>
        <w:rPr>
          <w:rFonts w:ascii="Times New Roman" w:cs="Times New Roman" w:eastAsia="Times New Roman" w:hAnsi="Times New Roman"/>
          <w:sz w:val="17"/>
          <w:szCs w:val="17"/>
          <w:color w:val="262626"/>
        </w:rPr>
        <w:t>lead by example, demonstrate integrity, and</w:t>
      </w:r>
      <w:r>
        <w:rPr>
          <w:rFonts w:ascii="Times New Roman" w:cs="Times New Roman" w:eastAsia="Times New Roman" w:hAnsi="Times New Roman"/>
          <w:sz w:val="17"/>
          <w:szCs w:val="17"/>
          <w:color w:val="auto"/>
        </w:rPr>
        <w:t xml:space="preserve"> solicit, consider and appropriately incorporate perspectives from others.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 and deliver exceptional results by proactively anticipating situations that require a plan of action, identifying critical issues and assuming personal ownership for driving their resolution.</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Lead efforts on diversity, equity and inclusion by fostering an equitable, inclusive and safe work environment </w:t>
      </w:r>
      <w:r>
        <w:rPr>
          <w:rFonts w:ascii="Times New Roman" w:cs="Times New Roman" w:eastAsia="Times New Roman" w:hAnsi="Times New Roman"/>
          <w:sz w:val="17"/>
          <w:szCs w:val="17"/>
          <w:color w:val="262626"/>
        </w:rPr>
        <w:t>that allows for</w:t>
      </w:r>
      <w:r>
        <w:rPr>
          <w:rFonts w:ascii="Times New Roman" w:cs="Times New Roman" w:eastAsia="Times New Roman" w:hAnsi="Times New Roman"/>
          <w:sz w:val="17"/>
          <w:szCs w:val="17"/>
          <w:color w:val="auto"/>
        </w:rPr>
        <w:t xml:space="preserve"> open discussion and understanding, encourages and values individual differences, and ensures employees have an equal opportunity for success.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Build and motivate a high performing team by identifying and securing top talent to increase performance, </w:t>
      </w:r>
      <w:r>
        <w:rPr>
          <w:rFonts w:ascii="Times New Roman" w:cs="Times New Roman" w:eastAsia="Times New Roman" w:hAnsi="Times New Roman"/>
          <w:sz w:val="17"/>
          <w:szCs w:val="17"/>
          <w:color w:val="262626"/>
        </w:rPr>
        <w:t>convincing others of the need for change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62626"/>
        </w:rPr>
        <w:t xml:space="preserve">support critical organizational objectives, and </w:t>
      </w:r>
      <w:r>
        <w:rPr>
          <w:rFonts w:ascii="Times New Roman" w:cs="Times New Roman" w:eastAsia="Times New Roman" w:hAnsi="Times New Roman"/>
          <w:sz w:val="17"/>
          <w:szCs w:val="17"/>
          <w:color w:val="000000"/>
        </w:rPr>
        <w:t>actively holding people accountable for results and behaviors.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62626"/>
        </w:rPr>
        <w:t xml:space="preserve">Embrace our service excellence philosophy </w:t>
      </w:r>
      <w:r>
        <w:rPr>
          <w:rFonts w:ascii="Times New Roman" w:cs="Times New Roman" w:eastAsia="Times New Roman" w:hAnsi="Times New Roman"/>
          <w:sz w:val="17"/>
          <w:szCs w:val="17"/>
          <w:color w:val="000000"/>
        </w:rPr>
        <w:t>by supporting its standards of delivering on commitments to customers, clients, investors and colleagues</w:t>
      </w:r>
      <w:r>
        <w:rPr>
          <w:rFonts w:ascii="Times New Roman" w:cs="Times New Roman" w:eastAsia="Times New Roman" w:hAnsi="Times New Roman"/>
          <w:sz w:val="17"/>
          <w:szCs w:val="17"/>
          <w:color w:val="262626"/>
        </w:rPr>
        <w:t xml:space="preserve"> </w:t>
      </w:r>
      <w:r>
        <w:rPr>
          <w:rFonts w:ascii="Times New Roman" w:cs="Times New Roman" w:eastAsia="Times New Roman" w:hAnsi="Times New Roman"/>
          <w:sz w:val="17"/>
          <w:szCs w:val="17"/>
          <w:color w:val="000000"/>
        </w:rPr>
        <w:t>through caring service, integrity and creative solutions.</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Compensation Committee evaluates the proposed results and performance appraisal recommendations and determines the final incentive compensation awards for each executive. Each executive receives an individual performance appraisal rating against a 5-point scale with an “individual performance multiplier” that is applied to their funded annual incentive opportunity, as described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value for the multiplier is determined by the Compensation Committee using a value from the range shown in the chart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20" w:type="dxa"/>
            <w:vAlign w:val="bottom"/>
            <w:gridSpan w:val="2"/>
          </w:tcPr>
          <w:p>
            <w:pPr>
              <w:ind w:left="1420"/>
              <w:spacing w:after="0"/>
              <w:rPr>
                <w:sz w:val="20"/>
                <w:szCs w:val="20"/>
                <w:color w:val="auto"/>
              </w:rPr>
            </w:pPr>
            <w:r>
              <w:rPr>
                <w:rFonts w:ascii="Times New Roman" w:cs="Times New Roman" w:eastAsia="Times New Roman" w:hAnsi="Times New Roman"/>
                <w:sz w:val="17"/>
                <w:szCs w:val="17"/>
                <w:b w:val="1"/>
                <w:bCs w:val="1"/>
                <w:color w:val="auto"/>
              </w:rPr>
              <w:t>Individual Performance Rating</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12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Individual Performance Multiplier</w:t>
            </w:r>
          </w:p>
        </w:tc>
        <w:tc>
          <w:tcPr>
            <w:tcW w:w="1400" w:type="dxa"/>
            <w:vAlign w:val="bottom"/>
          </w:tcPr>
          <w:p>
            <w:pPr>
              <w:spacing w:after="0"/>
              <w:rPr>
                <w:sz w:val="21"/>
                <w:szCs w:val="21"/>
                <w:color w:val="auto"/>
              </w:rPr>
            </w:pPr>
          </w:p>
        </w:tc>
      </w:tr>
      <w:tr>
        <w:trPr>
          <w:trHeight w:val="205"/>
        </w:trPr>
        <w:tc>
          <w:tcPr>
            <w:tcW w:w="1420" w:type="dxa"/>
            <w:vAlign w:val="bottom"/>
          </w:tcPr>
          <w:p>
            <w:pPr>
              <w:spacing w:after="0"/>
              <w:rPr>
                <w:sz w:val="17"/>
                <w:szCs w:val="17"/>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Performance</w:t>
            </w: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110-125%</w:t>
            </w:r>
          </w:p>
        </w:tc>
        <w:tc>
          <w:tcPr>
            <w:tcW w:w="1400" w:type="dxa"/>
            <w:vAlign w:val="bottom"/>
          </w:tcPr>
          <w:p>
            <w:pPr>
              <w:spacing w:after="0"/>
              <w:rPr>
                <w:sz w:val="17"/>
                <w:szCs w:val="17"/>
                <w:color w:val="auto"/>
              </w:rPr>
            </w:pPr>
          </w:p>
        </w:tc>
      </w:tr>
      <w:tr>
        <w:trPr>
          <w:trHeight w:val="205"/>
        </w:trPr>
        <w:tc>
          <w:tcPr>
            <w:tcW w:w="14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Highly Effective Performance</w:t>
            </w:r>
          </w:p>
        </w:tc>
        <w:tc>
          <w:tcPr>
            <w:tcW w:w="5220" w:type="dxa"/>
            <w:vAlign w:val="bottom"/>
            <w:gridSpan w:val="3"/>
          </w:tcPr>
          <w:p>
            <w:pPr>
              <w:jc w:val="center"/>
              <w:ind w:left="995"/>
              <w:spacing w:after="0"/>
              <w:rPr>
                <w:sz w:val="20"/>
                <w:szCs w:val="20"/>
                <w:color w:val="auto"/>
              </w:rPr>
            </w:pPr>
            <w:r>
              <w:rPr>
                <w:rFonts w:ascii="Times New Roman" w:cs="Times New Roman" w:eastAsia="Times New Roman" w:hAnsi="Times New Roman"/>
                <w:sz w:val="17"/>
                <w:szCs w:val="17"/>
                <w:color w:val="auto"/>
                <w:w w:val="98"/>
              </w:rPr>
              <w:t>105-110%</w:t>
            </w:r>
          </w:p>
        </w:tc>
        <w:tc>
          <w:tcPr>
            <w:tcW w:w="1400" w:type="dxa"/>
            <w:vAlign w:val="bottom"/>
          </w:tcPr>
          <w:p>
            <w:pPr>
              <w:spacing w:after="0"/>
              <w:rPr>
                <w:sz w:val="17"/>
                <w:szCs w:val="17"/>
                <w:color w:val="auto"/>
              </w:rPr>
            </w:pPr>
          </w:p>
        </w:tc>
      </w:tr>
      <w:tr>
        <w:trPr>
          <w:trHeight w:val="205"/>
        </w:trPr>
        <w:tc>
          <w:tcPr>
            <w:tcW w:w="14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Performance</w:t>
            </w:r>
          </w:p>
        </w:tc>
        <w:tc>
          <w:tcPr>
            <w:tcW w:w="5220" w:type="dxa"/>
            <w:vAlign w:val="bottom"/>
            <w:gridSpan w:val="3"/>
            <w:shd w:val="clear" w:color="auto" w:fill="CCEEFF"/>
          </w:tcPr>
          <w:p>
            <w:pPr>
              <w:jc w:val="center"/>
              <w:ind w:left="995"/>
              <w:spacing w:after="0"/>
              <w:rPr>
                <w:sz w:val="20"/>
                <w:szCs w:val="20"/>
                <w:color w:val="auto"/>
              </w:rPr>
            </w:pPr>
            <w:r>
              <w:rPr>
                <w:rFonts w:ascii="Times New Roman" w:cs="Times New Roman" w:eastAsia="Times New Roman" w:hAnsi="Times New Roman"/>
                <w:sz w:val="17"/>
                <w:szCs w:val="17"/>
                <w:color w:val="auto"/>
                <w:w w:val="99"/>
              </w:rPr>
              <w:t>90-105%</w:t>
            </w:r>
          </w:p>
        </w:tc>
        <w:tc>
          <w:tcPr>
            <w:tcW w:w="1400" w:type="dxa"/>
            <w:vAlign w:val="bottom"/>
          </w:tcPr>
          <w:p>
            <w:pPr>
              <w:spacing w:after="0"/>
              <w:rPr>
                <w:sz w:val="17"/>
                <w:szCs w:val="17"/>
                <w:color w:val="auto"/>
              </w:rPr>
            </w:pPr>
          </w:p>
        </w:tc>
      </w:tr>
      <w:tr>
        <w:trPr>
          <w:trHeight w:val="205"/>
        </w:trPr>
        <w:tc>
          <w:tcPr>
            <w:tcW w:w="14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Inconsistent Performance</w:t>
            </w:r>
          </w:p>
        </w:tc>
        <w:tc>
          <w:tcPr>
            <w:tcW w:w="5220" w:type="dxa"/>
            <w:vAlign w:val="bottom"/>
            <w:gridSpan w:val="3"/>
          </w:tcPr>
          <w:p>
            <w:pPr>
              <w:jc w:val="center"/>
              <w:ind w:left="995"/>
              <w:spacing w:after="0"/>
              <w:rPr>
                <w:sz w:val="20"/>
                <w:szCs w:val="20"/>
                <w:color w:val="auto"/>
              </w:rPr>
            </w:pPr>
            <w:r>
              <w:rPr>
                <w:rFonts w:ascii="Times New Roman" w:cs="Times New Roman" w:eastAsia="Times New Roman" w:hAnsi="Times New Roman"/>
                <w:sz w:val="17"/>
                <w:szCs w:val="17"/>
                <w:color w:val="auto"/>
              </w:rPr>
              <w:t>50-75%</w:t>
            </w:r>
          </w:p>
        </w:tc>
        <w:tc>
          <w:tcPr>
            <w:tcW w:w="1400" w:type="dxa"/>
            <w:vAlign w:val="bottom"/>
          </w:tcPr>
          <w:p>
            <w:pPr>
              <w:spacing w:after="0"/>
              <w:rPr>
                <w:sz w:val="17"/>
                <w:szCs w:val="17"/>
                <w:color w:val="auto"/>
              </w:rPr>
            </w:pPr>
          </w:p>
        </w:tc>
      </w:tr>
      <w:tr>
        <w:trPr>
          <w:trHeight w:val="205"/>
        </w:trPr>
        <w:tc>
          <w:tcPr>
            <w:tcW w:w="14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Unsatisfactory Performance</w:t>
            </w:r>
          </w:p>
        </w:tc>
        <w:tc>
          <w:tcPr>
            <w:tcW w:w="5220" w:type="dxa"/>
            <w:vAlign w:val="bottom"/>
            <w:gridSpan w:val="3"/>
            <w:shd w:val="clear" w:color="auto" w:fill="CCEEFF"/>
          </w:tcPr>
          <w:p>
            <w:pPr>
              <w:jc w:val="center"/>
              <w:ind w:left="995"/>
              <w:spacing w:after="0"/>
              <w:rPr>
                <w:sz w:val="20"/>
                <w:szCs w:val="20"/>
                <w:color w:val="auto"/>
              </w:rPr>
            </w:pPr>
            <w:r>
              <w:rPr>
                <w:rFonts w:ascii="Times New Roman" w:cs="Times New Roman" w:eastAsia="Times New Roman" w:hAnsi="Times New Roman"/>
                <w:sz w:val="17"/>
                <w:szCs w:val="17"/>
                <w:color w:val="auto"/>
                <w:w w:val="96"/>
              </w:rPr>
              <w:t>0%</w:t>
            </w:r>
          </w:p>
        </w:tc>
        <w:tc>
          <w:tcPr>
            <w:tcW w:w="1400" w:type="dxa"/>
            <w:vAlign w:val="bottom"/>
          </w:tcPr>
          <w:p>
            <w:pPr>
              <w:spacing w:after="0"/>
              <w:rPr>
                <w:sz w:val="17"/>
                <w:szCs w:val="17"/>
                <w:color w:val="auto"/>
              </w:rPr>
            </w:pPr>
          </w:p>
        </w:tc>
      </w:tr>
      <w:tr>
        <w:trPr>
          <w:trHeight w:val="415"/>
        </w:trPr>
        <w:tc>
          <w:tcPr>
            <w:tcW w:w="1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4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Assessments and Calculation of Total 2023 AIP Awards</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After careful consideration, the Compensation Committee – and the full Board, in the case of the CEO – assessed each NEO’s performance leading their respective business unit’s achievement of its financial and operating objectives to determine organizational performance funding, and assigned individual performance multipliers reflective of risk and compliance objectives and leadership expectations and behaviors that further differentiated their performance, as described below.</w:t>
      </w: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Organizational</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Individual</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Final Award as</w:t>
            </w:r>
          </w:p>
        </w:tc>
      </w:tr>
      <w:tr>
        <w:trPr>
          <w:trHeight w:val="205"/>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a Percent of</w:t>
            </w:r>
          </w:p>
        </w:tc>
      </w:tr>
      <w:tr>
        <w:trPr>
          <w:trHeight w:val="205"/>
        </w:trPr>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Funding</w:t>
            </w: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Multiplier</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Target Value</w:t>
            </w:r>
          </w:p>
        </w:tc>
      </w:tr>
      <w:tr>
        <w:trPr>
          <w:trHeight w:val="231"/>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p>
        </w:tc>
        <w:tc>
          <w:tcPr>
            <w:tcW w:w="3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t>
            </w:r>
          </w:p>
        </w:tc>
        <w:tc>
          <w:tcPr>
            <w:tcW w:w="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0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100.3%</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105%</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105.3%</w:t>
            </w:r>
          </w:p>
        </w:tc>
      </w:tr>
      <w:tr>
        <w:trPr>
          <w:trHeight w:val="205"/>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O’Neil</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103.5%</w:t>
            </w:r>
          </w:p>
        </w:tc>
      </w:tr>
      <w:tr>
        <w:trPr>
          <w:trHeight w:val="205"/>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104.5%</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115.0%</w:t>
            </w:r>
          </w:p>
        </w:tc>
      </w:tr>
      <w:tr>
        <w:trPr>
          <w:trHeight w:val="205"/>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102.5%</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112.8%</w:t>
            </w:r>
          </w:p>
        </w:tc>
      </w:tr>
      <w:tr>
        <w:trPr>
          <w:trHeight w:val="205"/>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T. Henley</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85.0%</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85.0%</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performance of each executive and his respective business unit: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Glen Messina</w:t>
      </w:r>
    </w:p>
    <w:p>
      <w:pPr>
        <w:spacing w:after="0" w:line="2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As CEO, Mr. Messina received organizational performance funding equivalent to the Corporate Scorecard results, or 100.3%, and he received an individual performance multiplier of 105%, with key accomplishments described below.</w:t>
      </w:r>
    </w:p>
    <w:p>
      <w:pPr>
        <w:spacing w:after="0" w:line="152" w:lineRule="exact"/>
        <w:rPr>
          <w:sz w:val="20"/>
          <w:szCs w:val="20"/>
          <w:color w:val="auto"/>
        </w:rPr>
      </w:pPr>
    </w:p>
    <w:p>
      <w:pPr>
        <w:ind w:left="920" w:hanging="303"/>
        <w:spacing w:after="0" w:line="284"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Built and managed a balanced and diversified business model that drove profitability through a continued focus on servicing and acting with agility to re-size originations to a rapidly changing market.</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Drove prudent growth adapted for the current environment, including expanding our MSR capital partners and related subservicing opportunities and focusing on higher margin originations products.</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Maintained industry-leading servicing operations and cost performance by maintaining continuous cost improvement discipline and optimizing technology and global operations, and exceeded all customer satisfaction objectives through technology interfaces and proactive outreach.</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capital to deliver value for shareholders by optimizing liquidity, diversifying capital sources, including expanding the multi-investor partnership model to fund new MSR originations.</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Led an engaged and productive workforce despite reducing global headcount by approximately 15%, maintaining relatively flat attrition and meeting or exceeding commitments to support diversity and inclusion.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Sean O’Neil</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Mr. O’Neil’s key priorities for the finance organization included financial reporting and forecasting, treasury and cash management, balance sheet optimization, and shareholder relations. Under his leadership, the finance business unit earned an organizational performance multiplier of 101%, and he received an individual performance multiplier of 102.5%, with key accomplishments described below.</w:t>
      </w:r>
    </w:p>
    <w:p>
      <w:pPr>
        <w:spacing w:after="0" w:line="167" w:lineRule="exact"/>
        <w:rPr>
          <w:sz w:val="20"/>
          <w:szCs w:val="20"/>
          <w:color w:val="auto"/>
        </w:rPr>
      </w:pPr>
    </w:p>
    <w:p>
      <w:pPr>
        <w:ind w:left="920" w:hanging="303"/>
        <w:spacing w:after="0"/>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Led enterprise-wide budget planning and cost reduction initiatives that improved revenue, reduced operating expenses and improved financing costs.</w:t>
      </w:r>
    </w:p>
    <w:p>
      <w:pPr>
        <w:spacing w:after="0" w:line="214"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liquidity to enable debt buyback, lowered lender risk and upsized capacity, improved financing spreads and facilitated securitizations that lowered interest expense.</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Developed and executed an investor relations strategy that included holding frequent sessions with existing and prospective shareholders and research analysts to communicate our long-term strategy to reduce corporate debt.</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Expanded reporting and analysis capabilities leading to faster and more effective decision-making evaluating budgets, debt management, operating unit performance and strategic transactions.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Scott Anderson</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Mr. Anderson’s key priorities for the servicing organization included delivering efficient and compliant operational performance and exceptional customer service, and improving portfolio cost to service. Under his leadership, the servicing business unit earned an 104.5% organizational performance multiplier, and he received an individual performance multiplier of 110%, with key accomplishments described below.</w:t>
      </w:r>
    </w:p>
    <w:p>
      <w:pPr>
        <w:spacing w:after="0" w:line="167" w:lineRule="exact"/>
        <w:rPr>
          <w:sz w:val="20"/>
          <w:szCs w:val="20"/>
          <w:color w:val="auto"/>
        </w:rPr>
      </w:pPr>
    </w:p>
    <w:p>
      <w:pPr>
        <w:ind w:left="920" w:hanging="303"/>
        <w:spacing w:after="0" w:line="284" w:lineRule="auto"/>
        <w:tabs>
          <w:tab w:leader="none" w:pos="9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expenses as a percent of UPB through automation initiatives, customer experience enhancements and increased borrower self-service acceptance rates.</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borrower and client Net Promoter Scores from 2022 to 2023, and Consumer Financial Protection Bureau (CFPB) complaint volumes were at an all-time low.</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Drove strong operational performance with &lt;1% defect rate through compliance management, self-identification in a culture of transparency, swift remediation, root cause analysis and preventive-action planning.</w:t>
      </w:r>
    </w:p>
    <w:p>
      <w:pPr>
        <w:spacing w:after="0" w:line="152"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call center pitch and transfer rates through scripting, training and incentives to drive significant increase to loan recapture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Dennis Zeleny</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Mr. Zeleny’s key priorities as Chief Administrative Officer included overseeing the human resources, information technologies, enterprise project management office (EPMO), communication, procurement, corporate insurance, international operations and facilities functions. These groups enable the people, processes and technology associated with our growth, change and cost leadership initiatives. Mr. Zeleny received an organizational performance multiplier of 102.5%, and he received an individual performance multiplier of 110%, with key accomplishments described below.</w:t>
      </w:r>
    </w:p>
    <w:p>
      <w:pPr>
        <w:spacing w:after="0" w:line="171" w:lineRule="exact"/>
        <w:rPr>
          <w:sz w:val="20"/>
          <w:szCs w:val="20"/>
          <w:color w:val="auto"/>
        </w:rPr>
      </w:pPr>
    </w:p>
    <w:p>
      <w:pPr>
        <w:ind w:left="920" w:hanging="303"/>
        <w:spacing w:after="0" w:line="284"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Developed and executed the human capital agenda, including staffing, talent, succession planning, employee engagement, DE&amp;I, remuneration and learning programs efficiently.</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our Asia-Pacific platform goals and objectives, exceeding cost reduction targets while ensuring a highly skilled, engaged and productive workforce.</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Led cybersecurity enhancements to protect the organization from potential cyber threats through technology-based prevention and employee training. Improved efficiency levering technology and AI tools.</w:t>
      </w:r>
    </w:p>
    <w:p>
      <w:pPr>
        <w:spacing w:after="0" w:line="152" w:lineRule="exact"/>
        <w:rPr>
          <w:rFonts w:ascii="Times New Roman" w:cs="Times New Roman" w:eastAsia="Times New Roman" w:hAnsi="Times New Roman"/>
          <w:sz w:val="17"/>
          <w:szCs w:val="17"/>
          <w:color w:val="auto"/>
        </w:rPr>
      </w:pPr>
    </w:p>
    <w:p>
      <w:pPr>
        <w:ind w:left="920" w:hanging="303"/>
        <w:spacing w:after="0" w:line="284"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Strengthened performance of the EPMO, strategic sourcing, and corporate insurance functions through the implementation of technology enhancements and process optimization.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George Henley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Henley’s key priorities for the originations organization included growing the loan portfolio, and integrating the forward and reverse originations channels.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his leadership, the lending business unit earned an 85% organizational performance multiplier, with key accomplishments described below.</w:t>
      </w:r>
    </w:p>
    <w:p>
      <w:pPr>
        <w:spacing w:after="0" w:line="197" w:lineRule="exact"/>
        <w:rPr>
          <w:sz w:val="20"/>
          <w:szCs w:val="20"/>
          <w:color w:val="auto"/>
        </w:rPr>
      </w:pPr>
    </w:p>
    <w:p>
      <w:pPr>
        <w:ind w:left="920" w:hanging="303"/>
        <w:spacing w:after="0" w:line="284" w:lineRule="auto"/>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Navigated through a difficult mortgage originations market, exceeding cost per loan targets by managing headcount against volume opportunity and reducing operating costs through operations optimization.</w:t>
      </w:r>
    </w:p>
    <w:p>
      <w:pPr>
        <w:spacing w:after="0" w:line="152"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Exceeded growth targets for “best efforts” and GNMA volumes, grew business-to-business clients and improved the digital customer experience.</w:t>
      </w:r>
    </w:p>
    <w:p>
      <w:pPr>
        <w:spacing w:after="0" w:line="214"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Exceeded both Net Promoter Score and quality targets across recapture and reverse retail channels.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Long-Term Incentive (LTIP) Awards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annual grant of LTIP awards is designed to promote actions and decisions aligned with our strategic objectives and reward our executives and other program participants for long-term value creation for our shareholders in a manner that is consistent with our pay-for-performance philosophy. The Compensation Committee periodically reviews the granting of equity awards to employees based on such factors as Company performance, market competitive conditions and advice from its independent compensation consultant.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7"/>
          <w:szCs w:val="17"/>
          <w:color w:val="auto"/>
        </w:rPr>
        <w:t>Ocwen’s long-term incentive opportunity for eligible employees, including executive officers, was provided through equity awards under the 2021 Equity Incentive Plan (the 2021 Plan) adopted by shareholders on May 25, 2021 and amended May 23, 2023. The 2021 Plan authorized the grant of restricted stock, restricted stock units, options, stock appreciation rights or other equity-based awards, including cash-settled awards, to our employees (including executive officers), directors, advisors and consultants. We have made grants under the 2021 Plan only to employees and directors. We implemented the 2021 Plan to motivate employees to make extraordinary efforts to achieve significant improvements to shareholder value, support retention of key employees and align the interests of our employees with the interests of our shareholders.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2023 LTIP awards include both a time-vesting component for retention purposes and a performance-based component to align with pay-for-performance objectives. Half of the target value is granted as RSUs vesting in equal thirds on the first, second and third anniversaries of the grant, and half is granted as PRSUs vesting on the third anniversary of the grant based on TSR compared to a performance peer group selected for the awards.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Compensation Committee selected the following peer group as the comparator for relative TSR performance, including competitors in the mortgage finance industry and mortgage real estate investment trusts.</w:t>
      </w:r>
    </w:p>
    <w:p>
      <w:pPr>
        <w:spacing w:after="0" w:line="152" w:lineRule="exact"/>
        <w:rPr>
          <w:sz w:val="20"/>
          <w:szCs w:val="20"/>
          <w:color w:val="auto"/>
        </w:rPr>
      </w:pPr>
    </w:p>
    <w:tbl>
      <w:tblPr>
        <w:tblLayout w:type="fixed"/>
        <w:tblInd w:w="1180" w:type="dxa"/>
        <w:tblCellMar>
          <w:top w:w="0" w:type="dxa"/>
          <w:left w:w="0" w:type="dxa"/>
          <w:bottom w:w="0" w:type="dxa"/>
          <w:right w:w="0" w:type="dxa"/>
        </w:tblCellMar>
      </w:tblPr>
      <w:tr>
        <w:trPr>
          <w:trHeight w:val="205"/>
        </w:trPr>
        <w:tc>
          <w:tcPr>
            <w:tcW w:w="4640" w:type="dxa"/>
            <w:vAlign w:val="bottom"/>
          </w:tcPr>
          <w:p>
            <w:pPr>
              <w:jc w:val="center"/>
              <w:ind w:right="1395"/>
              <w:spacing w:after="0"/>
              <w:rPr>
                <w:sz w:val="20"/>
                <w:szCs w:val="20"/>
                <w:color w:val="auto"/>
              </w:rPr>
            </w:pPr>
            <w:r>
              <w:rPr>
                <w:rFonts w:ascii="Times New Roman" w:cs="Times New Roman" w:eastAsia="Times New Roman" w:hAnsi="Times New Roman"/>
                <w:sz w:val="17"/>
                <w:szCs w:val="17"/>
                <w:color w:val="auto"/>
              </w:rPr>
              <w:t>Annaly Capital Management, Inc.</w:t>
            </w:r>
          </w:p>
        </w:tc>
        <w:tc>
          <w:tcPr>
            <w:tcW w:w="3860" w:type="dxa"/>
            <w:vAlign w:val="bottom"/>
          </w:tcPr>
          <w:p>
            <w:pPr>
              <w:jc w:val="center"/>
              <w:ind w:left="1415"/>
              <w:spacing w:after="0"/>
              <w:rPr>
                <w:sz w:val="20"/>
                <w:szCs w:val="20"/>
                <w:color w:val="auto"/>
              </w:rPr>
            </w:pPr>
            <w:r>
              <w:rPr>
                <w:rFonts w:ascii="Times New Roman" w:cs="Times New Roman" w:eastAsia="Times New Roman" w:hAnsi="Times New Roman"/>
                <w:sz w:val="17"/>
                <w:szCs w:val="17"/>
                <w:color w:val="auto"/>
              </w:rPr>
              <w:t>New Residential Investment Corp.</w:t>
            </w:r>
          </w:p>
        </w:tc>
      </w:tr>
      <w:tr>
        <w:trPr>
          <w:trHeight w:val="205"/>
        </w:trPr>
        <w:tc>
          <w:tcPr>
            <w:tcW w:w="4640" w:type="dxa"/>
            <w:vAlign w:val="bottom"/>
          </w:tcPr>
          <w:p>
            <w:pPr>
              <w:jc w:val="center"/>
              <w:ind w:right="1395"/>
              <w:spacing w:after="0"/>
              <w:rPr>
                <w:sz w:val="20"/>
                <w:szCs w:val="20"/>
                <w:color w:val="auto"/>
              </w:rPr>
            </w:pPr>
            <w:r>
              <w:rPr>
                <w:rFonts w:ascii="Times New Roman" w:cs="Times New Roman" w:eastAsia="Times New Roman" w:hAnsi="Times New Roman"/>
                <w:sz w:val="17"/>
                <w:szCs w:val="17"/>
                <w:color w:val="auto"/>
              </w:rPr>
              <w:t>Cherry Hill Mortgage Investment Corporation</w:t>
            </w:r>
          </w:p>
        </w:tc>
        <w:tc>
          <w:tcPr>
            <w:tcW w:w="386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rPr>
              <w:t>PennyMac Financial Services, Inc.</w:t>
            </w:r>
          </w:p>
        </w:tc>
      </w:tr>
      <w:tr>
        <w:trPr>
          <w:trHeight w:val="205"/>
        </w:trPr>
        <w:tc>
          <w:tcPr>
            <w:tcW w:w="4640" w:type="dxa"/>
            <w:vAlign w:val="bottom"/>
          </w:tcPr>
          <w:p>
            <w:pPr>
              <w:jc w:val="center"/>
              <w:ind w:right="1395"/>
              <w:spacing w:after="0"/>
              <w:rPr>
                <w:sz w:val="20"/>
                <w:szCs w:val="20"/>
                <w:color w:val="auto"/>
              </w:rPr>
            </w:pPr>
            <w:r>
              <w:rPr>
                <w:rFonts w:ascii="Times New Roman" w:cs="Times New Roman" w:eastAsia="Times New Roman" w:hAnsi="Times New Roman"/>
                <w:sz w:val="17"/>
                <w:szCs w:val="17"/>
                <w:color w:val="auto"/>
              </w:rPr>
              <w:t>Guild Holdings Company</w:t>
            </w:r>
          </w:p>
        </w:tc>
        <w:tc>
          <w:tcPr>
            <w:tcW w:w="386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9"/>
              </w:rPr>
              <w:t>Radian Group Inc.</w:t>
            </w:r>
          </w:p>
        </w:tc>
      </w:tr>
      <w:tr>
        <w:trPr>
          <w:trHeight w:val="205"/>
        </w:trPr>
        <w:tc>
          <w:tcPr>
            <w:tcW w:w="4640" w:type="dxa"/>
            <w:vAlign w:val="bottom"/>
          </w:tcPr>
          <w:p>
            <w:pPr>
              <w:jc w:val="center"/>
              <w:ind w:right="1375"/>
              <w:spacing w:after="0"/>
              <w:rPr>
                <w:sz w:val="20"/>
                <w:szCs w:val="20"/>
                <w:color w:val="auto"/>
              </w:rPr>
            </w:pPr>
            <w:r>
              <w:rPr>
                <w:rFonts w:ascii="Times New Roman" w:cs="Times New Roman" w:eastAsia="Times New Roman" w:hAnsi="Times New Roman"/>
                <w:sz w:val="17"/>
                <w:szCs w:val="17"/>
                <w:color w:val="auto"/>
              </w:rPr>
              <w:t>Home Point Capital Inc.</w:t>
            </w:r>
          </w:p>
        </w:tc>
        <w:tc>
          <w:tcPr>
            <w:tcW w:w="3860" w:type="dxa"/>
            <w:vAlign w:val="bottom"/>
          </w:tcPr>
          <w:p>
            <w:pPr>
              <w:jc w:val="center"/>
              <w:ind w:left="1415"/>
              <w:spacing w:after="0"/>
              <w:rPr>
                <w:sz w:val="20"/>
                <w:szCs w:val="20"/>
                <w:color w:val="auto"/>
              </w:rPr>
            </w:pPr>
            <w:r>
              <w:rPr>
                <w:rFonts w:ascii="Times New Roman" w:cs="Times New Roman" w:eastAsia="Times New Roman" w:hAnsi="Times New Roman"/>
                <w:sz w:val="17"/>
                <w:szCs w:val="17"/>
                <w:color w:val="auto"/>
              </w:rPr>
              <w:t>Redwood Trust, Inc.</w:t>
            </w:r>
          </w:p>
        </w:tc>
      </w:tr>
      <w:tr>
        <w:trPr>
          <w:trHeight w:val="205"/>
        </w:trPr>
        <w:tc>
          <w:tcPr>
            <w:tcW w:w="4640" w:type="dxa"/>
            <w:vAlign w:val="bottom"/>
          </w:tcPr>
          <w:p>
            <w:pPr>
              <w:jc w:val="center"/>
              <w:ind w:right="1375"/>
              <w:spacing w:after="0"/>
              <w:rPr>
                <w:sz w:val="20"/>
                <w:szCs w:val="20"/>
                <w:color w:val="auto"/>
              </w:rPr>
            </w:pPr>
            <w:r>
              <w:rPr>
                <w:rFonts w:ascii="Times New Roman" w:cs="Times New Roman" w:eastAsia="Times New Roman" w:hAnsi="Times New Roman"/>
                <w:sz w:val="17"/>
                <w:szCs w:val="17"/>
                <w:color w:val="auto"/>
              </w:rPr>
              <w:t>loanDepot, Inc.</w:t>
            </w:r>
          </w:p>
        </w:tc>
        <w:tc>
          <w:tcPr>
            <w:tcW w:w="3860" w:type="dxa"/>
            <w:vAlign w:val="bottom"/>
          </w:tcPr>
          <w:p>
            <w:pPr>
              <w:jc w:val="center"/>
              <w:ind w:left="1415"/>
              <w:spacing w:after="0"/>
              <w:rPr>
                <w:sz w:val="20"/>
                <w:szCs w:val="20"/>
                <w:color w:val="auto"/>
              </w:rPr>
            </w:pPr>
            <w:r>
              <w:rPr>
                <w:rFonts w:ascii="Times New Roman" w:cs="Times New Roman" w:eastAsia="Times New Roman" w:hAnsi="Times New Roman"/>
                <w:sz w:val="17"/>
                <w:szCs w:val="17"/>
                <w:color w:val="auto"/>
              </w:rPr>
              <w:t>Rocket Companies, Inc.</w:t>
            </w:r>
          </w:p>
        </w:tc>
      </w:tr>
      <w:tr>
        <w:trPr>
          <w:trHeight w:val="205"/>
        </w:trPr>
        <w:tc>
          <w:tcPr>
            <w:tcW w:w="4640" w:type="dxa"/>
            <w:vAlign w:val="bottom"/>
          </w:tcPr>
          <w:p>
            <w:pPr>
              <w:jc w:val="center"/>
              <w:ind w:right="1395"/>
              <w:spacing w:after="0"/>
              <w:rPr>
                <w:sz w:val="20"/>
                <w:szCs w:val="20"/>
                <w:color w:val="auto"/>
              </w:rPr>
            </w:pPr>
            <w:r>
              <w:rPr>
                <w:rFonts w:ascii="Times New Roman" w:cs="Times New Roman" w:eastAsia="Times New Roman" w:hAnsi="Times New Roman"/>
                <w:sz w:val="17"/>
                <w:szCs w:val="17"/>
                <w:color w:val="auto"/>
              </w:rPr>
              <w:t>MGIC Investment Corporation</w:t>
            </w:r>
          </w:p>
        </w:tc>
        <w:tc>
          <w:tcPr>
            <w:tcW w:w="3860" w:type="dxa"/>
            <w:vAlign w:val="bottom"/>
          </w:tcPr>
          <w:p>
            <w:pPr>
              <w:jc w:val="center"/>
              <w:ind w:left="1415"/>
              <w:spacing w:after="0"/>
              <w:rPr>
                <w:sz w:val="20"/>
                <w:szCs w:val="20"/>
                <w:color w:val="auto"/>
              </w:rPr>
            </w:pPr>
            <w:r>
              <w:rPr>
                <w:rFonts w:ascii="Times New Roman" w:cs="Times New Roman" w:eastAsia="Times New Roman" w:hAnsi="Times New Roman"/>
                <w:sz w:val="17"/>
                <w:szCs w:val="17"/>
                <w:color w:val="auto"/>
                <w:w w:val="99"/>
              </w:rPr>
              <w:t>Two Harbors Investment Corp.</w:t>
            </w:r>
          </w:p>
        </w:tc>
      </w:tr>
      <w:tr>
        <w:trPr>
          <w:trHeight w:val="205"/>
        </w:trPr>
        <w:tc>
          <w:tcPr>
            <w:tcW w:w="4640" w:type="dxa"/>
            <w:vAlign w:val="bottom"/>
          </w:tcPr>
          <w:p>
            <w:pPr>
              <w:jc w:val="center"/>
              <w:ind w:right="1395"/>
              <w:spacing w:after="0"/>
              <w:rPr>
                <w:sz w:val="20"/>
                <w:szCs w:val="20"/>
                <w:color w:val="auto"/>
              </w:rPr>
            </w:pPr>
            <w:r>
              <w:rPr>
                <w:rFonts w:ascii="Times New Roman" w:cs="Times New Roman" w:eastAsia="Times New Roman" w:hAnsi="Times New Roman"/>
                <w:sz w:val="17"/>
                <w:szCs w:val="17"/>
                <w:color w:val="auto"/>
                <w:w w:val="99"/>
              </w:rPr>
              <w:t>Mr. Cooper Group Inc.</w:t>
            </w:r>
          </w:p>
        </w:tc>
        <w:tc>
          <w:tcPr>
            <w:tcW w:w="386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rPr>
              <w:t>UWM Holdings Corporation</w:t>
            </w:r>
          </w:p>
        </w:tc>
      </w:tr>
      <w:tr>
        <w:trPr>
          <w:trHeight w:val="222"/>
        </w:trPr>
        <w:tc>
          <w:tcPr>
            <w:tcW w:w="4640" w:type="dxa"/>
            <w:vAlign w:val="bottom"/>
          </w:tcPr>
          <w:p>
            <w:pPr>
              <w:jc w:val="center"/>
              <w:ind w:right="1395"/>
              <w:spacing w:after="0"/>
              <w:rPr>
                <w:sz w:val="20"/>
                <w:szCs w:val="20"/>
                <w:color w:val="auto"/>
              </w:rPr>
            </w:pPr>
            <w:r>
              <w:rPr>
                <w:rFonts w:ascii="Times New Roman" w:cs="Times New Roman" w:eastAsia="Times New Roman" w:hAnsi="Times New Roman"/>
                <w:sz w:val="17"/>
                <w:szCs w:val="17"/>
                <w:color w:val="auto"/>
                <w:w w:val="99"/>
              </w:rPr>
              <w:t>Navient Corporation</w:t>
            </w:r>
          </w:p>
        </w:tc>
        <w:tc>
          <w:tcPr>
            <w:tcW w:w="3860" w:type="dxa"/>
            <w:vAlign w:val="bottom"/>
          </w:tcPr>
          <w:p>
            <w:pPr>
              <w:spacing w:after="0"/>
              <w:rPr>
                <w:sz w:val="19"/>
                <w:szCs w:val="19"/>
                <w:color w:val="auto"/>
              </w:rPr>
            </w:pPr>
          </w:p>
        </w:tc>
      </w:tr>
    </w:tbl>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PRSUs use four distinct weighted performance periods to measure overall performance, three annual periods and one three-year period, as shown below. This structure assigns a weight more than three times greater to the three-year period while also providing incentive for year-over-year improvements compared to the peer group.</w:t>
      </w:r>
    </w:p>
    <w:p>
      <w:pPr>
        <w:spacing w:after="0" w:line="163" w:lineRule="exact"/>
        <w:rPr>
          <w:sz w:val="20"/>
          <w:szCs w:val="20"/>
          <w:color w:val="auto"/>
        </w:rPr>
      </w:pPr>
    </w:p>
    <w:tbl>
      <w:tblPr>
        <w:tblLayout w:type="fixed"/>
        <w:tblInd w:w="1420" w:type="dxa"/>
        <w:tblCellMar>
          <w:top w:w="0" w:type="dxa"/>
          <w:left w:w="0" w:type="dxa"/>
          <w:bottom w:w="0" w:type="dxa"/>
          <w:right w:w="0" w:type="dxa"/>
        </w:tblCellMar>
      </w:tblPr>
      <w:tr>
        <w:trPr>
          <w:trHeight w:val="205"/>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of Target PRSUs</w:t>
            </w:r>
          </w:p>
        </w:tc>
      </w:tr>
      <w:tr>
        <w:trPr>
          <w:trHeight w:val="231"/>
        </w:trPr>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Period #</w:t>
            </w: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Measurement Period</w:t>
            </w:r>
          </w:p>
        </w:tc>
        <w:tc>
          <w:tcPr>
            <w:tcW w:w="3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Assigned to Measurement Period</w:t>
            </w:r>
          </w:p>
        </w:tc>
      </w:tr>
      <w:tr>
        <w:trPr>
          <w:trHeight w:val="205"/>
        </w:trPr>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April 3, 2023 - April 3, 2024</w:t>
            </w:r>
          </w:p>
        </w:tc>
        <w:tc>
          <w:tcPr>
            <w:tcW w:w="16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05"/>
        </w:trPr>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80" w:type="dxa"/>
            <w:vAlign w:val="bottom"/>
          </w:tcPr>
          <w:p>
            <w:pPr>
              <w:spacing w:after="0"/>
              <w:rPr>
                <w:sz w:val="17"/>
                <w:szCs w:val="17"/>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April 3, 2024 - April 3, 2025</w:t>
            </w:r>
          </w:p>
        </w:tc>
        <w:tc>
          <w:tcPr>
            <w:tcW w:w="3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05"/>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8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9"/>
              </w:rPr>
              <w:t>April 3, 2025 - April 3, 2026</w:t>
            </w: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22"/>
        </w:trPr>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Pr>
          <w:p>
            <w:pPr>
              <w:spacing w:after="0"/>
              <w:rPr>
                <w:sz w:val="19"/>
                <w:szCs w:val="19"/>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April 3, 2023 - April 3, 2026</w:t>
            </w:r>
          </w:p>
        </w:tc>
        <w:tc>
          <w:tcPr>
            <w:tcW w:w="3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200% of the target PRSUs are eligible to vest. The number of target PRSUs that may be eligible to become vested based on relative TSR performance during each measurement period is interpolated between the applicable performance levels. No PRSUs will be earned for a specific measurement period if TSR is below threshold. Units credited based on TSR for any performance period are subject to continued service through the third anniversary of the grant.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table below shows the annual target value opportunities for our NEOs, as approved by the Compensation Committee, granted in 2023, which will be settled in shares.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Annual Target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Annual Target</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Value Granted as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Value Granted as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Performance-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Restricted Stock</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Total Annual</w:t>
            </w:r>
          </w:p>
        </w:tc>
      </w:t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Units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Target Value</w:t>
            </w:r>
          </w:p>
        </w:tc>
      </w:tr>
      <w:tr>
        <w:trPr>
          <w:trHeight w:val="231"/>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r>
      <w:tr>
        <w:trPr>
          <w:trHeight w:val="205"/>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2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O’Neil</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325,000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325,000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650,000</w:t>
            </w:r>
          </w:p>
        </w:tc>
      </w:tr>
      <w:tr>
        <w:trPr>
          <w:trHeight w:val="243"/>
        </w:trPr>
        <w:tc>
          <w:tcPr>
            <w:tcW w:w="43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Scott W. Anderson</w:t>
            </w:r>
            <w:r>
              <w:rPr>
                <w:rFonts w:ascii="Times New Roman" w:cs="Times New Roman" w:eastAsia="Times New Roman" w:hAnsi="Times New Roman"/>
                <w:sz w:val="28"/>
                <w:szCs w:val="28"/>
                <w:color w:val="auto"/>
                <w:vertAlign w:val="superscript"/>
              </w:rPr>
              <w:t>(1)</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300,000</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600,000</w:t>
            </w:r>
          </w:p>
        </w:tc>
      </w:tr>
      <w:tr>
        <w:trPr>
          <w:trHeight w:val="243"/>
        </w:trPr>
        <w:tc>
          <w:tcPr>
            <w:tcW w:w="43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Dennis Zeleny</w:t>
            </w:r>
            <w:r>
              <w:rPr>
                <w:rFonts w:ascii="Times New Roman" w:cs="Times New Roman" w:eastAsia="Times New Roman" w:hAnsi="Times New Roman"/>
                <w:sz w:val="28"/>
                <w:szCs w:val="28"/>
                <w:color w:val="auto"/>
                <w:vertAlign w:val="superscript"/>
              </w:rPr>
              <w:t>(1)</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300,000</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600,000</w:t>
            </w:r>
          </w:p>
        </w:tc>
      </w:tr>
      <w:tr>
        <w:trPr>
          <w:trHeight w:val="243"/>
        </w:trPr>
        <w:tc>
          <w:tcPr>
            <w:tcW w:w="43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George T. Henley</w:t>
            </w:r>
            <w:r>
              <w:rPr>
                <w:rFonts w:ascii="Times New Roman" w:cs="Times New Roman" w:eastAsia="Times New Roman" w:hAnsi="Times New Roman"/>
                <w:sz w:val="28"/>
                <w:szCs w:val="28"/>
                <w:color w:val="auto"/>
                <w:vertAlign w:val="superscript"/>
              </w:rPr>
              <w:t>(1)</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300,000</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300,000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600,000</w:t>
            </w:r>
          </w:p>
        </w:tc>
      </w:tr>
    </w:tbl>
    <w:p>
      <w:pPr>
        <w:spacing w:after="0" w:line="188" w:lineRule="exact"/>
        <w:rPr>
          <w:sz w:val="20"/>
          <w:szCs w:val="20"/>
          <w:color w:val="auto"/>
        </w:rPr>
      </w:pPr>
    </w:p>
    <w:p>
      <w:pPr>
        <w:ind w:left="620" w:hanging="310"/>
        <w:spacing w:after="0" w:line="198" w:lineRule="auto"/>
        <w:tabs>
          <w:tab w:leader="none" w:pos="62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Messrs. Anderson, Henley and Zeleny’s long-term equity targets were increased to 120% of salary (from 100% for Messrs. Anderson and Henley and from 80% for Mr. Zeleny) in recognition of significant contributions to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7"/>
          <w:szCs w:val="17"/>
          <w:color w:val="auto"/>
        </w:rPr>
        <w:t>To account for the volatility of the market at the time of grant and as approved by the Compensation Committee, target values set forth in the table above were converted into the target number of units granted based on the 30-trading-day average closing share price ending on the grant date rather than the closing share price on that date. Grants for all NEOs were made on April 3, 2023 using the 30-trading-day average closing share price of $28.52 rather than the $27.26 closing share price on that date, resulting in a 4% decrease in the number of units granted compared to the number of units that would have resulted using $27.26 as the denominator. However, when combined with the application of the Monte Carlo simulation to the performance-based restricted stock units, as discussed in footnote (2) to the Summary Compensation Table, accounting grant date fair values for the awards were 12.5% higher than the values reflected in the above table.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Performance Restricted Stock Awards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July 31, 2023, our NEOs received equity-based awards (Special PRSUs) to strengthen their commitment to the Company during a period in which the Company was able to navigate the most disruptive business cycle in over twenty years while recognizing their exceptional performance in servicing our customers and clients, stabilizing the originations platform, keeping our workforce engaged and productive and maintaining GAAP profitability. These awards include total shareholder return metric to reinforce the expectation to create shareholder value.</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Compensation Committee, with the input of its independent consultant, considered a range of variables in determining the structure of these awards, including the retentive and motivational effect of the award and market prevalence of these type of awards. After reviewing these factors, the Committee determined that it was in the best interests of the Company to further incentivize leadership team retention with performance-based stock unit awards vesting twelve months from the grant date based on continued employment and subject to certain conditions through the vesting date.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PRSUs will vest on the first anniversary of the grant based on TSR compared to the same performance peer group selected for the annual awards, outlined above. If the Company achieves relative TSR at the (i) 25th percentile of its peer group for any measurement period (threshold level), 50% of the target PRSUs are eligible to vest, (ii) 50th percentile of its peer group for any measurement period (target level), 100% of the target PRSUs are eligible to vest, and (iii) 100th percentile, or ranked first overall, of its peer group for any measurement period (maximum level), 150% of the target PRSUs are eligible to vest. The number of target PRSUs that may be eligible to vest based on relative TSR performance during the measurement period is interpolated between the applicable performance levels. 50% of target PRSUs will be earned if TSR is below threshold.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outlines the value of these awards to our NEOs, which will be settled in shares.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Target Value of</w:t>
            </w:r>
          </w:p>
        </w:tc>
        <w:tc>
          <w:tcPr>
            <w:tcW w:w="2800" w:type="dxa"/>
            <w:vAlign w:val="bottom"/>
          </w:tcPr>
          <w:p>
            <w:pPr>
              <w:spacing w:after="0"/>
              <w:rPr>
                <w:sz w:val="17"/>
                <w:szCs w:val="17"/>
                <w:color w:val="auto"/>
              </w:rPr>
            </w:pPr>
          </w:p>
        </w:tc>
      </w:tr>
      <w:tr>
        <w:trPr>
          <w:trHeight w:val="205"/>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Performance-Restricted</w:t>
            </w:r>
          </w:p>
        </w:tc>
        <w:tc>
          <w:tcPr>
            <w:tcW w:w="2800" w:type="dxa"/>
            <w:vAlign w:val="bottom"/>
          </w:tcPr>
          <w:p>
            <w:pPr>
              <w:spacing w:after="0"/>
              <w:rPr>
                <w:sz w:val="17"/>
                <w:szCs w:val="17"/>
                <w:color w:val="auto"/>
              </w:rPr>
            </w:pPr>
          </w:p>
        </w:tc>
      </w:tr>
      <w:tr>
        <w:trPr>
          <w:trHeight w:val="205"/>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2800" w:type="dxa"/>
            <w:vAlign w:val="bottom"/>
          </w:tcPr>
          <w:p>
            <w:pPr>
              <w:spacing w:after="0"/>
              <w:rPr>
                <w:sz w:val="17"/>
                <w:szCs w:val="17"/>
                <w:color w:val="auto"/>
              </w:rPr>
            </w:pPr>
          </w:p>
        </w:tc>
      </w:tr>
      <w:tr>
        <w:trPr>
          <w:trHeight w:val="231"/>
        </w:trPr>
        <w:tc>
          <w:tcPr>
            <w:tcW w:w="4820" w:type="dxa"/>
            <w:vAlign w:val="bottom"/>
            <w:gridSpan w:val="2"/>
          </w:tcPr>
          <w:p>
            <w:pPr>
              <w:ind w:left="28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620" w:type="dxa"/>
            <w:vAlign w:val="bottom"/>
            <w:gridSpan w:val="3"/>
          </w:tcPr>
          <w:p>
            <w:pPr>
              <w:jc w:val="center"/>
              <w:ind w:left="1135"/>
              <w:spacing w:after="0"/>
              <w:rPr>
                <w:sz w:val="20"/>
                <w:szCs w:val="20"/>
                <w:color w:val="auto"/>
              </w:rPr>
            </w:pPr>
            <w:r>
              <w:rPr>
                <w:rFonts w:ascii="Times New Roman" w:cs="Times New Roman" w:eastAsia="Times New Roman" w:hAnsi="Times New Roman"/>
                <w:sz w:val="17"/>
                <w:szCs w:val="17"/>
                <w:b w:val="1"/>
                <w:bCs w:val="1"/>
                <w:color w:val="auto"/>
              </w:rPr>
              <w:t>($)</w:t>
            </w:r>
          </w:p>
        </w:tc>
        <w:tc>
          <w:tcPr>
            <w:tcW w:w="2800" w:type="dxa"/>
            <w:vAlign w:val="bottom"/>
          </w:tcPr>
          <w:p>
            <w:pPr>
              <w:spacing w:after="0"/>
              <w:rPr>
                <w:sz w:val="20"/>
                <w:szCs w:val="20"/>
                <w:color w:val="auto"/>
              </w:rPr>
            </w:pPr>
          </w:p>
        </w:tc>
      </w:tr>
      <w:tr>
        <w:trPr>
          <w:trHeight w:val="205"/>
        </w:trPr>
        <w:tc>
          <w:tcPr>
            <w:tcW w:w="28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2800" w:type="dxa"/>
            <w:vAlign w:val="bottom"/>
          </w:tcPr>
          <w:p>
            <w:pPr>
              <w:spacing w:after="0"/>
              <w:rPr>
                <w:sz w:val="17"/>
                <w:szCs w:val="17"/>
                <w:color w:val="auto"/>
              </w:rPr>
            </w:pPr>
          </w:p>
        </w:tc>
      </w:tr>
      <w:tr>
        <w:trPr>
          <w:trHeight w:val="205"/>
        </w:trPr>
        <w:tc>
          <w:tcPr>
            <w:tcW w:w="28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Sean B. O’Neil</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302,000</w:t>
            </w:r>
          </w:p>
        </w:tc>
        <w:tc>
          <w:tcPr>
            <w:tcW w:w="2800" w:type="dxa"/>
            <w:vAlign w:val="bottom"/>
          </w:tcPr>
          <w:p>
            <w:pPr>
              <w:spacing w:after="0"/>
              <w:rPr>
                <w:sz w:val="17"/>
                <w:szCs w:val="17"/>
                <w:color w:val="auto"/>
              </w:rPr>
            </w:pPr>
          </w:p>
        </w:tc>
      </w:tr>
      <w:tr>
        <w:trPr>
          <w:trHeight w:val="205"/>
        </w:trPr>
        <w:tc>
          <w:tcPr>
            <w:tcW w:w="28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3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800" w:type="dxa"/>
            <w:vAlign w:val="bottom"/>
          </w:tcPr>
          <w:p>
            <w:pPr>
              <w:spacing w:after="0"/>
              <w:rPr>
                <w:sz w:val="17"/>
                <w:szCs w:val="17"/>
                <w:color w:val="auto"/>
              </w:rPr>
            </w:pPr>
          </w:p>
        </w:tc>
      </w:tr>
      <w:tr>
        <w:trPr>
          <w:trHeight w:val="205"/>
        </w:trPr>
        <w:tc>
          <w:tcPr>
            <w:tcW w:w="28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248,000</w:t>
            </w:r>
          </w:p>
        </w:tc>
        <w:tc>
          <w:tcPr>
            <w:tcW w:w="2800" w:type="dxa"/>
            <w:vAlign w:val="bottom"/>
          </w:tcPr>
          <w:p>
            <w:pPr>
              <w:spacing w:after="0"/>
              <w:rPr>
                <w:sz w:val="17"/>
                <w:szCs w:val="17"/>
                <w:color w:val="auto"/>
              </w:rPr>
            </w:pPr>
          </w:p>
        </w:tc>
      </w:tr>
      <w:tr>
        <w:trPr>
          <w:trHeight w:val="205"/>
        </w:trPr>
        <w:tc>
          <w:tcPr>
            <w:tcW w:w="28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T. Henley</w:t>
            </w:r>
          </w:p>
        </w:tc>
        <w:tc>
          <w:tcPr>
            <w:tcW w:w="3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800" w:type="dxa"/>
            <w:vAlign w:val="bottom"/>
          </w:tcPr>
          <w:p>
            <w:pPr>
              <w:spacing w:after="0"/>
              <w:rPr>
                <w:sz w:val="17"/>
                <w:szCs w:val="17"/>
                <w:color w:val="auto"/>
              </w:rPr>
            </w:pPr>
          </w:p>
        </w:tc>
      </w:tr>
      <w:tr>
        <w:trPr>
          <w:trHeight w:val="415"/>
        </w:trPr>
        <w:tc>
          <w:tcPr>
            <w:tcW w:w="28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Results of Long-Term Incentive Awards</w:t>
      </w:r>
    </w:p>
    <w:p>
      <w:pPr>
        <w:spacing w:after="0" w:line="2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Since the annual LTIP program was introduced March 29, 2019, half of all executives’ annual long-term equity targets have been granted as performance-based units based on TSR performance during applicable measurement periods to align with pay-for-performance objectives.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2020, we adopted a multi-period relative TSR performance measurement structure used through 2023, in which the final number of PRSUs that are eligible to vest is determined by Ocwen’s TSR rank relative to a performance peer group during each of four weighted performance periods – three annual periods and one three-year period – as described above. Each LTIP grant year uses a different performance peer group, and the performance periods are established based on the grant date and subsequent anniversaries. The Special PRSUs use only a one-year performance period. Following is an outline of performance for awards granted 2020-2023 as of March 31, 2024.</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1160" w:type="dxa"/>
            <w:vAlign w:val="bottom"/>
            <w:gridSpan w:val="2"/>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1</w:t>
            </w:r>
          </w:p>
        </w:tc>
        <w:tc>
          <w:tcPr>
            <w:tcW w:w="380" w:type="dxa"/>
            <w:vAlign w:val="bottom"/>
          </w:tcPr>
          <w:p>
            <w:pPr>
              <w:spacing w:after="0"/>
              <w:rPr>
                <w:sz w:val="17"/>
                <w:szCs w:val="17"/>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w:t>
            </w:r>
          </w:p>
        </w:tc>
        <w:tc>
          <w:tcPr>
            <w:tcW w:w="380" w:type="dxa"/>
            <w:vAlign w:val="bottom"/>
          </w:tcPr>
          <w:p>
            <w:pPr>
              <w:spacing w:after="0"/>
              <w:rPr>
                <w:sz w:val="17"/>
                <w:szCs w:val="17"/>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w:t>
            </w:r>
          </w:p>
        </w:tc>
        <w:tc>
          <w:tcPr>
            <w:tcW w:w="380" w:type="dxa"/>
            <w:vAlign w:val="bottom"/>
          </w:tcPr>
          <w:p>
            <w:pPr>
              <w:spacing w:after="0"/>
              <w:rPr>
                <w:sz w:val="17"/>
                <w:szCs w:val="17"/>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4</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Performance Period</w:t>
            </w:r>
          </w:p>
        </w:tc>
        <w:tc>
          <w:tcPr>
            <w:tcW w:w="2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(Year 1)</w:t>
            </w:r>
          </w:p>
        </w:tc>
        <w:tc>
          <w:tcPr>
            <w:tcW w:w="3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 2)</w:t>
            </w:r>
          </w:p>
        </w:tc>
        <w:tc>
          <w:tcPr>
            <w:tcW w:w="3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 3)</w:t>
            </w:r>
          </w:p>
        </w:tc>
        <w:tc>
          <w:tcPr>
            <w:tcW w:w="3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 1-3)</w:t>
            </w:r>
          </w:p>
        </w:tc>
        <w:tc>
          <w:tcPr>
            <w:tcW w:w="3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Weight</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15%</w:t>
            </w:r>
          </w:p>
        </w:tc>
        <w:tc>
          <w:tcPr>
            <w:tcW w:w="136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15%</w:t>
            </w:r>
          </w:p>
        </w:tc>
        <w:tc>
          <w:tcPr>
            <w:tcW w:w="1340" w:type="dxa"/>
            <w:vAlign w:val="bottom"/>
            <w:gridSpan w:val="2"/>
            <w:shd w:val="clear" w:color="auto" w:fill="CCEEFF"/>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15%</w:t>
            </w:r>
          </w:p>
        </w:tc>
        <w:tc>
          <w:tcPr>
            <w:tcW w:w="1360" w:type="dxa"/>
            <w:vAlign w:val="bottom"/>
            <w:gridSpan w:val="2"/>
            <w:shd w:val="clear" w:color="auto" w:fill="CCEEFF"/>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55%</w:t>
            </w:r>
          </w:p>
        </w:tc>
        <w:tc>
          <w:tcPr>
            <w:tcW w:w="1160" w:type="dxa"/>
            <w:vAlign w:val="bottom"/>
            <w:gridSpan w:val="2"/>
            <w:shd w:val="clear" w:color="auto" w:fill="CCEEFF"/>
          </w:tcPr>
          <w:p>
            <w:pPr>
              <w:jc w:val="right"/>
              <w:ind w:right="40"/>
              <w:spacing w:after="0" w:line="185"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3/30/2020 LTIP PRSU Performance(1)</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Relative TSR Percentile</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70.7%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97.6%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80.3%</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Achievement Level</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141.4%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195.2%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160.6%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Achievement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21.2%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8.1%</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29.3%</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88.3%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146.9%</w:t>
            </w:r>
          </w:p>
        </w:tc>
        <w:tc>
          <w:tcPr>
            <w:tcW w:w="0" w:type="dxa"/>
            <w:vAlign w:val="bottom"/>
          </w:tcPr>
          <w:p>
            <w:pPr>
              <w:spacing w:after="0"/>
              <w:rPr>
                <w:sz w:val="1"/>
                <w:szCs w:val="1"/>
                <w:color w:val="auto"/>
              </w:rPr>
            </w:pPr>
          </w:p>
        </w:tc>
      </w:tr>
      <w:tr>
        <w:trPr>
          <w:trHeight w:val="188"/>
        </w:trPr>
        <w:tc>
          <w:tcPr>
            <w:tcW w:w="336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3/2/2021 LTIP PRSU Performance(2)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Relative TSR Percentile</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87.6%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57.1%</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Achievement Level</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175.2%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133.2%</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114.2%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Achievement</w:t>
            </w: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26.3%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20.0%</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62.8%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109.1%</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3/31/2022 LTIP PRSU Performance(3)</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i w:val="1"/>
                <w:iCs w:val="1"/>
                <w:color w:val="auto"/>
              </w:rPr>
              <w:t>50.0%</w:t>
            </w: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33.8%</w:t>
            </w: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Relative TSR Percentile</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90.9%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w:t>
            </w:r>
          </w:p>
        </w:tc>
        <w:tc>
          <w:tcPr>
            <w:tcW w:w="1340" w:type="dxa"/>
            <w:vAlign w:val="bottom"/>
            <w:gridSpan w:val="2"/>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Achievement Level</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181.8%</w:t>
            </w:r>
          </w:p>
        </w:tc>
        <w:tc>
          <w:tcPr>
            <w:tcW w:w="13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i w:val="1"/>
                <w:iCs w:val="1"/>
                <w:color w:val="auto"/>
              </w:rPr>
              <w:t>100.0%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67.6%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 Achievement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27.3%</w:t>
            </w:r>
          </w:p>
        </w:tc>
        <w:tc>
          <w:tcPr>
            <w:tcW w:w="13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i w:val="1"/>
                <w:iCs w:val="1"/>
                <w:color w:val="auto"/>
              </w:rPr>
              <w:t>15.0%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i w:val="1"/>
                <w:iCs w:val="1"/>
                <w:color w:val="auto"/>
              </w:rPr>
              <w:t>37.2%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i w:val="1"/>
                <w:iCs w:val="1"/>
                <w:color w:val="auto"/>
              </w:rPr>
              <w:t>79.5%</w:t>
            </w:r>
          </w:p>
        </w:tc>
        <w:tc>
          <w:tcPr>
            <w:tcW w:w="0" w:type="dxa"/>
            <w:vAlign w:val="bottom"/>
          </w:tcPr>
          <w:p>
            <w:pPr>
              <w:spacing w:after="0"/>
              <w:rPr>
                <w:sz w:val="1"/>
                <w:szCs w:val="1"/>
                <w:color w:val="auto"/>
              </w:rPr>
            </w:pPr>
          </w:p>
        </w:tc>
      </w:tr>
      <w:tr>
        <w:trPr>
          <w:trHeight w:val="188"/>
        </w:trPr>
        <w:tc>
          <w:tcPr>
            <w:tcW w:w="336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4/3/2023 LTIP PRSU Performance(4)</w:t>
            </w:r>
          </w:p>
        </w:tc>
        <w:tc>
          <w:tcPr>
            <w:tcW w:w="15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6.2%</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50.0%</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i w:val="1"/>
                <w:iCs w:val="1"/>
                <w:color w:val="auto"/>
              </w:rPr>
              <w:t>50.0%</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6.2%</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Relative TSR Percentile</w:t>
            </w:r>
          </w:p>
        </w:tc>
        <w:tc>
          <w:tcPr>
            <w:tcW w:w="1540" w:type="dxa"/>
            <w:vAlign w:val="bottom"/>
            <w:gridSpan w:val="3"/>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Achievement Level</w:t>
            </w:r>
          </w:p>
        </w:tc>
        <w:tc>
          <w:tcPr>
            <w:tcW w:w="2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i w:val="1"/>
                <w:iCs w:val="1"/>
                <w:color w:val="auto"/>
              </w:rPr>
              <w:t>100.0%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i w:val="1"/>
                <w:iCs w:val="1"/>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Achievement</w:t>
            </w:r>
          </w:p>
        </w:tc>
        <w:tc>
          <w:tcPr>
            <w:tcW w:w="2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i w:val="1"/>
                <w:iCs w:val="1"/>
                <w:color w:val="auto"/>
              </w:rPr>
              <w:t>15.0%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i w:val="1"/>
                <w:iCs w:val="1"/>
                <w:color w:val="auto"/>
              </w:rPr>
              <w:t>15.0%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i w:val="1"/>
                <w:iCs w:val="1"/>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i w:val="1"/>
                <w:iCs w:val="1"/>
                <w:color w:val="auto"/>
              </w:rPr>
              <w:t>30.0%</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7/31/2023 Special PRSU Performance(5)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i w:val="1"/>
                <w:iCs w:val="1"/>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Relative TSR Percentile</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Achievement Level</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i w:val="1"/>
                <w:iCs w:val="1"/>
                <w:color w:val="auto"/>
              </w:rPr>
              <w:t>50%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40" w:hanging="316"/>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2020: Final results as of March 30, 2023.</w:t>
      </w:r>
    </w:p>
    <w:p>
      <w:pPr>
        <w:spacing w:after="0" w:line="214" w:lineRule="exact"/>
        <w:rPr>
          <w:rFonts w:ascii="Times New Roman" w:cs="Times New Roman" w:eastAsia="Times New Roman" w:hAnsi="Times New Roman"/>
          <w:sz w:val="17"/>
          <w:szCs w:val="17"/>
          <w:color w:val="auto"/>
        </w:rPr>
      </w:pPr>
    </w:p>
    <w:p>
      <w:pPr>
        <w:ind w:left="1240" w:hanging="316"/>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Final results as of March 2, 2024.</w:t>
      </w:r>
    </w:p>
    <w:p>
      <w:pPr>
        <w:spacing w:after="0" w:line="26" w:lineRule="exact"/>
        <w:rPr>
          <w:rFonts w:ascii="Times New Roman" w:cs="Times New Roman" w:eastAsia="Times New Roman" w:hAnsi="Times New Roman"/>
          <w:sz w:val="17"/>
          <w:szCs w:val="17"/>
          <w:color w:val="auto"/>
        </w:rPr>
      </w:pPr>
    </w:p>
    <w:p>
      <w:pPr>
        <w:ind w:left="1240" w:hanging="316"/>
        <w:spacing w:after="0" w:line="263"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Results for Periods 1 and 2 are final. For illustrative purposes only, Period 3 is shown at target (50th percentile) and Period 4 reflects interim results.</w:t>
      </w:r>
    </w:p>
    <w:p>
      <w:pPr>
        <w:spacing w:after="0" w:line="169" w:lineRule="exact"/>
        <w:rPr>
          <w:rFonts w:ascii="Times New Roman" w:cs="Times New Roman" w:eastAsia="Times New Roman" w:hAnsi="Times New Roman"/>
          <w:sz w:val="17"/>
          <w:szCs w:val="17"/>
          <w:color w:val="auto"/>
        </w:rPr>
      </w:pPr>
    </w:p>
    <w:p>
      <w:pPr>
        <w:ind w:left="1240" w:hanging="316"/>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For illustrative purposes only, Results for Periods 1 and 4 reflect interim results and Periods 2 and 3 are shown at target (50th percentile).</w:t>
      </w:r>
    </w:p>
    <w:p>
      <w:pPr>
        <w:spacing w:after="0" w:line="214" w:lineRule="exact"/>
        <w:rPr>
          <w:rFonts w:ascii="Times New Roman" w:cs="Times New Roman" w:eastAsia="Times New Roman" w:hAnsi="Times New Roman"/>
          <w:sz w:val="17"/>
          <w:szCs w:val="17"/>
          <w:color w:val="auto"/>
        </w:rPr>
      </w:pPr>
    </w:p>
    <w:p>
      <w:pPr>
        <w:ind w:left="1240" w:hanging="316"/>
        <w:spacing w:after="0"/>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Special: Results for one-year performance period are interim.</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Compensation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policy with respect to employee benefit plans generally is to provide benefits to our employees, including our executive officers, which are comparable to benefits offered by companies of a similar size. We believe that a competitive comprehensive benefit program is essential to achieving the goal of attracting and retaining highly-qualified employees. Our NEOs participate in the benefit plans offered to our salaried employees, generally, including medical, dental, life and disability insurance plans, and a 401(k) plan.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2022, we introduced the Ocwen Executive Non-Qualified Deferred Compensation Plan (NQDC), a voluntary program that allows executives to defer portions of earned salary or AIP to be settled at a future date. The Company does not offer any additional contributions, matching or otherwise, to participating executives; however, they will be credited with earnings or losses on their deferred income at the elected time of distribution based on their elected “deemed” investment options.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Ownership and Prohibition against Short Sales, Hedging and Margin Accounts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Although we do not have stock ownership requirements for our executives (other than Mr. Messina, who is subject as director to our Corporate Governance Guidelines regarding stock ownership and retention),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 Additionally, effective with equity granted to executives on or after March 31, 2022, shares acquired on vesting pursuant to those awards will be subject to a one-year holding period.</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an Insider Trading Prevention Policy that governs the timing of transactions in securities of the Company by directors and executives. In addition, this policy prohibits any director, officer or employee from engaging in any short sale of the Company’s stock, establishing and using a margin account with a broker-dealer for the purpose of buying or selling Company stock, pledging Company securities as collateral for a loan, buying or selling puts or calls on the Company’s stock and engaging in any other transaction that hedges the economic risk associated with the ownership of the Company’s securities. This policy is designed to encourage investment in the Company’s stock for the long term and to discourage active trading or short-term speculation.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Clawback Policy</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adopted an incentive compensation clawback policy on November 10, 2023 that complies with the new SEC rules under the Dodd-Frank Wall Street Reform and Consumer Protection Act and related stock exchange listing rules. The Company’s rights to recoupment under the clawback policy are in addition to any other rights of recoupment under the terms of any equity incentive plan or individual award.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Restrictive Covenants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All of our NEOs have executed an intellectual property and non-disclosure agreement. This agreement requires the NEO to hold all “confidential information” in trust for us and prohibits the NEO from using or disclosing such confidential information except as necessary in the regular course of our business or as otherwise required by law. In connection with the special cash awards granted in 2020, all of our NEOs (other than Mr. Messina and Mr. O’Neil, who were not provided such an award) agreed to (i) certain non-compete covenants during their term of employment and (ii) certain covenants relating to the non-solicitation of employees and non-interference with business relationships until September 10, 2023 (whether or not employed by the Company during such period). From time to time, we enter into separation agreements with executive officers that contain non-competition and non-solicitation provisions. In addition, certain of our equity award agreements contain provisions that provide that post-retirement vesting or exercise of the award, as applicable, is dependent on compliance with certain covenants.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Tax Considerations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Section 162(m) of the Internal Revenue Code generally disallows public companies a tax deduction for compensation in excess of $1,000,000 paid to its “covered employees.” Prior to federal tax reform enacted in December 2017, Section 162(m) included an exception to this limitation on deductibility for qualifying “performance-based compensation,” provided that certain performance and other requirements are met. Under the 2017 tax legislation, for taxable years beginning after December 31, 2017, there is no longer an exception to the deductibility limit for qualifying “performance-based compensation” unless the compensation qualifies for transition relief applicable to certain arrangements in place as of November 2, 2017. Also under the 2017 legislation, the definition of “covered employees” has been expanded to include a company’s chief financial officer (in addition to the chief executive officer and three other most highly paid executive officers), plus any individual who has been a “covered employee” in any taxable year beginning after December 31, 2016.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paid by the Company will be fully deductible.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CEO Pay-Ratio Disclosure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Pursuant to the Securities Exchange Act of 1934, as amended, we are required to disclose in this proxy statement the ratio of the total annual compensation of our CEO to the median of the total annual compensation of all of our employees (excluding our CEO). Based on Securities and Exchange Commission rules for this disclosure and applying the methodology described below, we have determined that Mr. Messina’s total compensation for 2023 was $8,153,781 and the median of the total 2023 compensation of all of our employees (including our India and Philippines operations and excluding our CEO) was $35,528 (after applying a cost-of-living adjustment and converting foreign currency to U.S. dollars, as described below). Accordingly, we estimate the cost-of-living-adjusted ratio of our CEO’s total compensation for 2023 to the median of the total 2023 compensation of all of our employees (excluding our CEO) to be 230 to 1.</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If we only considered our U.S.-based employees (excluding our CEO) in identifying the median employee using the methodology otherwise described above, we determined that our median U.S.-based employee’s total compensation was $76,156. Accordingly, we estimate the resulting ratio of our CEO’s total compensation to the median of the total compensation of all our U.S.-based employees (excluding our CEO) to be 107 to 1.</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identified the median employee by taking into account the total compensation paid during 2023 to all individuals, excluding our CEO, who were employed by us or one of our subsidiaries on December 31, 2023. We included all employees, whether employed on a full-time, part-time, or seasonal basis. We did not annualize the compensation for any employees who were not employed by us for all of 2023. We applied a cost of living adjustment to employees employed outside of the United States as described below. Once the median employee was identified as described above, that employee’s total compensation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 (in the case of the median employee’s compensation, as adjusted for cost-of-living and currency conversion as described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62" w:name="page63"/>
    <w:bookmarkEnd w:id="62"/>
    <w:p>
      <w:pPr>
        <w:jc w:val="both"/>
        <w:spacing w:after="0" w:line="262" w:lineRule="auto"/>
        <w:rPr>
          <w:sz w:val="20"/>
          <w:szCs w:val="20"/>
          <w:color w:val="auto"/>
        </w:rPr>
      </w:pPr>
      <w:r>
        <w:rPr>
          <w:rFonts w:ascii="Times New Roman" w:cs="Times New Roman" w:eastAsia="Times New Roman" w:hAnsi="Times New Roman"/>
          <w:sz w:val="17"/>
          <w:szCs w:val="17"/>
          <w:color w:val="auto"/>
        </w:rPr>
        <w:t>In calculating the compensation of our employees in the Philippines, we applied a currency conversion factor based on the U.S. dollar to Philippines Peso exchange rate as of December 31, 2023. In calculating the compensation of our employees in India, we applied a currency conversion factor based on the U.S. dollar to Indian</w:t>
      </w:r>
    </w:p>
    <w:p>
      <w:pPr>
        <w:jc w:val="both"/>
        <w:spacing w:after="0" w:line="207" w:lineRule="auto"/>
        <w:rPr>
          <w:sz w:val="20"/>
          <w:szCs w:val="20"/>
          <w:color w:val="auto"/>
        </w:rPr>
      </w:pPr>
      <w:r>
        <w:rPr>
          <w:rFonts w:ascii="Times New Roman" w:cs="Times New Roman" w:eastAsia="Times New Roman" w:hAnsi="Times New Roman"/>
          <w:sz w:val="17"/>
          <w:szCs w:val="17"/>
          <w:color w:val="auto"/>
        </w:rPr>
        <w:t xml:space="preserve">Rupee exchange rate as of December 31, 2023.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As permitted under SEC rules, in identifying the median employee and in presenting the median employee’s total 2023 compensation above, we applied a cost-of-living adjustment to the compensation of employees outside the United States based on a purchasing power parity</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conversion factor published by The World Bank for 2022.</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Using this methodology, we determined that our median employee is employed in India. If we had determined the median employee and total compensation as described above but had not applied a cost-of-living adjustment to identify our median employee or calculate our median employee’s total compensation, the median of the total compensation of all of our employees (excluding our CEO) would have been $10,987 and we estimate the resulting ratio of our CEO’s total compensation to the median of the total compensation of all of our employees (excluding our CEO) would have been 742 to 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Compensation Committee of the Board of Directors has reviewed and discussed the Compensation Discussion and Analysis of this proxy statement with management.</w:t>
      </w:r>
    </w:p>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Based on the review and discussion, the Compensation Committee recommended to the Board of Directors that the Compensation Discussion and Analysis be included in this proxy statement.</w:t>
      </w:r>
    </w:p>
    <w:p>
      <w:pPr>
        <w:sectPr>
          <w:pgSz w:w="11900" w:h="16838" w:orient="portrait"/>
          <w:cols w:equalWidth="0" w:num="1">
            <w:col w:w="11240"/>
          </w:cols>
          <w:pgMar w:left="320" w:top="661" w:right="339" w:bottom="1440" w:gutter="0" w:footer="0" w:header="0"/>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536575</wp:posOffset>
            </wp:positionV>
            <wp:extent cx="285432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432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Jacques J. Busquet,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DeForest B. Soaries, Jr., Director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Stein, Director</w:t>
      </w:r>
    </w:p>
    <w:p>
      <w:pPr>
        <w:spacing w:after="0" w:line="200" w:lineRule="exact"/>
        <w:rPr>
          <w:sz w:val="20"/>
          <w:szCs w:val="20"/>
          <w:color w:val="auto"/>
        </w:rPr>
      </w:pPr>
    </w:p>
    <w:p>
      <w:pPr>
        <w:sectPr>
          <w:pgSz w:w="11900" w:h="16838" w:orient="portrait"/>
          <w:cols w:equalWidth="0" w:num="2">
            <w:col w:w="5020" w:space="720"/>
            <w:col w:w="5500"/>
          </w:cols>
          <w:pgMar w:left="320" w:top="661" w:right="339" w:bottom="1440" w:gutter="0" w:footer="0" w:header="0"/>
          <w:type w:val="continuous"/>
        </w:sectPr>
      </w:pPr>
    </w:p>
    <w:p>
      <w:pPr>
        <w:spacing w:after="0" w:line="74" w:lineRule="exact"/>
        <w:rPr>
          <w:sz w:val="20"/>
          <w:szCs w:val="20"/>
          <w:color w:val="auto"/>
        </w:rPr>
      </w:pPr>
    </w:p>
    <w:p>
      <w:pPr>
        <w:ind w:firstLine="2"/>
        <w:spacing w:after="0" w:line="198" w:lineRule="auto"/>
        <w:tabs>
          <w:tab w:leader="none" w:pos="119" w:val="left"/>
        </w:tabs>
        <w:numPr>
          <w:ilvl w:val="0"/>
          <w:numId w:val="6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As reported by the U.S. Bureau of the Fiscal Service Treasury Reporting Rates of Exchange as of December 31, 2023, the Indian Rupee to U.S. Dollar to conversion rate was 83.162:1 and the Philippines Peso to U.S. Dollar to conversion rate was 55.451:1.</w:t>
      </w:r>
    </w:p>
    <w:p>
      <w:pPr>
        <w:spacing w:after="0" w:line="226" w:lineRule="exact"/>
        <w:rPr>
          <w:sz w:val="20"/>
          <w:szCs w:val="20"/>
          <w:color w:val="auto"/>
        </w:rPr>
      </w:pPr>
    </w:p>
    <w:p>
      <w:pPr>
        <w:jc w:val="both"/>
        <w:ind w:firstLine="2"/>
        <w:spacing w:after="0" w:line="226" w:lineRule="auto"/>
        <w:tabs>
          <w:tab w:leader="none" w:pos="118" w:val="left"/>
        </w:tabs>
        <w:numPr>
          <w:ilvl w:val="0"/>
          <w:numId w:val="6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“price level ratio of PPP conversion factor (GDP) to market exchange rate” published by the World Bank indicates how many U.S. dollars are needed to buy one U.S. dollar’s worth of goods in a particular country. For 2022, the most recent data accessible, the ratios reported for India and the Philippines were both 0.3, meaning the local currency equivalent of $1 purchased $3.33 worth of goods in those countries. Accordingly, we multiplied the 2023 compensation of each employee based in India and in the Philippines by 3.33 prior to identifying the employee with the median of the total compensation and in presenting such employee’s total compensation in order to reflect a cost-of-living adjustment.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Summary Compensation Table - 2021, 2022 and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concerning the compensation of our named executive officers for the 2023, 2022 and 2021 fiscal years.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Incentive Plan</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0"/>
        </w:trPr>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920" w:type="dxa"/>
            <w:vAlign w:val="bottom"/>
            <w:gridSpan w:val="2"/>
          </w:tcPr>
          <w:p>
            <w:pPr>
              <w:ind w:left="20"/>
              <w:spacing w:after="0" w:line="240" w:lineRule="exact"/>
              <w:rPr>
                <w:sz w:val="20"/>
                <w:szCs w:val="20"/>
                <w:color w:val="auto"/>
              </w:rPr>
            </w:pPr>
            <w:r>
              <w:rPr>
                <w:rFonts w:ascii="Times New Roman" w:cs="Times New Roman" w:eastAsia="Times New Roman" w:hAnsi="Times New Roman"/>
                <w:sz w:val="17"/>
                <w:szCs w:val="17"/>
                <w:b w:val="1"/>
                <w:bCs w:val="1"/>
                <w:color w:val="auto"/>
              </w:rPr>
              <w:t>Bonus</w:t>
            </w:r>
            <w:r>
              <w:rPr>
                <w:rFonts w:ascii="Times New Roman" w:cs="Times New Roman" w:eastAsia="Times New Roman" w:hAnsi="Times New Roman"/>
                <w:sz w:val="27"/>
                <w:szCs w:val="27"/>
                <w:b w:val="1"/>
                <w:bCs w:val="1"/>
                <w:color w:val="auto"/>
                <w:vertAlign w:val="superscript"/>
              </w:rPr>
              <w:t>(1)</w:t>
            </w:r>
          </w:p>
        </w:tc>
        <w:tc>
          <w:tcPr>
            <w:tcW w:w="1040" w:type="dxa"/>
            <w:vAlign w:val="bottom"/>
            <w:gridSpan w:val="2"/>
          </w:tcPr>
          <w:p>
            <w:pPr>
              <w:jc w:val="center"/>
              <w:ind w:right="280"/>
              <w:spacing w:after="0" w:line="240" w:lineRule="exact"/>
              <w:rPr>
                <w:sz w:val="20"/>
                <w:szCs w:val="20"/>
                <w:color w:val="auto"/>
              </w:rPr>
            </w:pPr>
            <w:r>
              <w:rPr>
                <w:rFonts w:ascii="Times New Roman" w:cs="Times New Roman" w:eastAsia="Times New Roman" w:hAnsi="Times New Roman"/>
                <w:sz w:val="17"/>
                <w:szCs w:val="17"/>
                <w:b w:val="1"/>
                <w:bCs w:val="1"/>
                <w:color w:val="auto"/>
                <w:w w:val="92"/>
              </w:rPr>
              <w:t>Awards</w:t>
            </w:r>
            <w:r>
              <w:rPr>
                <w:rFonts w:ascii="Times New Roman" w:cs="Times New Roman" w:eastAsia="Times New Roman" w:hAnsi="Times New Roman"/>
                <w:sz w:val="27"/>
                <w:szCs w:val="27"/>
                <w:b w:val="1"/>
                <w:bCs w:val="1"/>
                <w:color w:val="auto"/>
                <w:w w:val="92"/>
                <w:vertAlign w:val="superscript"/>
              </w:rPr>
              <w:t>(2)</w:t>
            </w:r>
          </w:p>
        </w:tc>
        <w:tc>
          <w:tcPr>
            <w:tcW w:w="960" w:type="dxa"/>
            <w:vAlign w:val="bottom"/>
            <w:gridSpan w:val="2"/>
          </w:tcPr>
          <w:p>
            <w:pPr>
              <w:jc w:val="right"/>
              <w:ind w:right="240"/>
              <w:spacing w:after="0" w:line="240" w:lineRule="exact"/>
              <w:rPr>
                <w:sz w:val="20"/>
                <w:szCs w:val="20"/>
                <w:color w:val="auto"/>
              </w:rPr>
            </w:pPr>
            <w:r>
              <w:rPr>
                <w:rFonts w:ascii="Times New Roman" w:cs="Times New Roman" w:eastAsia="Times New Roman" w:hAnsi="Times New Roman"/>
                <w:sz w:val="17"/>
                <w:szCs w:val="17"/>
                <w:b w:val="1"/>
                <w:bCs w:val="1"/>
                <w:color w:val="auto"/>
                <w:w w:val="90"/>
              </w:rPr>
              <w:t>Awards</w:t>
            </w:r>
            <w:r>
              <w:rPr>
                <w:rFonts w:ascii="Times New Roman" w:cs="Times New Roman" w:eastAsia="Times New Roman" w:hAnsi="Times New Roman"/>
                <w:sz w:val="27"/>
                <w:szCs w:val="27"/>
                <w:b w:val="1"/>
                <w:bCs w:val="1"/>
                <w:color w:val="auto"/>
                <w:w w:val="90"/>
                <w:vertAlign w:val="superscript"/>
              </w:rPr>
              <w:t>(2)</w:t>
            </w:r>
          </w:p>
        </w:tc>
        <w:tc>
          <w:tcPr>
            <w:tcW w:w="1480" w:type="dxa"/>
            <w:vAlign w:val="bottom"/>
            <w:gridSpan w:val="2"/>
          </w:tcPr>
          <w:p>
            <w:pPr>
              <w:jc w:val="center"/>
              <w:ind w:right="260"/>
              <w:spacing w:after="0" w:line="240" w:lineRule="exact"/>
              <w:rPr>
                <w:sz w:val="20"/>
                <w:szCs w:val="20"/>
                <w:color w:val="auto"/>
              </w:rPr>
            </w:pPr>
            <w:r>
              <w:rPr>
                <w:rFonts w:ascii="Times New Roman" w:cs="Times New Roman" w:eastAsia="Times New Roman" w:hAnsi="Times New Roman"/>
                <w:sz w:val="17"/>
                <w:szCs w:val="17"/>
                <w:b w:val="1"/>
                <w:bCs w:val="1"/>
                <w:color w:val="auto"/>
                <w:w w:val="96"/>
              </w:rPr>
              <w:t>Compensation</w:t>
            </w:r>
            <w:r>
              <w:rPr>
                <w:rFonts w:ascii="Times New Roman" w:cs="Times New Roman" w:eastAsia="Times New Roman" w:hAnsi="Times New Roman"/>
                <w:sz w:val="27"/>
                <w:szCs w:val="27"/>
                <w:b w:val="1"/>
                <w:bCs w:val="1"/>
                <w:color w:val="auto"/>
                <w:w w:val="96"/>
                <w:vertAlign w:val="superscript"/>
              </w:rPr>
              <w:t>(3)</w:t>
            </w:r>
          </w:p>
        </w:tc>
        <w:tc>
          <w:tcPr>
            <w:tcW w:w="1500" w:type="dxa"/>
            <w:vAlign w:val="bottom"/>
            <w:gridSpan w:val="2"/>
          </w:tcPr>
          <w:p>
            <w:pPr>
              <w:jc w:val="center"/>
              <w:ind w:right="240"/>
              <w:spacing w:after="0" w:line="240" w:lineRule="exact"/>
              <w:rPr>
                <w:sz w:val="20"/>
                <w:szCs w:val="20"/>
                <w:color w:val="auto"/>
              </w:rPr>
            </w:pPr>
            <w:r>
              <w:rPr>
                <w:rFonts w:ascii="Times New Roman" w:cs="Times New Roman" w:eastAsia="Times New Roman" w:hAnsi="Times New Roman"/>
                <w:sz w:val="17"/>
                <w:szCs w:val="17"/>
                <w:b w:val="1"/>
                <w:bCs w:val="1"/>
                <w:color w:val="auto"/>
                <w:w w:val="96"/>
              </w:rPr>
              <w:t>Compensation</w:t>
            </w:r>
            <w:r>
              <w:rPr>
                <w:rFonts w:ascii="Times New Roman" w:cs="Times New Roman" w:eastAsia="Times New Roman" w:hAnsi="Times New Roman"/>
                <w:sz w:val="27"/>
                <w:szCs w:val="27"/>
                <w:b w:val="1"/>
                <w:bCs w:val="1"/>
                <w:color w:val="auto"/>
                <w:w w:val="96"/>
                <w:vertAlign w:val="superscript"/>
              </w:rPr>
              <w:t>(4)</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1"/>
        </w:trPr>
        <w:tc>
          <w:tcPr>
            <w:tcW w:w="24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6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Total ($)</w:t>
            </w:r>
          </w:p>
        </w:tc>
      </w:tr>
      <w:tr>
        <w:trPr>
          <w:trHeight w:val="184"/>
        </w:trPr>
        <w:tc>
          <w:tcPr>
            <w:tcW w:w="24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Glen A. Messina President and</w:t>
            </w: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2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Chief Executive Officer</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5,563,820</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1,580,061</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9,900</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8,153,781</w:t>
            </w:r>
          </w:p>
        </w:tc>
      </w:tr>
      <w:tr>
        <w:trPr>
          <w:trHeight w:val="218"/>
        </w:trPr>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972,308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4,233,065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815,196</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9,150</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6,029,718</w:t>
            </w:r>
          </w:p>
        </w:tc>
      </w:tr>
      <w:tr>
        <w:trPr>
          <w:trHeight w:val="218"/>
        </w:trPr>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3,914,160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1,804,793</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8,700</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6,627,653</w:t>
            </w:r>
          </w:p>
        </w:tc>
      </w:tr>
      <w:tr>
        <w:trPr>
          <w:trHeight w:val="184"/>
        </w:trPr>
        <w:tc>
          <w:tcPr>
            <w:tcW w:w="244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Sean B. O’Neil Executive Vice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2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President and Chief Financial</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244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28"/>
                <w:szCs w:val="28"/>
                <w:b w:val="1"/>
                <w:bCs w:val="1"/>
                <w:color w:val="auto"/>
                <w:vertAlign w:val="superscript"/>
              </w:rPr>
              <w:t>(1)</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550,000</w:t>
            </w:r>
          </w:p>
        </w:tc>
        <w:tc>
          <w:tcPr>
            <w:tcW w:w="26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250,000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1,088,238</w:t>
            </w:r>
          </w:p>
        </w:tc>
        <w:tc>
          <w:tcPr>
            <w:tcW w:w="26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569,388</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2,457,626</w:t>
            </w:r>
          </w:p>
        </w:tc>
      </w:tr>
      <w:tr>
        <w:trPr>
          <w:trHeight w:val="221"/>
        </w:trPr>
        <w:tc>
          <w:tcPr>
            <w:tcW w:w="244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285,577</w:t>
            </w: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125,000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2,010,228</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278,586</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2,699,391</w:t>
            </w:r>
          </w:p>
        </w:tc>
      </w:tr>
      <w:tr>
        <w:trPr>
          <w:trHeight w:val="184"/>
        </w:trPr>
        <w:tc>
          <w:tcPr>
            <w:tcW w:w="24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Scott W. Anderson Executive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Vice President and Chief</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Servicing Officer</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1,053,239</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574,750</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9,900</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2,137,889</w:t>
            </w:r>
          </w:p>
        </w:tc>
      </w:tr>
      <w:tr>
        <w:trPr>
          <w:trHeight w:val="218"/>
        </w:trPr>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350,000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529,126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294,800</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9,150</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1,683,076</w:t>
            </w:r>
          </w:p>
        </w:tc>
      </w:tr>
      <w:tr>
        <w:trPr>
          <w:trHeight w:val="218"/>
        </w:trPr>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465,974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631,651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1,599,355</w:t>
            </w:r>
          </w:p>
        </w:tc>
      </w:tr>
      <w:tr>
        <w:trPr>
          <w:trHeight w:val="188"/>
        </w:trPr>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Dennis Zeleny</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w w:val="99"/>
              </w:rPr>
              <w:t>Executive Vice President and Chief</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Administrative Officer</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1,053,239</w:t>
            </w: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563,750</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9,900</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2,103,239</w:t>
            </w:r>
          </w:p>
        </w:tc>
      </w:tr>
      <w:tr>
        <w:trPr>
          <w:trHeight w:val="218"/>
        </w:trPr>
        <w:tc>
          <w:tcPr>
            <w:tcW w:w="24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493,077</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259,000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423,288</w:t>
            </w: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291,246</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9,150</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1,475,762</w:t>
            </w:r>
          </w:p>
        </w:tc>
      </w:tr>
      <w:tr>
        <w:trPr>
          <w:trHeight w:val="221"/>
        </w:trPr>
        <w:tc>
          <w:tcPr>
            <w:tcW w:w="244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2021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470,096</w:t>
            </w: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472,159</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661,296</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8,700</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1,612,251</w:t>
            </w:r>
          </w:p>
        </w:tc>
      </w:tr>
      <w:tr>
        <w:trPr>
          <w:trHeight w:val="227"/>
        </w:trPr>
        <w:tc>
          <w:tcPr>
            <w:tcW w:w="244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George T. Henley</w:t>
            </w:r>
            <w:r>
              <w:rPr>
                <w:rFonts w:ascii="Times New Roman" w:cs="Times New Roman" w:eastAsia="Times New Roman" w:hAnsi="Times New Roman"/>
                <w:sz w:val="26"/>
                <w:szCs w:val="26"/>
                <w:b w:val="1"/>
                <w:bCs w:val="1"/>
                <w:color w:val="auto"/>
                <w:vertAlign w:val="superscript"/>
              </w:rPr>
              <w:t>(5)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Former Executive Vice President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Chief Growth Officer</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968,127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425,000</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790,401</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2,683,528</w:t>
            </w:r>
          </w:p>
        </w:tc>
      </w:tr>
      <w:tr>
        <w:trPr>
          <w:trHeight w:val="218"/>
        </w:trPr>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529,126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228,638</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9,150</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1,266,913</w:t>
            </w:r>
          </w:p>
        </w:tc>
      </w:tr>
      <w:tr>
        <w:trPr>
          <w:trHeight w:val="218"/>
        </w:trPr>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423,077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150,000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621,285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548,864</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1,743,226</w:t>
            </w:r>
          </w:p>
        </w:tc>
      </w:tr>
    </w:tbl>
    <w:p>
      <w:pPr>
        <w:spacing w:after="0" w:line="188" w:lineRule="exact"/>
        <w:rPr>
          <w:sz w:val="20"/>
          <w:szCs w:val="20"/>
          <w:color w:val="auto"/>
        </w:rPr>
      </w:pPr>
    </w:p>
    <w:p>
      <w:pPr>
        <w:ind w:left="300" w:hanging="298"/>
        <w:spacing w:after="0" w:line="198" w:lineRule="auto"/>
        <w:tabs>
          <w:tab w:leader="none" w:pos="300" w:val="left"/>
        </w:tabs>
        <w:numPr>
          <w:ilvl w:val="0"/>
          <w:numId w:val="6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O’Neil assumed the role of Executive Vice President and Chief Financial Officer on June 13, 2022. In 2023, he received the second installment of his signing bonus, which is reported in the “Bonus” column.</w:t>
      </w:r>
    </w:p>
    <w:p>
      <w:pPr>
        <w:jc w:val="both"/>
        <w:ind w:left="300" w:hanging="298"/>
        <w:spacing w:after="0" w:line="236" w:lineRule="auto"/>
        <w:tabs>
          <w:tab w:leader="none" w:pos="300" w:val="left"/>
        </w:tabs>
        <w:numPr>
          <w:ilvl w:val="0"/>
          <w:numId w:val="6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the aggregate grant date fair value of stock awards computed in accordance with FASB ASC 718. These amounts do not represent the actual amounts paid to or realized by the executive. We based the grant date fair value of stock awards with a service condition on the closing prices of our common stock as reported on the New York Stock Exchange on the date of grant of the awards. The grant date fair value of stock unit awards with both a service condition and a market-based vesting condition is based on the output of a Monte Carlo simulation. Additional detail regarding the calculation of these values is included in Note 22 to our audited financial statements for the fiscal year ended December 31, 2023, which are included in our Annual Report on Form 10-K filed with the Securities and Exchange Commission on February 27, 2024. As to the stock awards granted in 2023 with market-based vesting conditions, the grant date fair value of each of these awards (calculated based on the output of a Monte Carlo simulation, which is the value of these awards included in the Summary Compensation Table above) is presented in the “Grants of Plan-Based Awards for 2023” table below, and the value of these awards assuming that the highest level of performance conditions will be achieved is $8,684,088 for Mr. Messina, $1,687,357 for Mr. O’Neil, $1,630,627 for Mr. Anderson, $1,595,151 for Mr. Zeleny, and $1,502,958 for Mr. Henley.</w:t>
      </w:r>
    </w:p>
    <w:p>
      <w:pPr>
        <w:spacing w:after="0" w:line="2" w:lineRule="exact"/>
        <w:rPr>
          <w:rFonts w:ascii="Times New Roman" w:cs="Times New Roman" w:eastAsia="Times New Roman" w:hAnsi="Times New Roman"/>
          <w:sz w:val="28"/>
          <w:szCs w:val="28"/>
          <w:color w:val="auto"/>
          <w:vertAlign w:val="superscript"/>
        </w:rPr>
      </w:pPr>
    </w:p>
    <w:p>
      <w:pPr>
        <w:ind w:left="300" w:hanging="298"/>
        <w:spacing w:after="0" w:line="185" w:lineRule="auto"/>
        <w:tabs>
          <w:tab w:leader="none" w:pos="30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annual cash incentive compensation earned in the corresponding year and paid in the first quarter of the following year.</w:t>
      </w:r>
    </w:p>
    <w:p>
      <w:pPr>
        <w:spacing w:after="0" w:line="1" w:lineRule="exact"/>
        <w:rPr>
          <w:rFonts w:ascii="Times New Roman" w:cs="Times New Roman" w:eastAsia="Times New Roman" w:hAnsi="Times New Roman"/>
          <w:sz w:val="23"/>
          <w:szCs w:val="23"/>
          <w:color w:val="auto"/>
          <w:vertAlign w:val="superscript"/>
        </w:rPr>
      </w:pPr>
    </w:p>
    <w:p>
      <w:pPr>
        <w:ind w:left="300" w:hanging="298"/>
        <w:spacing w:after="0" w:line="185" w:lineRule="auto"/>
        <w:tabs>
          <w:tab w:leader="none" w:pos="30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shown in this column are set forth in the supplemental “All Other Compensation” table below.</w:t>
      </w:r>
    </w:p>
    <w:p>
      <w:pPr>
        <w:spacing w:after="0" w:line="1" w:lineRule="exact"/>
        <w:rPr>
          <w:rFonts w:ascii="Times New Roman" w:cs="Times New Roman" w:eastAsia="Times New Roman" w:hAnsi="Times New Roman"/>
          <w:sz w:val="23"/>
          <w:szCs w:val="23"/>
          <w:color w:val="auto"/>
          <w:vertAlign w:val="superscript"/>
        </w:rPr>
      </w:pPr>
    </w:p>
    <w:p>
      <w:pPr>
        <w:ind w:left="300" w:hanging="298"/>
        <w:spacing w:after="0" w:line="189" w:lineRule="auto"/>
        <w:tabs>
          <w:tab w:leader="none" w:pos="300" w:val="left"/>
        </w:tabs>
        <w:numPr>
          <w:ilvl w:val="0"/>
          <w:numId w:val="6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Effective as of December 31, 2023, Mr. Henley departed the Company as Executive Vice President and Chief Growth Officer in conjunction with a leadership transition initiated by Ocwen.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more information about the elements of the compensation paid to our named executive officers, see “Compensation Discussion and Analysis”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 Other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additional information about the amounts that appear in the “All Other Compensation” column in the Summary Compensation Table.</w:t>
      </w:r>
    </w:p>
    <w:p>
      <w:pPr>
        <w:spacing w:after="0" w:line="210"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401(k)</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Matching</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line="240" w:lineRule="exact"/>
              <w:rPr>
                <w:sz w:val="20"/>
                <w:szCs w:val="20"/>
                <w:color w:val="auto"/>
              </w:rPr>
            </w:pPr>
            <w:r>
              <w:rPr>
                <w:rFonts w:ascii="Times New Roman" w:cs="Times New Roman" w:eastAsia="Times New Roman" w:hAnsi="Times New Roman"/>
                <w:sz w:val="17"/>
                <w:szCs w:val="17"/>
                <w:b w:val="1"/>
                <w:bCs w:val="1"/>
                <w:color w:val="auto"/>
                <w:w w:val="95"/>
              </w:rPr>
              <w:t>Contributions</w:t>
            </w:r>
            <w:r>
              <w:rPr>
                <w:rFonts w:ascii="Times New Roman" w:cs="Times New Roman" w:eastAsia="Times New Roman" w:hAnsi="Times New Roman"/>
                <w:sz w:val="27"/>
                <w:szCs w:val="27"/>
                <w:b w:val="1"/>
                <w:bCs w:val="1"/>
                <w:color w:val="auto"/>
                <w:w w:val="95"/>
                <w:vertAlign w:val="superscript"/>
              </w:rPr>
              <w:t>(1)</w:t>
            </w:r>
          </w:p>
        </w:tc>
        <w:tc>
          <w:tcPr>
            <w:tcW w:w="1440" w:type="dxa"/>
            <w:vAlign w:val="bottom"/>
            <w:gridSpan w:val="2"/>
          </w:tcPr>
          <w:p>
            <w:pPr>
              <w:ind w:left="300"/>
              <w:spacing w:after="0" w:line="240"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7"/>
                <w:szCs w:val="27"/>
                <w:b w:val="1"/>
                <w:bCs w:val="1"/>
                <w:color w:val="auto"/>
                <w:vertAlign w:val="superscript"/>
              </w:rPr>
              <w:t>(2)</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31"/>
        </w:trPr>
        <w:tc>
          <w:tcPr>
            <w:tcW w:w="4860" w:type="dxa"/>
            <w:vAlign w:val="bottom"/>
            <w:gridSpan w:val="2"/>
          </w:tcPr>
          <w:p>
            <w:pPr>
              <w:ind w:left="1700"/>
              <w:spacing w:after="0"/>
              <w:rPr>
                <w:sz w:val="20"/>
                <w:szCs w:val="20"/>
                <w:color w:val="auto"/>
              </w:rPr>
            </w:pPr>
            <w:r>
              <w:rPr>
                <w:rFonts w:ascii="Times New Roman" w:cs="Times New Roman" w:eastAsia="Times New Roman" w:hAnsi="Times New Roman"/>
                <w:sz w:val="17"/>
                <w:szCs w:val="17"/>
                <w:b w:val="1"/>
                <w:bCs w:val="1"/>
                <w:color w:val="auto"/>
              </w:rPr>
              <w:t>Executive Officer</w:t>
            </w:r>
          </w:p>
        </w:tc>
        <w:tc>
          <w:tcPr>
            <w:tcW w:w="118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118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20"/>
                <w:szCs w:val="20"/>
                <w:color w:val="auto"/>
              </w:rPr>
            </w:pPr>
          </w:p>
        </w:tc>
        <w:tc>
          <w:tcPr>
            <w:tcW w:w="11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r>
      <w:tr>
        <w:trPr>
          <w:trHeight w:val="205"/>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9,900</w:t>
            </w:r>
          </w:p>
        </w:tc>
        <w:tc>
          <w:tcPr>
            <w:tcW w:w="2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B. O’Neil</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9,900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9,900</w:t>
            </w:r>
          </w:p>
        </w:tc>
      </w:tr>
      <w:tr>
        <w:trPr>
          <w:trHeight w:val="205"/>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9,900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9,900</w:t>
            </w:r>
          </w:p>
        </w:tc>
      </w:tr>
      <w:tr>
        <w:trPr>
          <w:trHeight w:val="205"/>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T. Henley</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790,401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790,401</w:t>
            </w:r>
          </w:p>
        </w:tc>
      </w:tr>
    </w:tbl>
    <w:p>
      <w:pPr>
        <w:spacing w:after="0" w:line="89" w:lineRule="exact"/>
        <w:rPr>
          <w:sz w:val="20"/>
          <w:szCs w:val="20"/>
          <w:color w:val="auto"/>
        </w:rPr>
      </w:pPr>
    </w:p>
    <w:p>
      <w:pPr>
        <w:ind w:left="300" w:hanging="298"/>
        <w:spacing w:after="0"/>
        <w:tabs>
          <w:tab w:leader="none" w:pos="30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Reflects employer matching contributions made under the Ocwen Financial Corporation 401(k) Savings Plan.</w:t>
      </w:r>
    </w:p>
    <w:p>
      <w:pPr>
        <w:spacing w:after="0" w:line="187" w:lineRule="exact"/>
        <w:rPr>
          <w:rFonts w:ascii="Times New Roman" w:cs="Times New Roman" w:eastAsia="Times New Roman" w:hAnsi="Times New Roman"/>
          <w:sz w:val="28"/>
          <w:szCs w:val="28"/>
          <w:color w:val="auto"/>
          <w:vertAlign w:val="superscript"/>
        </w:rPr>
      </w:pPr>
    </w:p>
    <w:p>
      <w:pPr>
        <w:jc w:val="both"/>
        <w:ind w:left="300" w:hanging="298"/>
        <w:spacing w:after="0" w:line="221" w:lineRule="auto"/>
        <w:tabs>
          <w:tab w:leader="none" w:pos="30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“Other” reflects the values of payments made to Mr. Henley in exchange for the general release of claims upon his departure from the Company and from his role as Executive Vice President and Chief Growth Officer effective December 31, 2023, in conjunction with a leadership transition initiated by Ocwen as outlined below, inclusive of (i) $750,000 pursuant to benefits entitled to him under the Company’s United States Basic Severance Plan, and (ii) $40,401 payout of accrued paid time off balances.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332"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Grants of Plan-Based Awards for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related to awards granted in 2023 under our 2021 Equity Incentive Plan and our 1998 Annual Incentive Plan, as amended.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Grant</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Awards: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Date Fair</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6"/>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Estimated Possible Payouts Under Non-</w:t>
            </w:r>
          </w:p>
        </w:tc>
        <w:tc>
          <w:tcPr>
            <w:tcW w:w="27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Estimated Future Payouts Under</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or Base</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6"/>
            <w:vMerge w:val="continue"/>
          </w:tcPr>
          <w:p>
            <w:pPr>
              <w:spacing w:after="0"/>
              <w:rPr>
                <w:sz w:val="15"/>
                <w:szCs w:val="15"/>
                <w:color w:val="auto"/>
              </w:rPr>
            </w:pPr>
          </w:p>
        </w:tc>
        <w:tc>
          <w:tcPr>
            <w:tcW w:w="2760" w:type="dxa"/>
            <w:vAlign w:val="bottom"/>
            <w:gridSpan w:val="6"/>
            <w:vMerge w:val="continue"/>
          </w:tcPr>
          <w:p>
            <w:pPr>
              <w:spacing w:after="0"/>
              <w:rPr>
                <w:sz w:val="15"/>
                <w:szCs w:val="15"/>
                <w:color w:val="auto"/>
              </w:rPr>
            </w:pPr>
          </w:p>
        </w:tc>
        <w:tc>
          <w:tcPr>
            <w:tcW w:w="92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7"/>
                <w:szCs w:val="17"/>
                <w:b w:val="1"/>
                <w:bCs w:val="1"/>
                <w:color w:val="auto"/>
              </w:rPr>
              <w:t>Shares of</w:t>
            </w:r>
          </w:p>
        </w:tc>
        <w:tc>
          <w:tcPr>
            <w:tcW w:w="94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7"/>
                <w:szCs w:val="17"/>
                <w:b w:val="1"/>
                <w:bCs w:val="1"/>
                <w:color w:val="auto"/>
              </w:rPr>
              <w:t>Securities</w:t>
            </w:r>
          </w:p>
        </w:tc>
        <w:tc>
          <w:tcPr>
            <w:tcW w:w="800" w:type="dxa"/>
            <w:vAlign w:val="bottom"/>
            <w:gridSpan w:val="2"/>
          </w:tcPr>
          <w:p>
            <w:pPr>
              <w:jc w:val="center"/>
              <w:ind w:right="160"/>
              <w:spacing w:after="0" w:line="174" w:lineRule="exact"/>
              <w:rPr>
                <w:sz w:val="20"/>
                <w:szCs w:val="20"/>
                <w:color w:val="auto"/>
              </w:rPr>
            </w:pPr>
            <w:r>
              <w:rPr>
                <w:rFonts w:ascii="Times New Roman" w:cs="Times New Roman" w:eastAsia="Times New Roman" w:hAnsi="Times New Roman"/>
                <w:sz w:val="17"/>
                <w:szCs w:val="17"/>
                <w:b w:val="1"/>
                <w:bCs w:val="1"/>
                <w:color w:val="auto"/>
                <w:w w:val="99"/>
              </w:rPr>
              <w:t>Price of</w:t>
            </w:r>
          </w:p>
        </w:tc>
        <w:tc>
          <w:tcPr>
            <w:tcW w:w="840" w:type="dxa"/>
            <w:vAlign w:val="bottom"/>
            <w:gridSpan w:val="2"/>
          </w:tcPr>
          <w:p>
            <w:pPr>
              <w:jc w:val="center"/>
              <w:ind w:right="40"/>
              <w:spacing w:after="0" w:line="174" w:lineRule="exact"/>
              <w:rPr>
                <w:sz w:val="20"/>
                <w:szCs w:val="20"/>
                <w:color w:val="auto"/>
              </w:rPr>
            </w:pPr>
            <w:r>
              <w:rPr>
                <w:rFonts w:ascii="Times New Roman" w:cs="Times New Roman" w:eastAsia="Times New Roman" w:hAnsi="Times New Roman"/>
                <w:sz w:val="17"/>
                <w:szCs w:val="17"/>
                <w:b w:val="1"/>
                <w:bCs w:val="1"/>
                <w:color w:val="auto"/>
                <w:w w:val="99"/>
              </w:rPr>
              <w:t>Stock and</w:t>
            </w: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40" w:type="dxa"/>
            <w:vAlign w:val="bottom"/>
            <w:tcBorders>
              <w:bottom w:val="single" w:sz="8" w:color="auto"/>
            </w:tcBorders>
            <w:gridSpan w:val="5"/>
          </w:tcPr>
          <w:p>
            <w:pPr>
              <w:ind w:left="360"/>
              <w:spacing w:after="0" w:line="243" w:lineRule="exact"/>
              <w:rPr>
                <w:sz w:val="20"/>
                <w:szCs w:val="20"/>
                <w:color w:val="auto"/>
              </w:rPr>
            </w:pPr>
            <w:r>
              <w:rPr>
                <w:rFonts w:ascii="Times New Roman" w:cs="Times New Roman" w:eastAsia="Times New Roman" w:hAnsi="Times New Roman"/>
                <w:sz w:val="17"/>
                <w:szCs w:val="17"/>
                <w:b w:val="1"/>
                <w:bCs w:val="1"/>
                <w:color w:val="auto"/>
              </w:rPr>
              <w:t>Equity Incentive Plan Awards</w:t>
            </w:r>
            <w:r>
              <w:rPr>
                <w:rFonts w:ascii="Times New Roman" w:cs="Times New Roman" w:eastAsia="Times New Roman" w:hAnsi="Times New Roman"/>
                <w:sz w:val="28"/>
                <w:szCs w:val="28"/>
                <w:b w:val="1"/>
                <w:bCs w:val="1"/>
                <w:color w:val="auto"/>
                <w:vertAlign w:val="superscript"/>
              </w:rPr>
              <w:t>(1)</w:t>
            </w:r>
          </w:p>
        </w:tc>
        <w:tc>
          <w:tcPr>
            <w:tcW w:w="120" w:type="dxa"/>
            <w:vAlign w:val="bottom"/>
          </w:tcPr>
          <w:p>
            <w:pPr>
              <w:spacing w:after="0"/>
              <w:rPr>
                <w:sz w:val="21"/>
                <w:szCs w:val="21"/>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Equity Incentive Plan Awards</w:t>
            </w:r>
          </w:p>
        </w:tc>
        <w:tc>
          <w:tcPr>
            <w:tcW w:w="10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 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0" w:type="dxa"/>
            <w:vAlign w:val="bottom"/>
          </w:tcPr>
          <w:p>
            <w:pPr>
              <w:spacing w:after="0"/>
              <w:rPr>
                <w:sz w:val="1"/>
                <w:szCs w:val="1"/>
                <w:color w:val="auto"/>
              </w:rPr>
            </w:pPr>
          </w:p>
        </w:tc>
      </w:tr>
      <w:tr>
        <w:trPr>
          <w:trHeight w:val="389"/>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Units</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1"/>
              </w:rPr>
              <w:t xml:space="preserve">Awards </w:t>
            </w:r>
            <w:r>
              <w:rPr>
                <w:rFonts w:ascii="Times New Roman" w:cs="Times New Roman" w:eastAsia="Times New Roman" w:hAnsi="Times New Roman"/>
                <w:sz w:val="28"/>
                <w:szCs w:val="28"/>
                <w:b w:val="1"/>
                <w:bCs w:val="1"/>
                <w:color w:val="auto"/>
                <w:w w:val="91"/>
                <w:vertAlign w:val="superscript"/>
              </w:rPr>
              <w:t>(2)</w:t>
            </w:r>
          </w:p>
        </w:tc>
        <w:tc>
          <w:tcPr>
            <w:tcW w:w="0" w:type="dxa"/>
            <w:vAlign w:val="bottom"/>
          </w:tcPr>
          <w:p>
            <w:pPr>
              <w:spacing w:after="0"/>
              <w:rPr>
                <w:sz w:val="1"/>
                <w:szCs w:val="1"/>
                <w:color w:val="auto"/>
              </w:rPr>
            </w:pPr>
          </w:p>
        </w:tc>
      </w:tr>
      <w:tr>
        <w:trPr>
          <w:trHeight w:val="231"/>
        </w:trPr>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3/31/2023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100" w:type="dxa"/>
            <w:vAlign w:val="bottom"/>
            <w:gridSpan w:val="3"/>
            <w:shd w:val="clear" w:color="auto" w:fill="CCEEFF"/>
          </w:tcPr>
          <w:p>
            <w:pPr>
              <w:jc w:val="right"/>
              <w:ind w:right="220"/>
              <w:spacing w:after="0" w:line="40" w:lineRule="exact"/>
              <w:rPr>
                <w:sz w:val="20"/>
                <w:szCs w:val="20"/>
                <w:color w:val="auto"/>
              </w:rPr>
            </w:pPr>
            <w:r>
              <w:rPr>
                <w:rFonts w:ascii="Times New Roman" w:cs="Times New Roman" w:eastAsia="Times New Roman" w:hAnsi="Times New Roman"/>
                <w:sz w:val="4"/>
                <w:szCs w:val="4"/>
                <w:color w:val="auto"/>
              </w:rPr>
              <w:t>4/3/2023</w:t>
            </w:r>
          </w:p>
        </w:tc>
        <w:tc>
          <w:tcPr>
            <w:tcW w:w="104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shd w:val="clear" w:color="auto" w:fill="CCEEFF"/>
          </w:tcPr>
          <w:p>
            <w:pPr>
              <w:jc w:val="right"/>
              <w:ind w:right="120"/>
              <w:spacing w:after="0" w:line="40"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CCEEFF"/>
          </w:tcPr>
          <w:p>
            <w:pPr>
              <w:jc w:val="right"/>
              <w:ind w:right="140"/>
              <w:spacing w:after="0" w:line="40" w:lineRule="exact"/>
              <w:rPr>
                <w:sz w:val="20"/>
                <w:szCs w:val="20"/>
                <w:color w:val="auto"/>
              </w:rPr>
            </w:pPr>
            <w:r>
              <w:rPr>
                <w:rFonts w:ascii="Times New Roman" w:cs="Times New Roman" w:eastAsia="Times New Roman" w:hAnsi="Times New Roman"/>
                <w:sz w:val="4"/>
                <w:szCs w:val="4"/>
                <w:color w:val="auto"/>
              </w:rPr>
              <w:t>35,063</w:t>
            </w:r>
          </w:p>
        </w:tc>
        <w:tc>
          <w:tcPr>
            <w:tcW w:w="740" w:type="dxa"/>
            <w:vAlign w:val="bottom"/>
            <w:gridSpan w:val="2"/>
            <w:shd w:val="clear" w:color="auto" w:fill="CCEEFF"/>
          </w:tcPr>
          <w:p>
            <w:pPr>
              <w:jc w:val="right"/>
              <w:ind w:right="160"/>
              <w:spacing w:after="0" w:line="40" w:lineRule="exact"/>
              <w:rPr>
                <w:sz w:val="20"/>
                <w:szCs w:val="20"/>
                <w:color w:val="auto"/>
              </w:rPr>
            </w:pPr>
            <w:r>
              <w:rPr>
                <w:rFonts w:ascii="Times New Roman" w:cs="Times New Roman" w:eastAsia="Times New Roman" w:hAnsi="Times New Roman"/>
                <w:sz w:val="4"/>
                <w:szCs w:val="4"/>
                <w:color w:val="auto"/>
              </w:rPr>
              <w:t>70,126</w:t>
            </w:r>
          </w:p>
        </w:tc>
        <w:tc>
          <w:tcPr>
            <w:tcW w:w="104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140,252</w:t>
            </w:r>
          </w:p>
        </w:tc>
        <w:tc>
          <w:tcPr>
            <w:tcW w:w="92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shd w:val="clear" w:color="auto" w:fill="CCEEFF"/>
          </w:tcPr>
          <w:p>
            <w:pPr>
              <w:ind w:left="680"/>
              <w:spacing w:after="0" w:line="40" w:lineRule="exact"/>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shd w:val="clear" w:color="auto" w:fill="CCEEFF"/>
          </w:tcPr>
          <w:p>
            <w:pPr>
              <w:ind w:left="480"/>
              <w:spacing w:after="0" w:line="40"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CCEEFF"/>
          </w:tcPr>
          <w:p>
            <w:pPr>
              <w:jc w:val="right"/>
              <w:ind w:right="40"/>
              <w:spacing w:after="0" w:line="40" w:lineRule="exact"/>
              <w:rPr>
                <w:sz w:val="20"/>
                <w:szCs w:val="20"/>
                <w:color w:val="auto"/>
              </w:rPr>
            </w:pPr>
            <w:r>
              <w:rPr>
                <w:rFonts w:ascii="Times New Roman" w:cs="Times New Roman" w:eastAsia="Times New Roman" w:hAnsi="Times New Roman"/>
                <w:sz w:val="4"/>
                <w:szCs w:val="4"/>
                <w:color w:val="auto"/>
              </w:rPr>
              <w:t>2,588,351</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4/3/2023</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70,126</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1,911,635</w:t>
            </w:r>
          </w:p>
        </w:tc>
        <w:tc>
          <w:tcPr>
            <w:tcW w:w="0" w:type="dxa"/>
            <w:vAlign w:val="bottom"/>
          </w:tcPr>
          <w:p>
            <w:pPr>
              <w:spacing w:after="0"/>
              <w:rPr>
                <w:sz w:val="1"/>
                <w:szCs w:val="1"/>
                <w:color w:val="auto"/>
              </w:rPr>
            </w:pPr>
          </w:p>
        </w:tc>
      </w:tr>
      <w:tr>
        <w:trPr>
          <w:trHeight w:val="31"/>
        </w:trPr>
        <w:tc>
          <w:tcPr>
            <w:tcW w:w="660" w:type="dxa"/>
            <w:vAlign w:val="bottom"/>
            <w:shd w:val="clear" w:color="auto" w:fill="CCEEFF"/>
          </w:tcPr>
          <w:p>
            <w:pPr>
              <w:spacing w:after="0" w:line="31" w:lineRule="exact"/>
              <w:rPr>
                <w:sz w:val="20"/>
                <w:szCs w:val="20"/>
                <w:color w:val="auto"/>
              </w:rPr>
            </w:pPr>
            <w:r>
              <w:rPr>
                <w:rFonts w:ascii="Times New Roman" w:cs="Times New Roman" w:eastAsia="Times New Roman" w:hAnsi="Times New Roman"/>
                <w:sz w:val="3"/>
                <w:szCs w:val="3"/>
                <w:color w:val="auto"/>
              </w:rPr>
              <w:t>Messina</w:t>
            </w: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74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920" w:type="dxa"/>
            <w:vAlign w:val="bottom"/>
            <w:gridSpan w:val="2"/>
            <w:vMerge w:val="continue"/>
            <w:shd w:val="clear" w:color="auto" w:fill="CCEEFF"/>
          </w:tcPr>
          <w:p>
            <w:pPr>
              <w:spacing w:after="0"/>
              <w:rPr>
                <w:sz w:val="2"/>
                <w:szCs w:val="2"/>
                <w:color w:val="auto"/>
              </w:rPr>
            </w:pPr>
          </w:p>
        </w:tc>
        <w:tc>
          <w:tcPr>
            <w:tcW w:w="940" w:type="dxa"/>
            <w:vAlign w:val="bottom"/>
            <w:gridSpan w:val="2"/>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7/31/2023</w:t>
            </w:r>
            <w:r>
              <w:rPr>
                <w:rFonts w:ascii="Times New Roman" w:cs="Times New Roman" w:eastAsia="Times New Roman" w:hAnsi="Times New Roman"/>
                <w:sz w:val="14"/>
                <w:szCs w:val="14"/>
                <w:color w:val="auto"/>
                <w:w w:val="98"/>
              </w:rPr>
              <w:t>(5)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14,349</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28,698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43,047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1,063,835</w:t>
            </w:r>
          </w:p>
        </w:tc>
        <w:tc>
          <w:tcPr>
            <w:tcW w:w="0" w:type="dxa"/>
            <w:vAlign w:val="bottom"/>
          </w:tcPr>
          <w:p>
            <w:pPr>
              <w:spacing w:after="0"/>
              <w:rPr>
                <w:sz w:val="1"/>
                <w:szCs w:val="1"/>
                <w:color w:val="auto"/>
              </w:rPr>
            </w:pPr>
          </w:p>
        </w:tc>
      </w:tr>
      <w:tr>
        <w:trPr>
          <w:trHeight w:val="231"/>
        </w:trPr>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Sean B.</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3/31/2023</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275,000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550,000</w:t>
            </w: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825,000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660" w:type="dxa"/>
            <w:vAlign w:val="bottom"/>
            <w:vMerge w:val="continue"/>
          </w:tcPr>
          <w:p>
            <w:pPr>
              <w:spacing w:after="0"/>
              <w:rPr>
                <w:sz w:val="16"/>
                <w:szCs w:val="16"/>
                <w:color w:val="auto"/>
              </w:rPr>
            </w:pPr>
          </w:p>
        </w:tc>
        <w:tc>
          <w:tcPr>
            <w:tcW w:w="11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4/3/2023</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5,698</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11,396</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22,792</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420,626</w:t>
            </w:r>
          </w:p>
        </w:tc>
        <w:tc>
          <w:tcPr>
            <w:tcW w:w="0" w:type="dxa"/>
            <w:vAlign w:val="bottom"/>
          </w:tcPr>
          <w:p>
            <w:pPr>
              <w:spacing w:after="0"/>
              <w:rPr>
                <w:sz w:val="1"/>
                <w:szCs w:val="1"/>
                <w:color w:val="auto"/>
              </w:rPr>
            </w:pPr>
          </w:p>
        </w:tc>
      </w:tr>
      <w:tr>
        <w:trPr>
          <w:trHeight w:val="31"/>
        </w:trPr>
        <w:tc>
          <w:tcPr>
            <w:tcW w:w="66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O’Neil</w:t>
            </w:r>
          </w:p>
        </w:tc>
        <w:tc>
          <w:tcPr>
            <w:tcW w:w="1160" w:type="dxa"/>
            <w:vAlign w:val="bottom"/>
            <w:gridSpan w:val="4"/>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tcPr>
          <w:p>
            <w:pPr>
              <w:spacing w:after="0"/>
              <w:rPr>
                <w:sz w:val="16"/>
                <w:szCs w:val="16"/>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11,395</w:t>
            </w:r>
          </w:p>
        </w:tc>
        <w:tc>
          <w:tcPr>
            <w:tcW w:w="100" w:type="dxa"/>
            <w:vAlign w:val="bottom"/>
          </w:tcPr>
          <w:p>
            <w:pPr>
              <w:spacing w:after="0"/>
              <w:rPr>
                <w:sz w:val="16"/>
                <w:szCs w:val="16"/>
                <w:color w:val="auto"/>
              </w:rPr>
            </w:pP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310,628</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3"/>
                <w:szCs w:val="3"/>
                <w:color w:val="auto"/>
              </w:rPr>
            </w:pPr>
          </w:p>
        </w:tc>
        <w:tc>
          <w:tcPr>
            <w:tcW w:w="1160" w:type="dxa"/>
            <w:vAlign w:val="bottom"/>
            <w:gridSpan w:val="4"/>
          </w:tcPr>
          <w:p>
            <w:pPr>
              <w:jc w:val="right"/>
              <w:ind w:right="220"/>
              <w:spacing w:after="0" w:line="46" w:lineRule="exact"/>
              <w:rPr>
                <w:sz w:val="20"/>
                <w:szCs w:val="20"/>
                <w:color w:val="auto"/>
              </w:rPr>
            </w:pPr>
            <w:r>
              <w:rPr>
                <w:rFonts w:ascii="Times New Roman" w:cs="Times New Roman" w:eastAsia="Times New Roman" w:hAnsi="Times New Roman"/>
                <w:sz w:val="5"/>
                <w:szCs w:val="5"/>
                <w:color w:val="auto"/>
              </w:rPr>
              <w:t>4/3/2023</w:t>
            </w:r>
          </w:p>
        </w:tc>
        <w:tc>
          <w:tcPr>
            <w:tcW w:w="104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7/31/2023</w:t>
            </w:r>
            <w:r>
              <w:rPr>
                <w:rFonts w:ascii="Times New Roman" w:cs="Times New Roman" w:eastAsia="Times New Roman" w:hAnsi="Times New Roman"/>
                <w:sz w:val="14"/>
                <w:szCs w:val="14"/>
                <w:color w:val="auto"/>
              </w:rPr>
              <w:t>(5)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4,815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9,630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14,445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356,984</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3/31/2023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750,000</w:t>
            </w:r>
          </w:p>
        </w:tc>
        <w:tc>
          <w:tcPr>
            <w:tcW w:w="980" w:type="dxa"/>
            <w:vAlign w:val="bottom"/>
            <w:gridSpan w:val="2"/>
            <w:shd w:val="clear" w:color="auto" w:fill="CCEEFF"/>
          </w:tcPr>
          <w:p>
            <w:pPr>
              <w:jc w:val="right"/>
              <w:ind w:right="140"/>
              <w:spacing w:after="0" w:line="223" w:lineRule="exact"/>
              <w:rPr>
                <w:sz w:val="20"/>
                <w:szCs w:val="20"/>
                <w:color w:val="auto"/>
              </w:rPr>
            </w:pPr>
            <w:r>
              <w:rPr>
                <w:rFonts w:ascii="Calibri" w:cs="Calibri" w:eastAsia="Calibri" w:hAnsi="Calibri"/>
                <w:sz w:val="19"/>
                <w:szCs w:val="19"/>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100" w:type="dxa"/>
            <w:vAlign w:val="bottom"/>
            <w:gridSpan w:val="3"/>
            <w:shd w:val="clear" w:color="auto" w:fill="CCEEFF"/>
          </w:tcPr>
          <w:p>
            <w:pPr>
              <w:jc w:val="right"/>
              <w:ind w:right="220"/>
              <w:spacing w:after="0" w:line="40" w:lineRule="exact"/>
              <w:rPr>
                <w:sz w:val="20"/>
                <w:szCs w:val="20"/>
                <w:color w:val="auto"/>
              </w:rPr>
            </w:pPr>
            <w:r>
              <w:rPr>
                <w:rFonts w:ascii="Times New Roman" w:cs="Times New Roman" w:eastAsia="Times New Roman" w:hAnsi="Times New Roman"/>
                <w:sz w:val="4"/>
                <w:szCs w:val="4"/>
                <w:color w:val="auto"/>
              </w:rPr>
              <w:t>4/3/2023</w:t>
            </w:r>
          </w:p>
        </w:tc>
        <w:tc>
          <w:tcPr>
            <w:tcW w:w="104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shd w:val="clear" w:color="auto" w:fill="CCEEFF"/>
          </w:tcPr>
          <w:p>
            <w:pPr>
              <w:jc w:val="right"/>
              <w:ind w:right="120"/>
              <w:spacing w:after="0" w:line="40"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CCEEFF"/>
          </w:tcPr>
          <w:p>
            <w:pPr>
              <w:jc w:val="right"/>
              <w:ind w:right="140"/>
              <w:spacing w:after="0" w:line="40" w:lineRule="exact"/>
              <w:rPr>
                <w:sz w:val="20"/>
                <w:szCs w:val="20"/>
                <w:color w:val="auto"/>
              </w:rPr>
            </w:pPr>
            <w:r>
              <w:rPr>
                <w:rFonts w:ascii="Times New Roman" w:cs="Times New Roman" w:eastAsia="Times New Roman" w:hAnsi="Times New Roman"/>
                <w:sz w:val="4"/>
                <w:szCs w:val="4"/>
                <w:color w:val="auto"/>
              </w:rPr>
              <w:t>5,259</w:t>
            </w:r>
          </w:p>
        </w:tc>
        <w:tc>
          <w:tcPr>
            <w:tcW w:w="740" w:type="dxa"/>
            <w:vAlign w:val="bottom"/>
            <w:gridSpan w:val="2"/>
            <w:shd w:val="clear" w:color="auto" w:fill="CCEEFF"/>
          </w:tcPr>
          <w:p>
            <w:pPr>
              <w:jc w:val="right"/>
              <w:ind w:right="160"/>
              <w:spacing w:after="0" w:line="40" w:lineRule="exact"/>
              <w:rPr>
                <w:sz w:val="20"/>
                <w:szCs w:val="20"/>
                <w:color w:val="auto"/>
              </w:rPr>
            </w:pPr>
            <w:r>
              <w:rPr>
                <w:rFonts w:ascii="Times New Roman" w:cs="Times New Roman" w:eastAsia="Times New Roman" w:hAnsi="Times New Roman"/>
                <w:sz w:val="4"/>
                <w:szCs w:val="4"/>
                <w:color w:val="auto"/>
              </w:rPr>
              <w:t>10,519</w:t>
            </w:r>
          </w:p>
        </w:tc>
        <w:tc>
          <w:tcPr>
            <w:tcW w:w="104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21,038</w:t>
            </w:r>
          </w:p>
        </w:tc>
        <w:tc>
          <w:tcPr>
            <w:tcW w:w="92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shd w:val="clear" w:color="auto" w:fill="CCEEFF"/>
          </w:tcPr>
          <w:p>
            <w:pPr>
              <w:ind w:left="680"/>
              <w:spacing w:after="0" w:line="40" w:lineRule="exact"/>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shd w:val="clear" w:color="auto" w:fill="CCEEFF"/>
          </w:tcPr>
          <w:p>
            <w:pPr>
              <w:ind w:left="480"/>
              <w:spacing w:after="0" w:line="40"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CCEEFF"/>
          </w:tcPr>
          <w:p>
            <w:pPr>
              <w:jc w:val="right"/>
              <w:ind w:right="40"/>
              <w:spacing w:after="0" w:line="40" w:lineRule="exact"/>
              <w:rPr>
                <w:sz w:val="20"/>
                <w:szCs w:val="20"/>
                <w:color w:val="auto"/>
              </w:rPr>
            </w:pPr>
            <w:r>
              <w:rPr>
                <w:rFonts w:ascii="Times New Roman" w:cs="Times New Roman" w:eastAsia="Times New Roman" w:hAnsi="Times New Roman"/>
                <w:sz w:val="4"/>
                <w:szCs w:val="4"/>
                <w:color w:val="auto"/>
              </w:rPr>
              <w:t>388,256</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Scott W.</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4/3/2023</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10,518</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286,721</w:t>
            </w:r>
          </w:p>
        </w:tc>
        <w:tc>
          <w:tcPr>
            <w:tcW w:w="0" w:type="dxa"/>
            <w:vAlign w:val="bottom"/>
          </w:tcPr>
          <w:p>
            <w:pPr>
              <w:spacing w:after="0"/>
              <w:rPr>
                <w:sz w:val="1"/>
                <w:szCs w:val="1"/>
                <w:color w:val="auto"/>
              </w:rPr>
            </w:pPr>
          </w:p>
        </w:tc>
      </w:tr>
      <w:tr>
        <w:trPr>
          <w:trHeight w:val="31"/>
        </w:trPr>
        <w:tc>
          <w:tcPr>
            <w:tcW w:w="660" w:type="dxa"/>
            <w:vAlign w:val="bottom"/>
            <w:shd w:val="clear" w:color="auto" w:fill="CCEEFF"/>
          </w:tcPr>
          <w:p>
            <w:pPr>
              <w:spacing w:after="0" w:line="31" w:lineRule="exact"/>
              <w:rPr>
                <w:sz w:val="20"/>
                <w:szCs w:val="20"/>
                <w:color w:val="auto"/>
              </w:rPr>
            </w:pPr>
            <w:r>
              <w:rPr>
                <w:rFonts w:ascii="Times New Roman" w:cs="Times New Roman" w:eastAsia="Times New Roman" w:hAnsi="Times New Roman"/>
                <w:sz w:val="3"/>
                <w:szCs w:val="3"/>
                <w:color w:val="auto"/>
              </w:rPr>
              <w:t>Anderson</w:t>
            </w: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74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920" w:type="dxa"/>
            <w:vAlign w:val="bottom"/>
            <w:gridSpan w:val="2"/>
            <w:vMerge w:val="continue"/>
            <w:shd w:val="clear" w:color="auto" w:fill="CCEEFF"/>
          </w:tcPr>
          <w:p>
            <w:pPr>
              <w:spacing w:after="0"/>
              <w:rPr>
                <w:sz w:val="2"/>
                <w:szCs w:val="2"/>
                <w:color w:val="auto"/>
              </w:rPr>
            </w:pPr>
          </w:p>
        </w:tc>
        <w:tc>
          <w:tcPr>
            <w:tcW w:w="940" w:type="dxa"/>
            <w:vAlign w:val="bottom"/>
            <w:gridSpan w:val="2"/>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7/31/2023</w:t>
            </w:r>
            <w:r>
              <w:rPr>
                <w:rFonts w:ascii="Times New Roman" w:cs="Times New Roman" w:eastAsia="Times New Roman" w:hAnsi="Times New Roman"/>
                <w:sz w:val="14"/>
                <w:szCs w:val="14"/>
                <w:color w:val="auto"/>
                <w:w w:val="98"/>
              </w:rPr>
              <w:t>(5)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5,102</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10,204</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15,306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378,262</w:t>
            </w: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3/31/2023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750,000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1160" w:type="dxa"/>
            <w:vAlign w:val="bottom"/>
            <w:gridSpan w:val="4"/>
          </w:tcPr>
          <w:p>
            <w:pPr>
              <w:jc w:val="right"/>
              <w:ind w:right="220"/>
              <w:spacing w:after="0" w:line="39" w:lineRule="exact"/>
              <w:rPr>
                <w:sz w:val="20"/>
                <w:szCs w:val="20"/>
                <w:color w:val="auto"/>
              </w:rPr>
            </w:pPr>
            <w:r>
              <w:rPr>
                <w:rFonts w:ascii="Times New Roman" w:cs="Times New Roman" w:eastAsia="Times New Roman" w:hAnsi="Times New Roman"/>
                <w:sz w:val="4"/>
                <w:szCs w:val="4"/>
                <w:color w:val="auto"/>
              </w:rPr>
              <w:t>4/3/2023</w:t>
            </w:r>
          </w:p>
        </w:tc>
        <w:tc>
          <w:tcPr>
            <w:tcW w:w="1040" w:type="dxa"/>
            <w:vAlign w:val="bottom"/>
            <w:gridSpan w:val="2"/>
          </w:tcPr>
          <w:p>
            <w:pPr>
              <w:jc w:val="right"/>
              <w:ind w:right="100"/>
              <w:spacing w:after="0" w:line="39"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100"/>
              <w:spacing w:after="0" w:line="39" w:lineRule="exact"/>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tcPr>
          <w:p>
            <w:pPr>
              <w:jc w:val="right"/>
              <w:ind w:right="120"/>
              <w:spacing w:after="0" w:line="39"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140"/>
              <w:spacing w:after="0" w:line="39" w:lineRule="exact"/>
              <w:rPr>
                <w:sz w:val="20"/>
                <w:szCs w:val="20"/>
                <w:color w:val="auto"/>
              </w:rPr>
            </w:pPr>
            <w:r>
              <w:rPr>
                <w:rFonts w:ascii="Times New Roman" w:cs="Times New Roman" w:eastAsia="Times New Roman" w:hAnsi="Times New Roman"/>
                <w:sz w:val="4"/>
                <w:szCs w:val="4"/>
                <w:color w:val="auto"/>
              </w:rPr>
              <w:t>5,259</w:t>
            </w:r>
          </w:p>
        </w:tc>
        <w:tc>
          <w:tcPr>
            <w:tcW w:w="740" w:type="dxa"/>
            <w:vAlign w:val="bottom"/>
            <w:gridSpan w:val="2"/>
          </w:tcPr>
          <w:p>
            <w:pPr>
              <w:jc w:val="right"/>
              <w:ind w:right="160"/>
              <w:spacing w:after="0" w:line="39" w:lineRule="exact"/>
              <w:rPr>
                <w:sz w:val="20"/>
                <w:szCs w:val="20"/>
                <w:color w:val="auto"/>
              </w:rPr>
            </w:pPr>
            <w:r>
              <w:rPr>
                <w:rFonts w:ascii="Times New Roman" w:cs="Times New Roman" w:eastAsia="Times New Roman" w:hAnsi="Times New Roman"/>
                <w:sz w:val="4"/>
                <w:szCs w:val="4"/>
                <w:color w:val="auto"/>
              </w:rPr>
              <w:t>10,519</w:t>
            </w:r>
          </w:p>
        </w:tc>
        <w:tc>
          <w:tcPr>
            <w:tcW w:w="1040" w:type="dxa"/>
            <w:vAlign w:val="bottom"/>
            <w:gridSpan w:val="2"/>
          </w:tcPr>
          <w:p>
            <w:pPr>
              <w:jc w:val="right"/>
              <w:ind w:right="100"/>
              <w:spacing w:after="0" w:line="39" w:lineRule="exact"/>
              <w:rPr>
                <w:sz w:val="20"/>
                <w:szCs w:val="20"/>
                <w:color w:val="auto"/>
              </w:rPr>
            </w:pPr>
            <w:r>
              <w:rPr>
                <w:rFonts w:ascii="Times New Roman" w:cs="Times New Roman" w:eastAsia="Times New Roman" w:hAnsi="Times New Roman"/>
                <w:sz w:val="4"/>
                <w:szCs w:val="4"/>
                <w:color w:val="auto"/>
              </w:rPr>
              <w:t>21,038</w:t>
            </w:r>
          </w:p>
        </w:tc>
        <w:tc>
          <w:tcPr>
            <w:tcW w:w="920" w:type="dxa"/>
            <w:vAlign w:val="bottom"/>
            <w:gridSpan w:val="2"/>
          </w:tcPr>
          <w:p>
            <w:pPr>
              <w:jc w:val="right"/>
              <w:ind w:right="100"/>
              <w:spacing w:after="0" w:line="39" w:lineRule="exact"/>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ind w:left="680"/>
              <w:spacing w:after="0" w:line="39" w:lineRule="exact"/>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ind w:left="480"/>
              <w:spacing w:after="0" w:line="39"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40"/>
              <w:spacing w:after="0" w:line="39" w:lineRule="exact"/>
              <w:rPr>
                <w:sz w:val="20"/>
                <w:szCs w:val="20"/>
                <w:color w:val="auto"/>
              </w:rPr>
            </w:pPr>
            <w:r>
              <w:rPr>
                <w:rFonts w:ascii="Times New Roman" w:cs="Times New Roman" w:eastAsia="Times New Roman" w:hAnsi="Times New Roman"/>
                <w:sz w:val="4"/>
                <w:szCs w:val="4"/>
                <w:color w:val="auto"/>
              </w:rPr>
              <w:t>388,256</w:t>
            </w:r>
          </w:p>
        </w:tc>
        <w:tc>
          <w:tcPr>
            <w:tcW w:w="0" w:type="dxa"/>
            <w:vAlign w:val="bottom"/>
          </w:tcPr>
          <w:p>
            <w:pPr>
              <w:spacing w:after="0" w:line="20" w:lineRule="exact"/>
              <w:rPr>
                <w:sz w:val="1"/>
                <w:szCs w:val="1"/>
                <w:color w:val="auto"/>
              </w:rPr>
            </w:pPr>
          </w:p>
        </w:tc>
      </w:tr>
      <w:tr>
        <w:trPr>
          <w:trHeight w:val="174"/>
        </w:trPr>
        <w:tc>
          <w:tcPr>
            <w:tcW w:w="660" w:type="dxa"/>
            <w:vAlign w:val="bottom"/>
          </w:tcPr>
          <w:p>
            <w:pPr>
              <w:spacing w:after="0"/>
              <w:rPr>
                <w:sz w:val="15"/>
                <w:szCs w:val="15"/>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Dennis</w:t>
            </w:r>
          </w:p>
        </w:tc>
        <w:tc>
          <w:tcPr>
            <w:tcW w:w="11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4/3/2023</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10,518</w:t>
            </w:r>
          </w:p>
        </w:tc>
        <w:tc>
          <w:tcPr>
            <w:tcW w:w="9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286,721</w:t>
            </w:r>
          </w:p>
        </w:tc>
        <w:tc>
          <w:tcPr>
            <w:tcW w:w="0" w:type="dxa"/>
            <w:vAlign w:val="bottom"/>
          </w:tcPr>
          <w:p>
            <w:pPr>
              <w:spacing w:after="0"/>
              <w:rPr>
                <w:sz w:val="1"/>
                <w:szCs w:val="1"/>
                <w:color w:val="auto"/>
              </w:rPr>
            </w:pPr>
          </w:p>
        </w:tc>
      </w:tr>
      <w:tr>
        <w:trPr>
          <w:trHeight w:val="31"/>
        </w:trPr>
        <w:tc>
          <w:tcPr>
            <w:tcW w:w="66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Zeleny</w:t>
            </w:r>
          </w:p>
        </w:tc>
        <w:tc>
          <w:tcPr>
            <w:tcW w:w="1160" w:type="dxa"/>
            <w:vAlign w:val="bottom"/>
            <w:gridSpan w:val="4"/>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tcPr>
          <w:p>
            <w:pPr>
              <w:spacing w:after="0"/>
              <w:rPr>
                <w:sz w:val="16"/>
                <w:szCs w:val="16"/>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7/31/2023</w:t>
            </w:r>
            <w:r>
              <w:rPr>
                <w:rFonts w:ascii="Times New Roman" w:cs="Times New Roman" w:eastAsia="Times New Roman" w:hAnsi="Times New Roman"/>
                <w:sz w:val="14"/>
                <w:szCs w:val="14"/>
                <w:color w:val="auto"/>
              </w:rPr>
              <w:t>(5)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4,783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9,566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14,349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354,612</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3/31/2023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750,000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100" w:type="dxa"/>
            <w:vAlign w:val="bottom"/>
            <w:gridSpan w:val="3"/>
            <w:shd w:val="clear" w:color="auto" w:fill="CCEEFF"/>
          </w:tcPr>
          <w:p>
            <w:pPr>
              <w:jc w:val="right"/>
              <w:ind w:right="220"/>
              <w:spacing w:after="0" w:line="40" w:lineRule="exact"/>
              <w:rPr>
                <w:sz w:val="20"/>
                <w:szCs w:val="20"/>
                <w:color w:val="auto"/>
              </w:rPr>
            </w:pPr>
            <w:r>
              <w:rPr>
                <w:rFonts w:ascii="Times New Roman" w:cs="Times New Roman" w:eastAsia="Times New Roman" w:hAnsi="Times New Roman"/>
                <w:sz w:val="4"/>
                <w:szCs w:val="4"/>
                <w:color w:val="auto"/>
              </w:rPr>
              <w:t>4/3/2023</w:t>
            </w:r>
          </w:p>
        </w:tc>
        <w:tc>
          <w:tcPr>
            <w:tcW w:w="104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2"/>
            <w:shd w:val="clear" w:color="auto" w:fill="CCEEFF"/>
          </w:tcPr>
          <w:p>
            <w:pPr>
              <w:jc w:val="right"/>
              <w:ind w:right="120"/>
              <w:spacing w:after="0" w:line="40" w:lineRule="exact"/>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CCEEFF"/>
          </w:tcPr>
          <w:p>
            <w:pPr>
              <w:jc w:val="right"/>
              <w:ind w:right="140"/>
              <w:spacing w:after="0" w:line="40" w:lineRule="exact"/>
              <w:rPr>
                <w:sz w:val="20"/>
                <w:szCs w:val="20"/>
                <w:color w:val="auto"/>
              </w:rPr>
            </w:pPr>
            <w:r>
              <w:rPr>
                <w:rFonts w:ascii="Times New Roman" w:cs="Times New Roman" w:eastAsia="Times New Roman" w:hAnsi="Times New Roman"/>
                <w:sz w:val="4"/>
                <w:szCs w:val="4"/>
                <w:color w:val="auto"/>
              </w:rPr>
              <w:t>5,259</w:t>
            </w:r>
          </w:p>
        </w:tc>
        <w:tc>
          <w:tcPr>
            <w:tcW w:w="740" w:type="dxa"/>
            <w:vAlign w:val="bottom"/>
            <w:gridSpan w:val="2"/>
            <w:shd w:val="clear" w:color="auto" w:fill="CCEEFF"/>
          </w:tcPr>
          <w:p>
            <w:pPr>
              <w:jc w:val="right"/>
              <w:ind w:right="160"/>
              <w:spacing w:after="0" w:line="40" w:lineRule="exact"/>
              <w:rPr>
                <w:sz w:val="20"/>
                <w:szCs w:val="20"/>
                <w:color w:val="auto"/>
              </w:rPr>
            </w:pPr>
            <w:r>
              <w:rPr>
                <w:rFonts w:ascii="Times New Roman" w:cs="Times New Roman" w:eastAsia="Times New Roman" w:hAnsi="Times New Roman"/>
                <w:sz w:val="4"/>
                <w:szCs w:val="4"/>
                <w:color w:val="auto"/>
              </w:rPr>
              <w:t>10,519</w:t>
            </w:r>
          </w:p>
        </w:tc>
        <w:tc>
          <w:tcPr>
            <w:tcW w:w="104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21,038</w:t>
            </w:r>
          </w:p>
        </w:tc>
        <w:tc>
          <w:tcPr>
            <w:tcW w:w="920" w:type="dxa"/>
            <w:vAlign w:val="bottom"/>
            <w:gridSpan w:val="2"/>
            <w:shd w:val="clear" w:color="auto" w:fill="CCEEFF"/>
          </w:tcPr>
          <w:p>
            <w:pPr>
              <w:jc w:val="right"/>
              <w:ind w:right="100"/>
              <w:spacing w:after="0" w:line="40" w:lineRule="exact"/>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shd w:val="clear" w:color="auto" w:fill="CCEEFF"/>
          </w:tcPr>
          <w:p>
            <w:pPr>
              <w:ind w:left="680"/>
              <w:spacing w:after="0" w:line="40" w:lineRule="exact"/>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shd w:val="clear" w:color="auto" w:fill="CCEEFF"/>
          </w:tcPr>
          <w:p>
            <w:pPr>
              <w:ind w:left="480"/>
              <w:spacing w:after="0" w:line="40"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shd w:val="clear" w:color="auto" w:fill="CCEEFF"/>
          </w:tcPr>
          <w:p>
            <w:pPr>
              <w:jc w:val="right"/>
              <w:ind w:right="40"/>
              <w:spacing w:after="0" w:line="40" w:lineRule="exact"/>
              <w:rPr>
                <w:sz w:val="20"/>
                <w:szCs w:val="20"/>
                <w:color w:val="auto"/>
              </w:rPr>
            </w:pPr>
            <w:r>
              <w:rPr>
                <w:rFonts w:ascii="Times New Roman" w:cs="Times New Roman" w:eastAsia="Times New Roman" w:hAnsi="Times New Roman"/>
                <w:sz w:val="4"/>
                <w:szCs w:val="4"/>
                <w:color w:val="auto"/>
              </w:rPr>
              <w:t>388,256</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4/3/2023</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10,518</w:t>
            </w:r>
          </w:p>
        </w:tc>
        <w:tc>
          <w:tcPr>
            <w:tcW w:w="94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286,721</w:t>
            </w:r>
          </w:p>
        </w:tc>
        <w:tc>
          <w:tcPr>
            <w:tcW w:w="0" w:type="dxa"/>
            <w:vAlign w:val="bottom"/>
          </w:tcPr>
          <w:p>
            <w:pPr>
              <w:spacing w:after="0"/>
              <w:rPr>
                <w:sz w:val="1"/>
                <w:szCs w:val="1"/>
                <w:color w:val="auto"/>
              </w:rPr>
            </w:pPr>
          </w:p>
        </w:tc>
      </w:tr>
      <w:tr>
        <w:trPr>
          <w:trHeight w:val="31"/>
        </w:trPr>
        <w:tc>
          <w:tcPr>
            <w:tcW w:w="660" w:type="dxa"/>
            <w:vAlign w:val="bottom"/>
            <w:shd w:val="clear" w:color="auto" w:fill="CCEEFF"/>
          </w:tcPr>
          <w:p>
            <w:pPr>
              <w:spacing w:after="0" w:line="31" w:lineRule="exact"/>
              <w:rPr>
                <w:sz w:val="20"/>
                <w:szCs w:val="20"/>
                <w:color w:val="auto"/>
              </w:rPr>
            </w:pPr>
            <w:r>
              <w:rPr>
                <w:rFonts w:ascii="Times New Roman" w:cs="Times New Roman" w:eastAsia="Times New Roman" w:hAnsi="Times New Roman"/>
                <w:sz w:val="3"/>
                <w:szCs w:val="3"/>
                <w:color w:val="auto"/>
              </w:rPr>
              <w:t>Henley</w:t>
            </w: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980" w:type="dxa"/>
            <w:vAlign w:val="bottom"/>
            <w:gridSpan w:val="2"/>
            <w:vMerge w:val="continue"/>
            <w:shd w:val="clear" w:color="auto" w:fill="CCEEFF"/>
          </w:tcPr>
          <w:p>
            <w:pPr>
              <w:spacing w:after="0"/>
              <w:rPr>
                <w:sz w:val="2"/>
                <w:szCs w:val="2"/>
                <w:color w:val="auto"/>
              </w:rPr>
            </w:pPr>
          </w:p>
        </w:tc>
        <w:tc>
          <w:tcPr>
            <w:tcW w:w="74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920" w:type="dxa"/>
            <w:vAlign w:val="bottom"/>
            <w:gridSpan w:val="2"/>
            <w:vMerge w:val="continue"/>
            <w:shd w:val="clear" w:color="auto" w:fill="CCEEFF"/>
          </w:tcPr>
          <w:p>
            <w:pPr>
              <w:spacing w:after="0"/>
              <w:rPr>
                <w:sz w:val="2"/>
                <w:szCs w:val="2"/>
                <w:color w:val="auto"/>
              </w:rPr>
            </w:pPr>
          </w:p>
        </w:tc>
        <w:tc>
          <w:tcPr>
            <w:tcW w:w="940" w:type="dxa"/>
            <w:vAlign w:val="bottom"/>
            <w:gridSpan w:val="2"/>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7/31/2023</w:t>
            </w:r>
            <w:r>
              <w:rPr>
                <w:rFonts w:ascii="Times New Roman" w:cs="Times New Roman" w:eastAsia="Times New Roman" w:hAnsi="Times New Roman"/>
                <w:sz w:val="14"/>
                <w:szCs w:val="14"/>
                <w:color w:val="auto"/>
                <w:w w:val="98"/>
              </w:rPr>
              <w:t>(5)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3,954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7,908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11,862</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293,150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00" w:hanging="298"/>
        <w:spacing w:after="0" w:line="230" w:lineRule="auto"/>
        <w:tabs>
          <w:tab w:leader="none" w:pos="300"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These amounts represent the potential non-equity compensation that would have been earned by each respective executive officer for 2023 service under the different achievement levels under their 2023 annual incentive opportunity, which are more fully discussed in “Compensation Discussion and Analysis,” pursuant to our 1998 Annual Incentive Plan. Under our current compensation structure, all non-equity incentive compensation is paid to the executive officer within the first four months of the year following the year in which service was rendered. The actual amount of non-equity incentive compensation that was paid to our named executive officers for 2023 service is set forth in the “Non-Equity Incentive Plan Compensation” column of the “Summary Compensation Table” above.</w:t>
      </w:r>
    </w:p>
    <w:p>
      <w:pPr>
        <w:spacing w:after="0" w:line="1" w:lineRule="exact"/>
        <w:rPr>
          <w:rFonts w:ascii="Times New Roman" w:cs="Times New Roman" w:eastAsia="Times New Roman" w:hAnsi="Times New Roman"/>
          <w:sz w:val="28"/>
          <w:szCs w:val="28"/>
          <w:color w:val="auto"/>
          <w:vertAlign w:val="superscript"/>
        </w:rPr>
      </w:pPr>
    </w:p>
    <w:p>
      <w:pPr>
        <w:ind w:left="300" w:hanging="298"/>
        <w:spacing w:after="0" w:line="185" w:lineRule="auto"/>
        <w:tabs>
          <w:tab w:leader="none" w:pos="30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See footnote (2) under “Summary Compensation Table” above for detail regarding the methodology used to calculate Grant Date Fair Value.</w:t>
      </w:r>
    </w:p>
    <w:p>
      <w:pPr>
        <w:spacing w:after="0" w:line="1" w:lineRule="exact"/>
        <w:rPr>
          <w:rFonts w:ascii="Times New Roman" w:cs="Times New Roman" w:eastAsia="Times New Roman" w:hAnsi="Times New Roman"/>
          <w:sz w:val="23"/>
          <w:szCs w:val="23"/>
          <w:color w:val="auto"/>
          <w:vertAlign w:val="superscript"/>
        </w:rPr>
      </w:pPr>
    </w:p>
    <w:p>
      <w:pPr>
        <w:jc w:val="both"/>
        <w:ind w:left="300" w:hanging="298"/>
        <w:spacing w:after="0" w:line="206" w:lineRule="auto"/>
        <w:tabs>
          <w:tab w:leader="none" w:pos="300"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PRSU awards are earned based on the Company’s TSR relative to its peer group during multiple performance periods spanning April 3, 2023 through April 3, 2026, and vest at the third anniversary of the grant date. Awards will be settled in equity, if earned. Refer to “Compensation Discussion and Analysis - 2023 Long-Term Incentive (LTIP) Awards” for additional details.</w:t>
      </w:r>
    </w:p>
    <w:p>
      <w:pPr>
        <w:spacing w:after="0" w:line="1" w:lineRule="exact"/>
        <w:rPr>
          <w:rFonts w:ascii="Times New Roman" w:cs="Times New Roman" w:eastAsia="Times New Roman" w:hAnsi="Times New Roman"/>
          <w:sz w:val="28"/>
          <w:szCs w:val="28"/>
          <w:color w:val="auto"/>
          <w:vertAlign w:val="superscript"/>
        </w:rPr>
      </w:pPr>
    </w:p>
    <w:p>
      <w:pPr>
        <w:jc w:val="both"/>
        <w:ind w:left="300" w:hanging="298"/>
        <w:spacing w:after="0" w:line="206" w:lineRule="auto"/>
        <w:tabs>
          <w:tab w:leader="none" w:pos="300"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RSU awards granted on April 3, 2023, vest in three equal installments on the first, second and third anniversary dates of the grant, subject to continued employment. Awards are settled in equity, but they do not have any rights of a shareholder with respect to any of the shares subject to the award until such units are vested.</w:t>
      </w:r>
    </w:p>
    <w:p>
      <w:pPr>
        <w:spacing w:after="0" w:line="2" w:lineRule="exact"/>
        <w:rPr>
          <w:rFonts w:ascii="Times New Roman" w:cs="Times New Roman" w:eastAsia="Times New Roman" w:hAnsi="Times New Roman"/>
          <w:sz w:val="28"/>
          <w:szCs w:val="28"/>
          <w:color w:val="auto"/>
          <w:vertAlign w:val="superscript"/>
        </w:rPr>
      </w:pPr>
    </w:p>
    <w:p>
      <w:pPr>
        <w:jc w:val="both"/>
        <w:ind w:left="300" w:hanging="298"/>
        <w:spacing w:after="0" w:line="206" w:lineRule="auto"/>
        <w:tabs>
          <w:tab w:leader="none" w:pos="300"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PRSU awards are earned based on the Company’s Total Shareholder Return relative to its peer group during the performance period spanning July 31, 2023 through July 31, 2024, and vesting on the anniversary of the grant date. Awards will be settled in equity, if earned. Refer to “Compensation Discussion and Analysis - 2023 Long-Term Incentive Program” for additional details.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6"/>
        </w:trPr>
        <w:tc>
          <w:tcPr>
            <w:tcW w:w="454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1056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outstanding equity awards at December 31, 2023 for Ocwen’s named executive officers.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auto"/>
              </w:rPr>
              <w:t>Equity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Plan</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or Payout</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Incentive Plan</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Incentive Plan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60" w:type="dxa"/>
            <w:vAlign w:val="bottom"/>
          </w:tcPr>
          <w:p>
            <w:pPr>
              <w:spacing w:after="0"/>
              <w:rPr>
                <w:sz w:val="18"/>
                <w:szCs w:val="18"/>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6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Shares or</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Units or</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60" w:type="dxa"/>
            <w:vAlign w:val="bottom"/>
          </w:tcPr>
          <w:p>
            <w:pPr>
              <w:spacing w:after="0"/>
              <w:rPr>
                <w:sz w:val="17"/>
                <w:szCs w:val="17"/>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Shares or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Units of</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Shares, Units</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60" w:type="dxa"/>
            <w:vAlign w:val="bottom"/>
          </w:tcPr>
          <w:p>
            <w:pPr>
              <w:spacing w:after="0"/>
              <w:rPr>
                <w:sz w:val="17"/>
                <w:szCs w:val="17"/>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Units of</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or Other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60" w:type="dxa"/>
            <w:vAlign w:val="bottom"/>
          </w:tcPr>
          <w:p>
            <w:pPr>
              <w:spacing w:after="0"/>
              <w:rPr>
                <w:sz w:val="17"/>
                <w:szCs w:val="17"/>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Stock That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That</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Rights That</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60" w:type="dxa"/>
            <w:vAlign w:val="bottom"/>
          </w:tcPr>
          <w:p>
            <w:pPr>
              <w:spacing w:after="0"/>
              <w:rPr>
                <w:sz w:val="17"/>
                <w:szCs w:val="17"/>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6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0" w:type="dxa"/>
            <w:vAlign w:val="bottom"/>
          </w:tcPr>
          <w:p>
            <w:pPr>
              <w:spacing w:after="0"/>
              <w:rPr>
                <w:sz w:val="1"/>
                <w:szCs w:val="1"/>
                <w:color w:val="auto"/>
              </w:rPr>
            </w:pPr>
          </w:p>
        </w:tc>
      </w:tr>
      <w:tr>
        <w:trPr>
          <w:trHeight w:val="262"/>
        </w:trPr>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780" w:type="dxa"/>
            <w:vAlign w:val="bottom"/>
            <w:gridSpan w:val="2"/>
          </w:tcPr>
          <w:p>
            <w:pPr>
              <w:jc w:val="center"/>
              <w:ind w:left="464"/>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2"/>
          </w:tcPr>
          <w:p>
            <w:pPr>
              <w:jc w:val="center"/>
              <w:ind w:left="167"/>
              <w:spacing w:after="0" w:line="255"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(1)</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b w:val="1"/>
                <w:bCs w:val="1"/>
                <w:color w:val="auto"/>
                <w:w w:val="91"/>
                <w:vertAlign w:val="superscript"/>
              </w:rPr>
              <w:t>(2)</w:t>
            </w:r>
          </w:p>
        </w:tc>
        <w:tc>
          <w:tcPr>
            <w:tcW w:w="3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Expiration Date</w:t>
            </w:r>
          </w:p>
        </w:tc>
        <w:tc>
          <w:tcPr>
            <w:tcW w:w="960" w:type="dxa"/>
            <w:vAlign w:val="bottom"/>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(1)</w:t>
            </w:r>
          </w:p>
        </w:tc>
        <w:tc>
          <w:tcPr>
            <w:tcW w:w="280" w:type="dxa"/>
            <w:vAlign w:val="bottom"/>
          </w:tcPr>
          <w:p>
            <w:pPr>
              <w:spacing w:after="0"/>
              <w:rPr>
                <w:sz w:val="22"/>
                <w:szCs w:val="22"/>
                <w:color w:val="auto"/>
              </w:rPr>
            </w:pPr>
          </w:p>
        </w:tc>
        <w:tc>
          <w:tcPr>
            <w:tcW w:w="760" w:type="dxa"/>
            <w:vAlign w:val="bottom"/>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(3)</w:t>
            </w:r>
          </w:p>
        </w:tc>
        <w:tc>
          <w:tcPr>
            <w:tcW w:w="100" w:type="dxa"/>
            <w:vAlign w:val="bottom"/>
          </w:tcPr>
          <w:p>
            <w:pPr>
              <w:spacing w:after="0"/>
              <w:rPr>
                <w:sz w:val="22"/>
                <w:szCs w:val="22"/>
                <w:color w:val="auto"/>
              </w:rPr>
            </w:pPr>
          </w:p>
        </w:tc>
        <w:tc>
          <w:tcPr>
            <w:tcW w:w="1120" w:type="dxa"/>
            <w:vAlign w:val="bottom"/>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(4)</w:t>
            </w:r>
          </w:p>
        </w:tc>
        <w:tc>
          <w:tcPr>
            <w:tcW w:w="300" w:type="dxa"/>
            <w:vAlign w:val="bottom"/>
          </w:tcPr>
          <w:p>
            <w:pPr>
              <w:spacing w:after="0"/>
              <w:rPr>
                <w:sz w:val="22"/>
                <w:szCs w:val="22"/>
                <w:color w:val="auto"/>
              </w:rPr>
            </w:pPr>
          </w:p>
        </w:tc>
        <w:tc>
          <w:tcPr>
            <w:tcW w:w="740" w:type="dxa"/>
            <w:vAlign w:val="bottom"/>
          </w:tcPr>
          <w:p>
            <w:pPr>
              <w:jc w:val="center"/>
              <w:spacing w:after="0" w:line="255"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10/4/2028</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0" w:type="dxa"/>
            <w:vAlign w:val="bottom"/>
            <w:gridSpan w:val="2"/>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1120" w:type="dxa"/>
            <w:vAlign w:val="bottom"/>
            <w:gridSpan w:val="4"/>
            <w:shd w:val="clear" w:color="auto" w:fill="CCEEFF"/>
          </w:tcPr>
          <w:p>
            <w:pPr>
              <w:jc w:val="right"/>
              <w:ind w:right="40"/>
              <w:spacing w:after="0" w:line="27"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2"/>
                <w:szCs w:val="2"/>
                <w:color w:val="auto"/>
              </w:rPr>
            </w:pPr>
          </w:p>
        </w:tc>
        <w:tc>
          <w:tcPr>
            <w:tcW w:w="1060" w:type="dxa"/>
            <w:vAlign w:val="bottom"/>
            <w:gridSpan w:val="2"/>
            <w:shd w:val="clear" w:color="auto" w:fill="CCEEFF"/>
          </w:tcPr>
          <w:p>
            <w:pPr>
              <w:jc w:val="right"/>
              <w:ind w:right="100"/>
              <w:spacing w:after="0" w:line="27"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shd w:val="clear" w:color="auto" w:fill="CCEEFF"/>
          </w:tcPr>
          <w:p>
            <w:pPr>
              <w:jc w:val="right"/>
              <w:ind w:right="100"/>
              <w:spacing w:after="0" w:line="27"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shd w:val="clear" w:color="auto" w:fill="CCEEFF"/>
          </w:tcPr>
          <w:p>
            <w:pPr>
              <w:jc w:val="right"/>
              <w:ind w:right="280"/>
              <w:spacing w:after="0" w:line="27" w:lineRule="exact"/>
              <w:rPr>
                <w:sz w:val="20"/>
                <w:szCs w:val="20"/>
                <w:color w:val="auto"/>
              </w:rPr>
            </w:pPr>
            <w:r>
              <w:rPr>
                <w:rFonts w:ascii="Times New Roman" w:cs="Times New Roman" w:eastAsia="Times New Roman" w:hAnsi="Times New Roman"/>
                <w:sz w:val="3"/>
                <w:szCs w:val="3"/>
                <w:color w:val="auto"/>
              </w:rPr>
              <w:t>19,196</w:t>
            </w:r>
          </w:p>
        </w:tc>
        <w:tc>
          <w:tcPr>
            <w:tcW w:w="760" w:type="dxa"/>
            <w:vAlign w:val="bottom"/>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590,469</w:t>
            </w:r>
          </w:p>
        </w:tc>
        <w:tc>
          <w:tcPr>
            <w:tcW w:w="100" w:type="dxa"/>
            <w:vAlign w:val="bottom"/>
            <w:shd w:val="clear" w:color="auto" w:fill="CCEEFF"/>
          </w:tcPr>
          <w:p>
            <w:pPr>
              <w:spacing w:after="0"/>
              <w:rPr>
                <w:sz w:val="2"/>
                <w:szCs w:val="2"/>
                <w:color w:val="auto"/>
              </w:rPr>
            </w:pPr>
          </w:p>
        </w:tc>
        <w:tc>
          <w:tcPr>
            <w:tcW w:w="1420" w:type="dxa"/>
            <w:vAlign w:val="bottom"/>
            <w:gridSpan w:val="2"/>
            <w:shd w:val="clear" w:color="auto" w:fill="CCEEFF"/>
          </w:tcPr>
          <w:p>
            <w:pPr>
              <w:jc w:val="right"/>
              <w:ind w:right="300"/>
              <w:spacing w:after="0" w:line="27" w:lineRule="exact"/>
              <w:rPr>
                <w:sz w:val="20"/>
                <w:szCs w:val="20"/>
                <w:color w:val="auto"/>
              </w:rPr>
            </w:pPr>
            <w:r>
              <w:rPr>
                <w:rFonts w:ascii="Times New Roman" w:cs="Times New Roman" w:eastAsia="Times New Roman" w:hAnsi="Times New Roman"/>
                <w:sz w:val="3"/>
                <w:szCs w:val="3"/>
                <w:color w:val="auto"/>
              </w:rPr>
              <w:t>-</w:t>
            </w:r>
          </w:p>
        </w:tc>
        <w:tc>
          <w:tcPr>
            <w:tcW w:w="740" w:type="dxa"/>
            <w:vAlign w:val="bottom"/>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1120" w:type="dxa"/>
            <w:vAlign w:val="bottom"/>
            <w:gridSpan w:val="4"/>
            <w:shd w:val="clear" w:color="auto" w:fill="CCEEFF"/>
          </w:tcPr>
          <w:p>
            <w:pPr>
              <w:jc w:val="right"/>
              <w:ind w:right="40"/>
              <w:spacing w:after="0" w:line="33"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2"/>
                <w:szCs w:val="2"/>
                <w:color w:val="auto"/>
              </w:rPr>
            </w:pPr>
          </w:p>
        </w:tc>
        <w:tc>
          <w:tcPr>
            <w:tcW w:w="106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shd w:val="clear" w:color="auto" w:fill="CCEEFF"/>
          </w:tcPr>
          <w:p>
            <w:pPr>
              <w:jc w:val="right"/>
              <w:ind w:right="280"/>
              <w:spacing w:after="0" w:line="33" w:lineRule="exact"/>
              <w:rPr>
                <w:sz w:val="20"/>
                <w:szCs w:val="20"/>
                <w:color w:val="auto"/>
              </w:rPr>
            </w:pPr>
            <w:r>
              <w:rPr>
                <w:rFonts w:ascii="Times New Roman" w:cs="Times New Roman" w:eastAsia="Times New Roman" w:hAnsi="Times New Roman"/>
                <w:sz w:val="3"/>
                <w:szCs w:val="3"/>
                <w:color w:val="auto"/>
              </w:rPr>
              <w:t>49,020</w:t>
            </w:r>
          </w:p>
        </w:tc>
        <w:tc>
          <w:tcPr>
            <w:tcW w:w="76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1,507,855</w:t>
            </w:r>
          </w:p>
        </w:tc>
        <w:tc>
          <w:tcPr>
            <w:tcW w:w="100" w:type="dxa"/>
            <w:vAlign w:val="bottom"/>
            <w:shd w:val="clear" w:color="auto" w:fill="CCEEFF"/>
          </w:tcPr>
          <w:p>
            <w:pPr>
              <w:spacing w:after="0"/>
              <w:rPr>
                <w:sz w:val="2"/>
                <w:szCs w:val="2"/>
                <w:color w:val="auto"/>
              </w:rPr>
            </w:pPr>
          </w:p>
        </w:tc>
        <w:tc>
          <w:tcPr>
            <w:tcW w:w="1420" w:type="dxa"/>
            <w:vAlign w:val="bottom"/>
            <w:gridSpan w:val="2"/>
            <w:shd w:val="clear" w:color="auto" w:fill="CCEEFF"/>
          </w:tcPr>
          <w:p>
            <w:pPr>
              <w:jc w:val="right"/>
              <w:ind w:right="300"/>
              <w:spacing w:after="0" w:line="33" w:lineRule="exact"/>
              <w:rPr>
                <w:sz w:val="20"/>
                <w:szCs w:val="20"/>
                <w:color w:val="auto"/>
              </w:rPr>
            </w:pPr>
            <w:r>
              <w:rPr>
                <w:rFonts w:ascii="Times New Roman" w:cs="Times New Roman" w:eastAsia="Times New Roman" w:hAnsi="Times New Roman"/>
                <w:sz w:val="3"/>
                <w:szCs w:val="3"/>
                <w:color w:val="auto"/>
              </w:rPr>
              <w:t>-</w:t>
            </w:r>
          </w:p>
        </w:tc>
        <w:tc>
          <w:tcPr>
            <w:tcW w:w="780" w:type="dxa"/>
            <w:vAlign w:val="bottom"/>
            <w:gridSpan w:val="2"/>
            <w:shd w:val="clear" w:color="auto" w:fill="CCEEFF"/>
          </w:tcPr>
          <w:p>
            <w:pPr>
              <w:jc w:val="right"/>
              <w:ind w:right="40"/>
              <w:spacing w:after="0" w:line="33" w:lineRule="exact"/>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(6)</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Glen A.</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6"/>
                <w:szCs w:val="16"/>
                <w:color w:val="auto"/>
              </w:rPr>
            </w:pPr>
          </w:p>
        </w:tc>
        <w:tc>
          <w:tcPr>
            <w:tcW w:w="112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70,126</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2,157,076</w:t>
            </w:r>
          </w:p>
        </w:tc>
        <w:tc>
          <w:tcPr>
            <w:tcW w:w="10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
        </w:trPr>
        <w:tc>
          <w:tcPr>
            <w:tcW w:w="660" w:type="dxa"/>
            <w:vAlign w:val="bottom"/>
            <w:shd w:val="clear" w:color="auto" w:fill="CCEEFF"/>
          </w:tcPr>
          <w:p>
            <w:pPr>
              <w:jc w:val="center"/>
              <w:spacing w:after="0" w:line="31" w:lineRule="exact"/>
              <w:rPr>
                <w:sz w:val="20"/>
                <w:szCs w:val="20"/>
                <w:color w:val="auto"/>
              </w:rPr>
            </w:pPr>
            <w:r>
              <w:rPr>
                <w:rFonts w:ascii="Times New Roman" w:cs="Times New Roman" w:eastAsia="Times New Roman" w:hAnsi="Times New Roman"/>
                <w:sz w:val="3"/>
                <w:szCs w:val="3"/>
                <w:color w:val="auto"/>
              </w:rPr>
              <w:t>Messina</w:t>
            </w: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vMerge w:val="continue"/>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20" w:type="dxa"/>
            <w:vAlign w:val="bottom"/>
            <w:gridSpan w:val="4"/>
            <w:vMerge w:val="continue"/>
            <w:shd w:val="clear" w:color="auto" w:fill="CCEEFF"/>
          </w:tcPr>
          <w:p>
            <w:pPr>
              <w:spacing w:after="0"/>
              <w:rPr>
                <w:sz w:val="2"/>
                <w:szCs w:val="2"/>
                <w:color w:val="auto"/>
              </w:rPr>
            </w:pPr>
          </w:p>
        </w:tc>
        <w:tc>
          <w:tcPr>
            <w:tcW w:w="1160" w:type="dxa"/>
            <w:vAlign w:val="bottom"/>
            <w:gridSpan w:val="2"/>
            <w:vMerge w:val="continue"/>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gridSpan w:val="2"/>
            <w:vMerge w:val="continue"/>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1240" w:type="dxa"/>
            <w:vAlign w:val="bottom"/>
            <w:gridSpan w:val="2"/>
            <w:vMerge w:val="continue"/>
            <w:shd w:val="clear" w:color="auto" w:fill="CCEEFF"/>
          </w:tcPr>
          <w:p>
            <w:pPr>
              <w:spacing w:after="0"/>
              <w:rPr>
                <w:sz w:val="2"/>
                <w:szCs w:val="2"/>
                <w:color w:val="auto"/>
              </w:rPr>
            </w:pPr>
          </w:p>
        </w:tc>
        <w:tc>
          <w:tcPr>
            <w:tcW w:w="76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7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115,174</w:t>
            </w:r>
            <w:r>
              <w:rPr>
                <w:rFonts w:ascii="Times New Roman" w:cs="Times New Roman" w:eastAsia="Times New Roman" w:hAnsi="Times New Roman"/>
                <w:sz w:val="14"/>
                <w:szCs w:val="14"/>
                <w:color w:val="auto"/>
              </w:rPr>
              <w:t>(8)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3,542,752</w:t>
            </w: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60" w:type="dxa"/>
            <w:vAlign w:val="bottom"/>
            <w:gridSpan w:val="3"/>
            <w:shd w:val="clear" w:color="auto" w:fill="CCEEFF"/>
          </w:tcPr>
          <w:p>
            <w:pPr>
              <w:jc w:val="right"/>
              <w:ind w:right="40"/>
              <w:spacing w:after="0" w:line="27"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2"/>
                <w:szCs w:val="2"/>
                <w:color w:val="auto"/>
              </w:rPr>
            </w:pPr>
          </w:p>
        </w:tc>
        <w:tc>
          <w:tcPr>
            <w:tcW w:w="1060" w:type="dxa"/>
            <w:vAlign w:val="bottom"/>
            <w:gridSpan w:val="2"/>
            <w:shd w:val="clear" w:color="auto" w:fill="CCEEFF"/>
          </w:tcPr>
          <w:p>
            <w:pPr>
              <w:jc w:val="right"/>
              <w:ind w:right="100"/>
              <w:spacing w:after="0" w:line="27"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shd w:val="clear" w:color="auto" w:fill="CCEEFF"/>
          </w:tcPr>
          <w:p>
            <w:pPr>
              <w:jc w:val="right"/>
              <w:ind w:right="100"/>
              <w:spacing w:after="0" w:line="27"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shd w:val="clear" w:color="auto" w:fill="CCEEFF"/>
          </w:tcPr>
          <w:p>
            <w:pPr>
              <w:jc w:val="right"/>
              <w:ind w:right="280"/>
              <w:spacing w:after="0" w:line="27" w:lineRule="exact"/>
              <w:rPr>
                <w:sz w:val="20"/>
                <w:szCs w:val="20"/>
                <w:color w:val="auto"/>
              </w:rPr>
            </w:pPr>
            <w:r>
              <w:rPr>
                <w:rFonts w:ascii="Times New Roman" w:cs="Times New Roman" w:eastAsia="Times New Roman" w:hAnsi="Times New Roman"/>
                <w:sz w:val="3"/>
                <w:szCs w:val="3"/>
                <w:color w:val="auto"/>
              </w:rPr>
              <w:t>-</w:t>
            </w:r>
          </w:p>
        </w:tc>
        <w:tc>
          <w:tcPr>
            <w:tcW w:w="760" w:type="dxa"/>
            <w:vAlign w:val="bottom"/>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2"/>
                <w:szCs w:val="2"/>
                <w:color w:val="auto"/>
              </w:rPr>
            </w:pPr>
          </w:p>
        </w:tc>
        <w:tc>
          <w:tcPr>
            <w:tcW w:w="1420" w:type="dxa"/>
            <w:vAlign w:val="bottom"/>
            <w:gridSpan w:val="2"/>
            <w:shd w:val="clear" w:color="auto" w:fill="CCEEFF"/>
          </w:tcPr>
          <w:p>
            <w:pPr>
              <w:jc w:val="right"/>
              <w:ind w:right="300"/>
              <w:spacing w:after="0" w:line="27" w:lineRule="exact"/>
              <w:rPr>
                <w:sz w:val="20"/>
                <w:szCs w:val="20"/>
                <w:color w:val="auto"/>
              </w:rPr>
            </w:pPr>
            <w:r>
              <w:rPr>
                <w:rFonts w:ascii="Times New Roman" w:cs="Times New Roman" w:eastAsia="Times New Roman" w:hAnsi="Times New Roman"/>
                <w:sz w:val="3"/>
                <w:szCs w:val="3"/>
                <w:color w:val="auto"/>
              </w:rPr>
              <w:t>73,529</w:t>
            </w:r>
          </w:p>
        </w:tc>
        <w:tc>
          <w:tcPr>
            <w:tcW w:w="780" w:type="dxa"/>
            <w:vAlign w:val="bottom"/>
            <w:gridSpan w:val="2"/>
            <w:shd w:val="clear" w:color="auto" w:fill="CCEEFF"/>
          </w:tcPr>
          <w:p>
            <w:pPr>
              <w:jc w:val="right"/>
              <w:ind w:right="40"/>
              <w:spacing w:after="0" w:line="27" w:lineRule="exact"/>
              <w:rPr>
                <w:sz w:val="20"/>
                <w:szCs w:val="20"/>
                <w:color w:val="auto"/>
              </w:rPr>
            </w:pPr>
            <w:r>
              <w:rPr>
                <w:rFonts w:ascii="Times New Roman" w:cs="Times New Roman" w:eastAsia="Times New Roman" w:hAnsi="Times New Roman"/>
                <w:sz w:val="3"/>
                <w:szCs w:val="3"/>
                <w:color w:val="auto"/>
              </w:rPr>
              <w:t>2,261,752</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(9)</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gridSpan w:val="2"/>
            <w:shd w:val="clear" w:color="auto" w:fill="CCEEFF"/>
          </w:tcPr>
          <w:p>
            <w:pPr>
              <w:jc w:val="right"/>
              <w:ind w:right="40"/>
              <w:spacing w:after="0" w:line="33"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2"/>
                <w:szCs w:val="2"/>
                <w:color w:val="auto"/>
              </w:rPr>
            </w:pPr>
          </w:p>
        </w:tc>
        <w:tc>
          <w:tcPr>
            <w:tcW w:w="106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shd w:val="clear" w:color="auto" w:fill="CCEEFF"/>
          </w:tcPr>
          <w:p>
            <w:pPr>
              <w:jc w:val="right"/>
              <w:ind w:right="280"/>
              <w:spacing w:after="0" w:line="33" w:lineRule="exact"/>
              <w:rPr>
                <w:sz w:val="20"/>
                <w:szCs w:val="20"/>
                <w:color w:val="auto"/>
              </w:rPr>
            </w:pPr>
            <w:r>
              <w:rPr>
                <w:rFonts w:ascii="Times New Roman" w:cs="Times New Roman" w:eastAsia="Times New Roman" w:hAnsi="Times New Roman"/>
                <w:sz w:val="3"/>
                <w:szCs w:val="3"/>
                <w:color w:val="auto"/>
              </w:rPr>
              <w:t>-</w:t>
            </w:r>
          </w:p>
        </w:tc>
        <w:tc>
          <w:tcPr>
            <w:tcW w:w="76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2"/>
                <w:szCs w:val="2"/>
                <w:color w:val="auto"/>
              </w:rPr>
            </w:pPr>
          </w:p>
        </w:tc>
        <w:tc>
          <w:tcPr>
            <w:tcW w:w="1420" w:type="dxa"/>
            <w:vAlign w:val="bottom"/>
            <w:gridSpan w:val="2"/>
            <w:shd w:val="clear" w:color="auto" w:fill="CCEEFF"/>
          </w:tcPr>
          <w:p>
            <w:pPr>
              <w:jc w:val="right"/>
              <w:ind w:right="300"/>
              <w:spacing w:after="0" w:line="33" w:lineRule="exact"/>
              <w:rPr>
                <w:sz w:val="20"/>
                <w:szCs w:val="20"/>
                <w:color w:val="auto"/>
              </w:rPr>
            </w:pPr>
            <w:r>
              <w:rPr>
                <w:rFonts w:ascii="Times New Roman" w:cs="Times New Roman" w:eastAsia="Times New Roman" w:hAnsi="Times New Roman"/>
                <w:sz w:val="3"/>
                <w:szCs w:val="3"/>
                <w:color w:val="auto"/>
              </w:rPr>
              <w:t>35,063</w:t>
            </w:r>
          </w:p>
        </w:tc>
        <w:tc>
          <w:tcPr>
            <w:tcW w:w="780" w:type="dxa"/>
            <w:vAlign w:val="bottom"/>
            <w:gridSpan w:val="2"/>
            <w:shd w:val="clear" w:color="auto" w:fill="CCEEFF"/>
          </w:tcPr>
          <w:p>
            <w:pPr>
              <w:jc w:val="right"/>
              <w:ind w:right="40"/>
              <w:spacing w:after="0" w:line="33" w:lineRule="exact"/>
              <w:rPr>
                <w:sz w:val="20"/>
                <w:szCs w:val="20"/>
                <w:color w:val="auto"/>
              </w:rPr>
            </w:pPr>
            <w:r>
              <w:rPr>
                <w:rFonts w:ascii="Times New Roman" w:cs="Times New Roman" w:eastAsia="Times New Roman" w:hAnsi="Times New Roman"/>
                <w:sz w:val="3"/>
                <w:szCs w:val="3"/>
                <w:color w:val="auto"/>
              </w:rPr>
              <w:t>1,078,538</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gridSpan w:val="2"/>
            <w:shd w:val="clear" w:color="auto" w:fill="CCEEFF"/>
          </w:tcPr>
          <w:p>
            <w:pPr>
              <w:jc w:val="right"/>
              <w:ind w:right="40"/>
              <w:spacing w:after="0" w:line="33"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2"/>
                <w:szCs w:val="2"/>
                <w:color w:val="auto"/>
              </w:rPr>
            </w:pPr>
          </w:p>
        </w:tc>
        <w:tc>
          <w:tcPr>
            <w:tcW w:w="106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shd w:val="clear" w:color="auto" w:fill="CCEEFF"/>
          </w:tcPr>
          <w:p>
            <w:pPr>
              <w:jc w:val="right"/>
              <w:ind w:right="280"/>
              <w:spacing w:after="0" w:line="33" w:lineRule="exact"/>
              <w:rPr>
                <w:sz w:val="20"/>
                <w:szCs w:val="20"/>
                <w:color w:val="auto"/>
              </w:rPr>
            </w:pPr>
            <w:r>
              <w:rPr>
                <w:rFonts w:ascii="Times New Roman" w:cs="Times New Roman" w:eastAsia="Times New Roman" w:hAnsi="Times New Roman"/>
                <w:sz w:val="3"/>
                <w:szCs w:val="3"/>
                <w:color w:val="auto"/>
              </w:rPr>
              <w:t>-</w:t>
            </w:r>
          </w:p>
        </w:tc>
        <w:tc>
          <w:tcPr>
            <w:tcW w:w="76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2"/>
                <w:szCs w:val="2"/>
                <w:color w:val="auto"/>
              </w:rPr>
            </w:pPr>
          </w:p>
        </w:tc>
        <w:tc>
          <w:tcPr>
            <w:tcW w:w="1420" w:type="dxa"/>
            <w:vAlign w:val="bottom"/>
            <w:gridSpan w:val="2"/>
            <w:shd w:val="clear" w:color="auto" w:fill="CCEEFF"/>
          </w:tcPr>
          <w:p>
            <w:pPr>
              <w:jc w:val="right"/>
              <w:ind w:right="300"/>
              <w:spacing w:after="0" w:line="33" w:lineRule="exact"/>
              <w:rPr>
                <w:sz w:val="20"/>
                <w:szCs w:val="20"/>
                <w:color w:val="auto"/>
              </w:rPr>
            </w:pPr>
            <w:r>
              <w:rPr>
                <w:rFonts w:ascii="Times New Roman" w:cs="Times New Roman" w:eastAsia="Times New Roman" w:hAnsi="Times New Roman"/>
                <w:sz w:val="3"/>
                <w:szCs w:val="3"/>
                <w:color w:val="auto"/>
              </w:rPr>
              <w:t>14,349</w:t>
            </w:r>
          </w:p>
        </w:tc>
        <w:tc>
          <w:tcPr>
            <w:tcW w:w="780" w:type="dxa"/>
            <w:vAlign w:val="bottom"/>
            <w:gridSpan w:val="2"/>
            <w:shd w:val="clear" w:color="auto" w:fill="CCEEFF"/>
          </w:tcPr>
          <w:p>
            <w:pPr>
              <w:jc w:val="right"/>
              <w:ind w:right="40"/>
              <w:spacing w:after="0" w:line="33" w:lineRule="exact"/>
              <w:rPr>
                <w:sz w:val="20"/>
                <w:szCs w:val="20"/>
                <w:color w:val="auto"/>
              </w:rPr>
            </w:pPr>
            <w:r>
              <w:rPr>
                <w:rFonts w:ascii="Times New Roman" w:cs="Times New Roman" w:eastAsia="Times New Roman" w:hAnsi="Times New Roman"/>
                <w:sz w:val="3"/>
                <w:szCs w:val="3"/>
                <w:color w:val="auto"/>
              </w:rPr>
              <w:t>441,375</w:t>
            </w:r>
          </w:p>
        </w:tc>
        <w:tc>
          <w:tcPr>
            <w:tcW w:w="0" w:type="dxa"/>
            <w:vAlign w:val="bottom"/>
          </w:tcPr>
          <w:p>
            <w:pPr>
              <w:spacing w:after="0" w:line="20" w:lineRule="exact"/>
              <w:rPr>
                <w:sz w:val="1"/>
                <w:szCs w:val="1"/>
                <w:color w:val="auto"/>
              </w:rPr>
            </w:pPr>
          </w:p>
        </w:tc>
      </w:tr>
      <w:tr>
        <w:trPr>
          <w:trHeight w:val="191"/>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(11)</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8,730</w:t>
            </w:r>
            <w:r>
              <w:rPr>
                <w:rFonts w:ascii="Times New Roman" w:cs="Times New Roman" w:eastAsia="Times New Roman" w:hAnsi="Times New Roman"/>
                <w:sz w:val="14"/>
                <w:szCs w:val="14"/>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268,535</w:t>
            </w:r>
          </w:p>
        </w:tc>
        <w:tc>
          <w:tcPr>
            <w:tcW w:w="10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11,395</w:t>
            </w:r>
            <w:r>
              <w:rPr>
                <w:rFonts w:ascii="Times New Roman" w:cs="Times New Roman" w:eastAsia="Times New Roman" w:hAnsi="Times New Roman"/>
                <w:sz w:val="14"/>
                <w:szCs w:val="14"/>
                <w:color w:val="auto"/>
              </w:rPr>
              <w:t>(7)</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350,510</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260" w:type="dxa"/>
            <w:vAlign w:val="bottom"/>
            <w:gridSpan w:val="3"/>
          </w:tcPr>
          <w:p>
            <w:pPr>
              <w:jc w:val="right"/>
              <w:spacing w:after="0" w:line="31"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tcPr>
          <w:p>
            <w:pPr>
              <w:spacing w:after="0"/>
              <w:rPr>
                <w:sz w:val="2"/>
                <w:szCs w:val="2"/>
                <w:color w:val="auto"/>
              </w:rPr>
            </w:pPr>
          </w:p>
        </w:tc>
        <w:tc>
          <w:tcPr>
            <w:tcW w:w="1120" w:type="dxa"/>
            <w:vAlign w:val="bottom"/>
            <w:gridSpan w:val="4"/>
          </w:tcPr>
          <w:p>
            <w:pPr>
              <w:jc w:val="right"/>
              <w:ind w:right="40"/>
              <w:spacing w:after="0" w:line="31"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tcPr>
          <w:p>
            <w:pPr>
              <w:jc w:val="right"/>
              <w:spacing w:after="0" w:line="31"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tcPr>
          <w:p>
            <w:pPr>
              <w:spacing w:after="0"/>
              <w:rPr>
                <w:sz w:val="2"/>
                <w:szCs w:val="2"/>
                <w:color w:val="auto"/>
              </w:rPr>
            </w:pPr>
          </w:p>
        </w:tc>
        <w:tc>
          <w:tcPr>
            <w:tcW w:w="1060" w:type="dxa"/>
            <w:vAlign w:val="bottom"/>
            <w:gridSpan w:val="2"/>
          </w:tcPr>
          <w:p>
            <w:pPr>
              <w:jc w:val="right"/>
              <w:ind w:right="100"/>
              <w:spacing w:after="0" w:line="31"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tcPr>
          <w:p>
            <w:pPr>
              <w:jc w:val="right"/>
              <w:ind w:right="100"/>
              <w:spacing w:after="0" w:line="31"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tcPr>
          <w:p>
            <w:pPr>
              <w:jc w:val="right"/>
              <w:ind w:right="280"/>
              <w:spacing w:after="0" w:line="31" w:lineRule="exact"/>
              <w:rPr>
                <w:sz w:val="20"/>
                <w:szCs w:val="20"/>
                <w:color w:val="auto"/>
              </w:rPr>
            </w:pPr>
            <w:r>
              <w:rPr>
                <w:rFonts w:ascii="Times New Roman" w:cs="Times New Roman" w:eastAsia="Times New Roman" w:hAnsi="Times New Roman"/>
                <w:sz w:val="3"/>
                <w:szCs w:val="3"/>
                <w:color w:val="auto"/>
              </w:rPr>
              <w:t>38,660</w:t>
            </w:r>
          </w:p>
        </w:tc>
        <w:tc>
          <w:tcPr>
            <w:tcW w:w="760" w:type="dxa"/>
            <w:vAlign w:val="bottom"/>
          </w:tcPr>
          <w:p>
            <w:pPr>
              <w:jc w:val="right"/>
              <w:spacing w:after="0" w:line="31" w:lineRule="exact"/>
              <w:rPr>
                <w:sz w:val="20"/>
                <w:szCs w:val="20"/>
                <w:color w:val="auto"/>
              </w:rPr>
            </w:pPr>
            <w:r>
              <w:rPr>
                <w:rFonts w:ascii="Times New Roman" w:cs="Times New Roman" w:eastAsia="Times New Roman" w:hAnsi="Times New Roman"/>
                <w:sz w:val="3"/>
                <w:szCs w:val="3"/>
                <w:color w:val="auto"/>
              </w:rPr>
              <w:t>1,189,182</w:t>
            </w:r>
          </w:p>
        </w:tc>
        <w:tc>
          <w:tcPr>
            <w:tcW w:w="100" w:type="dxa"/>
            <w:vAlign w:val="bottom"/>
          </w:tcPr>
          <w:p>
            <w:pPr>
              <w:spacing w:after="0"/>
              <w:rPr>
                <w:sz w:val="2"/>
                <w:szCs w:val="2"/>
                <w:color w:val="auto"/>
              </w:rPr>
            </w:pPr>
          </w:p>
        </w:tc>
        <w:tc>
          <w:tcPr>
            <w:tcW w:w="1420" w:type="dxa"/>
            <w:vAlign w:val="bottom"/>
            <w:gridSpan w:val="2"/>
          </w:tcPr>
          <w:p>
            <w:pPr>
              <w:jc w:val="right"/>
              <w:ind w:right="300"/>
              <w:spacing w:after="0" w:line="31" w:lineRule="exact"/>
              <w:rPr>
                <w:sz w:val="20"/>
                <w:szCs w:val="20"/>
                <w:color w:val="auto"/>
              </w:rPr>
            </w:pPr>
            <w:r>
              <w:rPr>
                <w:rFonts w:ascii="Times New Roman" w:cs="Times New Roman" w:eastAsia="Times New Roman" w:hAnsi="Times New Roman"/>
                <w:sz w:val="3"/>
                <w:szCs w:val="3"/>
                <w:color w:val="auto"/>
              </w:rPr>
              <w:t>-</w:t>
            </w:r>
          </w:p>
        </w:tc>
        <w:tc>
          <w:tcPr>
            <w:tcW w:w="780" w:type="dxa"/>
            <w:vAlign w:val="bottom"/>
            <w:gridSpan w:val="2"/>
          </w:tcPr>
          <w:p>
            <w:pPr>
              <w:jc w:val="right"/>
              <w:ind w:right="40"/>
              <w:spacing w:after="0" w:line="31" w:lineRule="exact"/>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line="20" w:lineRule="exact"/>
              <w:rPr>
                <w:sz w:val="1"/>
                <w:szCs w:val="1"/>
                <w:color w:val="auto"/>
              </w:rPr>
            </w:pPr>
          </w:p>
        </w:tc>
      </w:tr>
      <w:tr>
        <w:trPr>
          <w:trHeight w:val="174"/>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(12)</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Sean B.</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1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auto"/>
              </w:rPr>
              <w:t>13,094</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402,771</w:t>
            </w:r>
          </w:p>
        </w:tc>
        <w:tc>
          <w:tcPr>
            <w:tcW w:w="0" w:type="dxa"/>
            <w:vAlign w:val="bottom"/>
          </w:tcPr>
          <w:p>
            <w:pPr>
              <w:spacing w:after="0"/>
              <w:rPr>
                <w:sz w:val="1"/>
                <w:szCs w:val="1"/>
                <w:color w:val="auto"/>
              </w:rPr>
            </w:pPr>
          </w:p>
        </w:tc>
      </w:tr>
      <w:tr>
        <w:trPr>
          <w:trHeight w:val="31"/>
        </w:trPr>
        <w:tc>
          <w:tcPr>
            <w:tcW w:w="66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O’Neil</w:t>
            </w:r>
          </w:p>
        </w:tc>
        <w:tc>
          <w:tcPr>
            <w:tcW w:w="12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(9)</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5,698</w:t>
            </w:r>
            <w:r>
              <w:rPr>
                <w:rFonts w:ascii="Times New Roman" w:cs="Times New Roman" w:eastAsia="Times New Roman" w:hAnsi="Times New Roman"/>
                <w:sz w:val="14"/>
                <w:szCs w:val="14"/>
                <w:color w:val="auto"/>
              </w:rPr>
              <w:t>(10)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175,270</w:t>
            </w: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4,815</w:t>
            </w:r>
            <w:r>
              <w:rPr>
                <w:rFonts w:ascii="Times New Roman" w:cs="Times New Roman" w:eastAsia="Times New Roman" w:hAnsi="Times New Roman"/>
                <w:sz w:val="14"/>
                <w:szCs w:val="14"/>
                <w:color w:val="auto"/>
              </w:rPr>
              <w:t>(11)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148,109</w:t>
            </w: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300" w:type="dxa"/>
            <w:vAlign w:val="bottom"/>
            <w:gridSpan w:val="4"/>
          </w:tcPr>
          <w:p>
            <w:pPr>
              <w:spacing w:after="0"/>
              <w:rPr>
                <w:sz w:val="18"/>
                <w:szCs w:val="18"/>
                <w:color w:val="auto"/>
              </w:rPr>
            </w:pPr>
          </w:p>
        </w:tc>
        <w:tc>
          <w:tcPr>
            <w:tcW w:w="10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17"/>
                <w:szCs w:val="17"/>
                <w:color w:val="auto"/>
              </w:rPr>
            </w:pPr>
          </w:p>
        </w:tc>
        <w:tc>
          <w:tcPr>
            <w:tcW w:w="1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1,500</w:t>
            </w: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501.75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5/14/2024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3,000</w:t>
            </w:r>
            <w:r>
              <w:rPr>
                <w:rFonts w:ascii="Times New Roman" w:cs="Times New Roman" w:eastAsia="Times New Roman" w:hAnsi="Times New Roman"/>
                <w:sz w:val="14"/>
                <w:szCs w:val="14"/>
                <w:color w:val="auto"/>
              </w:rPr>
              <w:t>(13)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501.75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5/14/2024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1,500</w:t>
            </w:r>
            <w:r>
              <w:rPr>
                <w:rFonts w:ascii="Times New Roman" w:cs="Times New Roman" w:eastAsia="Times New Roman" w:hAnsi="Times New Roman"/>
                <w:sz w:val="14"/>
                <w:szCs w:val="14"/>
                <w:color w:val="auto"/>
              </w:rPr>
              <w:t>(14)</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501.75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5/14/2024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152.10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2/24/2025</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Anderson</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2,285</w:t>
            </w:r>
            <w:r>
              <w:rPr>
                <w:rFonts w:ascii="Times New Roman" w:cs="Times New Roman" w:eastAsia="Times New Roman" w:hAnsi="Times New Roman"/>
                <w:sz w:val="14"/>
                <w:szCs w:val="14"/>
                <w:color w:val="auto"/>
              </w:rPr>
              <w:t>(5)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70,287</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6,128</w:t>
            </w:r>
            <w:r>
              <w:rPr>
                <w:rFonts w:ascii="Times New Roman" w:cs="Times New Roman" w:eastAsia="Times New Roman" w:hAnsi="Times New Roman"/>
                <w:sz w:val="14"/>
                <w:szCs w:val="14"/>
                <w:color w:val="auto"/>
              </w:rPr>
              <w:t>(6)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188,497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gridSpan w:val="2"/>
            <w:shd w:val="clear" w:color="auto" w:fill="CCEEFF"/>
          </w:tcPr>
          <w:p>
            <w:pPr>
              <w:jc w:val="right"/>
              <w:ind w:right="40"/>
              <w:spacing w:after="0" w:line="27"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2"/>
                <w:szCs w:val="2"/>
                <w:color w:val="auto"/>
              </w:rPr>
            </w:pPr>
          </w:p>
        </w:tc>
        <w:tc>
          <w:tcPr>
            <w:tcW w:w="1060" w:type="dxa"/>
            <w:vAlign w:val="bottom"/>
            <w:gridSpan w:val="2"/>
            <w:shd w:val="clear" w:color="auto" w:fill="CCEEFF"/>
          </w:tcPr>
          <w:p>
            <w:pPr>
              <w:jc w:val="right"/>
              <w:ind w:right="100"/>
              <w:spacing w:after="0" w:line="27"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shd w:val="clear" w:color="auto" w:fill="CCEEFF"/>
          </w:tcPr>
          <w:p>
            <w:pPr>
              <w:jc w:val="right"/>
              <w:ind w:right="100"/>
              <w:spacing w:after="0" w:line="27"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shd w:val="clear" w:color="auto" w:fill="CCEEFF"/>
          </w:tcPr>
          <w:p>
            <w:pPr>
              <w:jc w:val="right"/>
              <w:ind w:right="280"/>
              <w:spacing w:after="0" w:line="27" w:lineRule="exact"/>
              <w:rPr>
                <w:sz w:val="20"/>
                <w:szCs w:val="20"/>
                <w:color w:val="auto"/>
              </w:rPr>
            </w:pPr>
            <w:r>
              <w:rPr>
                <w:rFonts w:ascii="Times New Roman" w:cs="Times New Roman" w:eastAsia="Times New Roman" w:hAnsi="Times New Roman"/>
                <w:sz w:val="3"/>
                <w:szCs w:val="3"/>
                <w:color w:val="auto"/>
              </w:rPr>
              <w:t>10,518</w:t>
            </w:r>
          </w:p>
        </w:tc>
        <w:tc>
          <w:tcPr>
            <w:tcW w:w="760" w:type="dxa"/>
            <w:vAlign w:val="bottom"/>
            <w:shd w:val="clear" w:color="auto" w:fill="CCEEFF"/>
          </w:tcPr>
          <w:p>
            <w:pPr>
              <w:jc w:val="right"/>
              <w:spacing w:after="0" w:line="27" w:lineRule="exact"/>
              <w:rPr>
                <w:sz w:val="20"/>
                <w:szCs w:val="20"/>
                <w:color w:val="auto"/>
              </w:rPr>
            </w:pPr>
            <w:r>
              <w:rPr>
                <w:rFonts w:ascii="Times New Roman" w:cs="Times New Roman" w:eastAsia="Times New Roman" w:hAnsi="Times New Roman"/>
                <w:sz w:val="3"/>
                <w:szCs w:val="3"/>
                <w:color w:val="auto"/>
              </w:rPr>
              <w:t>323,534</w:t>
            </w:r>
          </w:p>
        </w:tc>
        <w:tc>
          <w:tcPr>
            <w:tcW w:w="100" w:type="dxa"/>
            <w:vAlign w:val="bottom"/>
            <w:shd w:val="clear" w:color="auto" w:fill="CCEEFF"/>
          </w:tcPr>
          <w:p>
            <w:pPr>
              <w:spacing w:after="0"/>
              <w:rPr>
                <w:sz w:val="2"/>
                <w:szCs w:val="2"/>
                <w:color w:val="auto"/>
              </w:rPr>
            </w:pPr>
          </w:p>
        </w:tc>
        <w:tc>
          <w:tcPr>
            <w:tcW w:w="1420" w:type="dxa"/>
            <w:vAlign w:val="bottom"/>
            <w:gridSpan w:val="2"/>
            <w:shd w:val="clear" w:color="auto" w:fill="CCEEFF"/>
          </w:tcPr>
          <w:p>
            <w:pPr>
              <w:jc w:val="right"/>
              <w:ind w:right="300"/>
              <w:spacing w:after="0" w:line="27" w:lineRule="exact"/>
              <w:rPr>
                <w:sz w:val="20"/>
                <w:szCs w:val="20"/>
                <w:color w:val="auto"/>
              </w:rPr>
            </w:pPr>
            <w:r>
              <w:rPr>
                <w:rFonts w:ascii="Times New Roman" w:cs="Times New Roman" w:eastAsia="Times New Roman" w:hAnsi="Times New Roman"/>
                <w:sz w:val="3"/>
                <w:szCs w:val="3"/>
                <w:color w:val="auto"/>
              </w:rPr>
              <w:t>-</w:t>
            </w:r>
          </w:p>
        </w:tc>
        <w:tc>
          <w:tcPr>
            <w:tcW w:w="780" w:type="dxa"/>
            <w:vAlign w:val="bottom"/>
            <w:gridSpan w:val="2"/>
            <w:shd w:val="clear" w:color="auto" w:fill="CCEEFF"/>
          </w:tcPr>
          <w:p>
            <w:pPr>
              <w:jc w:val="right"/>
              <w:ind w:right="40"/>
              <w:spacing w:after="0" w:line="27" w:lineRule="exact"/>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shd w:val="clear" w:color="auto" w:fill="CCEEFF"/>
          </w:tcPr>
          <w:p>
            <w:pPr>
              <w:spacing w:after="0"/>
              <w:rPr>
                <w:sz w:val="2"/>
                <w:szCs w:val="2"/>
                <w:color w:val="auto"/>
              </w:rPr>
            </w:pPr>
          </w:p>
        </w:tc>
        <w:tc>
          <w:tcPr>
            <w:tcW w:w="1160" w:type="dxa"/>
            <w:vAlign w:val="bottom"/>
            <w:gridSpan w:val="2"/>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shd w:val="clear" w:color="auto" w:fill="CCEEFF"/>
          </w:tcPr>
          <w:p>
            <w:pPr>
              <w:spacing w:after="0"/>
              <w:rPr>
                <w:sz w:val="2"/>
                <w:szCs w:val="2"/>
                <w:color w:val="auto"/>
              </w:rPr>
            </w:pPr>
          </w:p>
        </w:tc>
        <w:tc>
          <w:tcPr>
            <w:tcW w:w="106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shd w:val="clear" w:color="auto" w:fill="CCEEFF"/>
          </w:tcPr>
          <w:p>
            <w:pPr>
              <w:jc w:val="right"/>
              <w:ind w:right="100"/>
              <w:spacing w:after="0" w:line="33"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shd w:val="clear" w:color="auto" w:fill="CCEEFF"/>
          </w:tcPr>
          <w:p>
            <w:pPr>
              <w:jc w:val="right"/>
              <w:ind w:right="280"/>
              <w:spacing w:after="0" w:line="33" w:lineRule="exact"/>
              <w:rPr>
                <w:sz w:val="20"/>
                <w:szCs w:val="20"/>
                <w:color w:val="auto"/>
              </w:rPr>
            </w:pPr>
            <w:r>
              <w:rPr>
                <w:rFonts w:ascii="Times New Roman" w:cs="Times New Roman" w:eastAsia="Times New Roman" w:hAnsi="Times New Roman"/>
                <w:sz w:val="3"/>
                <w:szCs w:val="3"/>
                <w:color w:val="auto"/>
              </w:rPr>
              <w:t>-</w:t>
            </w:r>
          </w:p>
        </w:tc>
        <w:tc>
          <w:tcPr>
            <w:tcW w:w="760" w:type="dxa"/>
            <w:vAlign w:val="bottom"/>
            <w:shd w:val="clear" w:color="auto" w:fill="CCEEFF"/>
          </w:tcPr>
          <w:p>
            <w:pPr>
              <w:jc w:val="right"/>
              <w:spacing w:after="0" w:line="33"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2"/>
                <w:szCs w:val="2"/>
                <w:color w:val="auto"/>
              </w:rPr>
            </w:pPr>
          </w:p>
        </w:tc>
        <w:tc>
          <w:tcPr>
            <w:tcW w:w="1420" w:type="dxa"/>
            <w:vAlign w:val="bottom"/>
            <w:gridSpan w:val="2"/>
            <w:shd w:val="clear" w:color="auto" w:fill="CCEEFF"/>
          </w:tcPr>
          <w:p>
            <w:pPr>
              <w:jc w:val="right"/>
              <w:ind w:right="300"/>
              <w:spacing w:after="0" w:line="33" w:lineRule="exact"/>
              <w:rPr>
                <w:sz w:val="20"/>
                <w:szCs w:val="20"/>
                <w:color w:val="auto"/>
              </w:rPr>
            </w:pPr>
            <w:r>
              <w:rPr>
                <w:rFonts w:ascii="Times New Roman" w:cs="Times New Roman" w:eastAsia="Times New Roman" w:hAnsi="Times New Roman"/>
                <w:sz w:val="3"/>
                <w:szCs w:val="3"/>
                <w:color w:val="auto"/>
              </w:rPr>
              <w:t>13,712</w:t>
            </w:r>
          </w:p>
        </w:tc>
        <w:tc>
          <w:tcPr>
            <w:tcW w:w="780" w:type="dxa"/>
            <w:vAlign w:val="bottom"/>
            <w:gridSpan w:val="2"/>
            <w:shd w:val="clear" w:color="auto" w:fill="CCEEFF"/>
          </w:tcPr>
          <w:p>
            <w:pPr>
              <w:jc w:val="right"/>
              <w:ind w:right="40"/>
              <w:spacing w:after="0" w:line="33" w:lineRule="exact"/>
              <w:rPr>
                <w:sz w:val="20"/>
                <w:szCs w:val="20"/>
                <w:color w:val="auto"/>
              </w:rPr>
            </w:pPr>
            <w:r>
              <w:rPr>
                <w:rFonts w:ascii="Times New Roman" w:cs="Times New Roman" w:eastAsia="Times New Roman" w:hAnsi="Times New Roman"/>
                <w:sz w:val="3"/>
                <w:szCs w:val="3"/>
                <w:color w:val="auto"/>
              </w:rPr>
              <w:t>421,781</w:t>
            </w: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9,191</w:t>
            </w:r>
            <w:r>
              <w:rPr>
                <w:rFonts w:ascii="Times New Roman" w:cs="Times New Roman" w:eastAsia="Times New Roman" w:hAnsi="Times New Roman"/>
                <w:sz w:val="14"/>
                <w:szCs w:val="14"/>
                <w:color w:val="auto"/>
              </w:rPr>
              <w:t>(9)</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282,715</w:t>
            </w:r>
          </w:p>
        </w:tc>
        <w:tc>
          <w:tcPr>
            <w:tcW w:w="0" w:type="dxa"/>
            <w:vAlign w:val="bottom"/>
          </w:tcPr>
          <w:p>
            <w:pPr>
              <w:spacing w:after="0"/>
              <w:rPr>
                <w:sz w:val="1"/>
                <w:szCs w:val="1"/>
                <w:color w:val="auto"/>
              </w:rPr>
            </w:pPr>
          </w:p>
        </w:tc>
      </w:tr>
      <w:tr>
        <w:trPr>
          <w:trHeight w:val="218"/>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5,259</w:t>
            </w:r>
            <w:r>
              <w:rPr>
                <w:rFonts w:ascii="Times New Roman" w:cs="Times New Roman" w:eastAsia="Times New Roman" w:hAnsi="Times New Roman"/>
                <w:sz w:val="14"/>
                <w:szCs w:val="14"/>
                <w:color w:val="auto"/>
              </w:rPr>
              <w:t>(10)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161,767</w:t>
            </w:r>
          </w:p>
        </w:tc>
        <w:tc>
          <w:tcPr>
            <w:tcW w:w="0" w:type="dxa"/>
            <w:vAlign w:val="bottom"/>
          </w:tcPr>
          <w:p>
            <w:pPr>
              <w:spacing w:after="0"/>
              <w:rPr>
                <w:sz w:val="1"/>
                <w:szCs w:val="1"/>
                <w:color w:val="auto"/>
              </w:rPr>
            </w:pPr>
          </w:p>
        </w:tc>
      </w:tr>
      <w:tr>
        <w:trPr>
          <w:trHeight w:val="218"/>
        </w:trPr>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5,102</w:t>
            </w:r>
            <w:r>
              <w:rPr>
                <w:rFonts w:ascii="Times New Roman" w:cs="Times New Roman" w:eastAsia="Times New Roman" w:hAnsi="Times New Roman"/>
                <w:sz w:val="14"/>
                <w:szCs w:val="14"/>
                <w:color w:val="auto"/>
              </w:rPr>
              <w:t>(11)</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156,938</w:t>
            </w: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2,316</w:t>
            </w:r>
            <w:r>
              <w:rPr>
                <w:rFonts w:ascii="Times New Roman" w:cs="Times New Roman" w:eastAsia="Times New Roman" w:hAnsi="Times New Roman"/>
                <w:sz w:val="14"/>
                <w:szCs w:val="14"/>
                <w:color w:val="auto"/>
              </w:rPr>
              <w:t>(5)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71,240</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4,902</w:t>
            </w:r>
            <w:r>
              <w:rPr>
                <w:rFonts w:ascii="Times New Roman" w:cs="Times New Roman" w:eastAsia="Times New Roman" w:hAnsi="Times New Roman"/>
                <w:sz w:val="14"/>
                <w:szCs w:val="14"/>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150,786</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1"/>
        </w:trPr>
        <w:tc>
          <w:tcPr>
            <w:tcW w:w="660" w:type="dxa"/>
            <w:vAlign w:val="bottom"/>
          </w:tcPr>
          <w:p>
            <w:pPr>
              <w:spacing w:after="0"/>
              <w:rPr>
                <w:sz w:val="2"/>
                <w:szCs w:val="2"/>
                <w:color w:val="auto"/>
              </w:rPr>
            </w:pPr>
          </w:p>
        </w:tc>
        <w:tc>
          <w:tcPr>
            <w:tcW w:w="1260" w:type="dxa"/>
            <w:vAlign w:val="bottom"/>
            <w:gridSpan w:val="3"/>
          </w:tcPr>
          <w:p>
            <w:pPr>
              <w:jc w:val="right"/>
              <w:spacing w:after="0" w:line="31" w:lineRule="exact"/>
              <w:rPr>
                <w:sz w:val="20"/>
                <w:szCs w:val="20"/>
                <w:color w:val="auto"/>
              </w:rPr>
            </w:pPr>
            <w:r>
              <w:rPr>
                <w:rFonts w:ascii="Times New Roman" w:cs="Times New Roman" w:eastAsia="Times New Roman" w:hAnsi="Times New Roman"/>
                <w:sz w:val="3"/>
                <w:szCs w:val="3"/>
                <w:color w:val="auto"/>
              </w:rPr>
              <w:t>-</w:t>
            </w:r>
          </w:p>
        </w:tc>
        <w:tc>
          <w:tcPr>
            <w:tcW w:w="40" w:type="dxa"/>
            <w:vAlign w:val="bottom"/>
          </w:tcPr>
          <w:p>
            <w:pPr>
              <w:spacing w:after="0"/>
              <w:rPr>
                <w:sz w:val="2"/>
                <w:szCs w:val="2"/>
                <w:color w:val="auto"/>
              </w:rPr>
            </w:pPr>
          </w:p>
        </w:tc>
        <w:tc>
          <w:tcPr>
            <w:tcW w:w="1120" w:type="dxa"/>
            <w:vAlign w:val="bottom"/>
            <w:gridSpan w:val="4"/>
          </w:tcPr>
          <w:p>
            <w:pPr>
              <w:jc w:val="right"/>
              <w:ind w:right="40"/>
              <w:spacing w:after="0" w:line="31" w:lineRule="exact"/>
              <w:rPr>
                <w:sz w:val="20"/>
                <w:szCs w:val="20"/>
                <w:color w:val="auto"/>
              </w:rPr>
            </w:pPr>
            <w:r>
              <w:rPr>
                <w:rFonts w:ascii="Times New Roman" w:cs="Times New Roman" w:eastAsia="Times New Roman" w:hAnsi="Times New Roman"/>
                <w:sz w:val="3"/>
                <w:szCs w:val="3"/>
                <w:color w:val="auto"/>
              </w:rPr>
              <w:t>-</w:t>
            </w:r>
          </w:p>
        </w:tc>
        <w:tc>
          <w:tcPr>
            <w:tcW w:w="1160" w:type="dxa"/>
            <w:vAlign w:val="bottom"/>
            <w:gridSpan w:val="2"/>
          </w:tcPr>
          <w:p>
            <w:pPr>
              <w:jc w:val="right"/>
              <w:spacing w:after="0" w:line="31" w:lineRule="exact"/>
              <w:rPr>
                <w:sz w:val="20"/>
                <w:szCs w:val="20"/>
                <w:color w:val="auto"/>
              </w:rPr>
            </w:pPr>
            <w:r>
              <w:rPr>
                <w:rFonts w:ascii="Times New Roman" w:cs="Times New Roman" w:eastAsia="Times New Roman" w:hAnsi="Times New Roman"/>
                <w:sz w:val="3"/>
                <w:szCs w:val="3"/>
                <w:color w:val="auto"/>
              </w:rPr>
              <w:t>-</w:t>
            </w:r>
          </w:p>
        </w:tc>
        <w:tc>
          <w:tcPr>
            <w:tcW w:w="300" w:type="dxa"/>
            <w:vAlign w:val="bottom"/>
          </w:tcPr>
          <w:p>
            <w:pPr>
              <w:spacing w:after="0"/>
              <w:rPr>
                <w:sz w:val="2"/>
                <w:szCs w:val="2"/>
                <w:color w:val="auto"/>
              </w:rPr>
            </w:pPr>
          </w:p>
        </w:tc>
        <w:tc>
          <w:tcPr>
            <w:tcW w:w="1060" w:type="dxa"/>
            <w:vAlign w:val="bottom"/>
            <w:gridSpan w:val="2"/>
          </w:tcPr>
          <w:p>
            <w:pPr>
              <w:jc w:val="right"/>
              <w:ind w:right="100"/>
              <w:spacing w:after="0" w:line="31" w:lineRule="exact"/>
              <w:rPr>
                <w:sz w:val="20"/>
                <w:szCs w:val="20"/>
                <w:color w:val="auto"/>
              </w:rPr>
            </w:pPr>
            <w:r>
              <w:rPr>
                <w:rFonts w:ascii="Times New Roman" w:cs="Times New Roman" w:eastAsia="Times New Roman" w:hAnsi="Times New Roman"/>
                <w:sz w:val="3"/>
                <w:szCs w:val="3"/>
                <w:color w:val="auto"/>
              </w:rPr>
              <w:t>-</w:t>
            </w:r>
          </w:p>
        </w:tc>
        <w:tc>
          <w:tcPr>
            <w:tcW w:w="1440" w:type="dxa"/>
            <w:vAlign w:val="bottom"/>
            <w:gridSpan w:val="2"/>
          </w:tcPr>
          <w:p>
            <w:pPr>
              <w:jc w:val="right"/>
              <w:ind w:right="100"/>
              <w:spacing w:after="0" w:line="31" w:lineRule="exact"/>
              <w:rPr>
                <w:sz w:val="20"/>
                <w:szCs w:val="20"/>
                <w:color w:val="auto"/>
              </w:rPr>
            </w:pPr>
            <w:r>
              <w:rPr>
                <w:rFonts w:ascii="Times New Roman" w:cs="Times New Roman" w:eastAsia="Times New Roman" w:hAnsi="Times New Roman"/>
                <w:sz w:val="3"/>
                <w:szCs w:val="3"/>
                <w:color w:val="auto"/>
              </w:rPr>
              <w:t>-</w:t>
            </w:r>
          </w:p>
        </w:tc>
        <w:tc>
          <w:tcPr>
            <w:tcW w:w="1240" w:type="dxa"/>
            <w:vAlign w:val="bottom"/>
            <w:gridSpan w:val="2"/>
          </w:tcPr>
          <w:p>
            <w:pPr>
              <w:jc w:val="right"/>
              <w:ind w:right="280"/>
              <w:spacing w:after="0" w:line="31" w:lineRule="exact"/>
              <w:rPr>
                <w:sz w:val="20"/>
                <w:szCs w:val="20"/>
                <w:color w:val="auto"/>
              </w:rPr>
            </w:pPr>
            <w:r>
              <w:rPr>
                <w:rFonts w:ascii="Times New Roman" w:cs="Times New Roman" w:eastAsia="Times New Roman" w:hAnsi="Times New Roman"/>
                <w:sz w:val="3"/>
                <w:szCs w:val="3"/>
                <w:color w:val="auto"/>
              </w:rPr>
              <w:t>10,518</w:t>
            </w:r>
          </w:p>
        </w:tc>
        <w:tc>
          <w:tcPr>
            <w:tcW w:w="760" w:type="dxa"/>
            <w:vAlign w:val="bottom"/>
          </w:tcPr>
          <w:p>
            <w:pPr>
              <w:jc w:val="right"/>
              <w:spacing w:after="0" w:line="31" w:lineRule="exact"/>
              <w:rPr>
                <w:sz w:val="20"/>
                <w:szCs w:val="20"/>
                <w:color w:val="auto"/>
              </w:rPr>
            </w:pPr>
            <w:r>
              <w:rPr>
                <w:rFonts w:ascii="Times New Roman" w:cs="Times New Roman" w:eastAsia="Times New Roman" w:hAnsi="Times New Roman"/>
                <w:sz w:val="3"/>
                <w:szCs w:val="3"/>
                <w:color w:val="auto"/>
              </w:rPr>
              <w:t>323,534</w:t>
            </w:r>
          </w:p>
        </w:tc>
        <w:tc>
          <w:tcPr>
            <w:tcW w:w="100" w:type="dxa"/>
            <w:vAlign w:val="bottom"/>
          </w:tcPr>
          <w:p>
            <w:pPr>
              <w:spacing w:after="0"/>
              <w:rPr>
                <w:sz w:val="2"/>
                <w:szCs w:val="2"/>
                <w:color w:val="auto"/>
              </w:rPr>
            </w:pPr>
          </w:p>
        </w:tc>
        <w:tc>
          <w:tcPr>
            <w:tcW w:w="1420" w:type="dxa"/>
            <w:vAlign w:val="bottom"/>
            <w:gridSpan w:val="2"/>
          </w:tcPr>
          <w:p>
            <w:pPr>
              <w:jc w:val="right"/>
              <w:ind w:right="300"/>
              <w:spacing w:after="0" w:line="31" w:lineRule="exact"/>
              <w:rPr>
                <w:sz w:val="20"/>
                <w:szCs w:val="20"/>
                <w:color w:val="auto"/>
              </w:rPr>
            </w:pPr>
            <w:r>
              <w:rPr>
                <w:rFonts w:ascii="Times New Roman" w:cs="Times New Roman" w:eastAsia="Times New Roman" w:hAnsi="Times New Roman"/>
                <w:sz w:val="3"/>
                <w:szCs w:val="3"/>
                <w:color w:val="auto"/>
              </w:rPr>
              <w:t>-</w:t>
            </w:r>
          </w:p>
        </w:tc>
        <w:tc>
          <w:tcPr>
            <w:tcW w:w="780" w:type="dxa"/>
            <w:vAlign w:val="bottom"/>
            <w:gridSpan w:val="2"/>
          </w:tcPr>
          <w:p>
            <w:pPr>
              <w:jc w:val="right"/>
              <w:ind w:right="40"/>
              <w:spacing w:after="0" w:line="31" w:lineRule="exact"/>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line="20" w:lineRule="exact"/>
              <w:rPr>
                <w:sz w:val="1"/>
                <w:szCs w:val="1"/>
                <w:color w:val="auto"/>
              </w:rPr>
            </w:pPr>
          </w:p>
        </w:tc>
      </w:tr>
      <w:tr>
        <w:trPr>
          <w:trHeight w:val="174"/>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Dennis</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1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auto"/>
              </w:rPr>
              <w:t>13,894</w:t>
            </w: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427,379</w:t>
            </w:r>
          </w:p>
        </w:tc>
        <w:tc>
          <w:tcPr>
            <w:tcW w:w="0" w:type="dxa"/>
            <w:vAlign w:val="bottom"/>
          </w:tcPr>
          <w:p>
            <w:pPr>
              <w:spacing w:after="0"/>
              <w:rPr>
                <w:sz w:val="1"/>
                <w:szCs w:val="1"/>
                <w:color w:val="auto"/>
              </w:rPr>
            </w:pPr>
          </w:p>
        </w:tc>
      </w:tr>
      <w:tr>
        <w:trPr>
          <w:trHeight w:val="31"/>
        </w:trPr>
        <w:tc>
          <w:tcPr>
            <w:tcW w:w="66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Zeleny</w:t>
            </w:r>
          </w:p>
        </w:tc>
        <w:tc>
          <w:tcPr>
            <w:tcW w:w="12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7,353</w:t>
            </w:r>
            <w:r>
              <w:rPr>
                <w:rFonts w:ascii="Times New Roman" w:cs="Times New Roman" w:eastAsia="Times New Roman" w:hAnsi="Times New Roman"/>
                <w:sz w:val="14"/>
                <w:szCs w:val="14"/>
                <w:color w:val="auto"/>
              </w:rPr>
              <w:t>(9)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226,178</w:t>
            </w: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5,259</w:t>
            </w:r>
            <w:r>
              <w:rPr>
                <w:rFonts w:ascii="Times New Roman" w:cs="Times New Roman" w:eastAsia="Times New Roman" w:hAnsi="Times New Roman"/>
                <w:sz w:val="14"/>
                <w:szCs w:val="14"/>
                <w:color w:val="auto"/>
              </w:rPr>
              <w:t>(10)</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161,767</w:t>
            </w: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4,783</w:t>
            </w:r>
            <w:r>
              <w:rPr>
                <w:rFonts w:ascii="Times New Roman" w:cs="Times New Roman" w:eastAsia="Times New Roman" w:hAnsi="Times New Roman"/>
                <w:sz w:val="14"/>
                <w:szCs w:val="14"/>
                <w:color w:val="auto"/>
              </w:rPr>
              <w:t>(11)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147,125</w:t>
            </w:r>
          </w:p>
        </w:tc>
        <w:tc>
          <w:tcPr>
            <w:tcW w:w="0" w:type="dxa"/>
            <w:vAlign w:val="bottom"/>
          </w:tcPr>
          <w:p>
            <w:pPr>
              <w:spacing w:after="0"/>
              <w:rPr>
                <w:sz w:val="1"/>
                <w:szCs w:val="1"/>
                <w:color w:val="auto"/>
              </w:rPr>
            </w:pPr>
          </w:p>
        </w:tc>
      </w:tr>
      <w:tr>
        <w:trPr>
          <w:trHeight w:val="188"/>
        </w:trPr>
        <w:tc>
          <w:tcPr>
            <w:tcW w:w="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George</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w:t>
            </w: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112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17,248</w:t>
            </w: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530,548</w:t>
            </w:r>
          </w:p>
        </w:tc>
        <w:tc>
          <w:tcPr>
            <w:tcW w:w="0" w:type="dxa"/>
            <w:vAlign w:val="bottom"/>
          </w:tcPr>
          <w:p>
            <w:pPr>
              <w:spacing w:after="0"/>
              <w:rPr>
                <w:sz w:val="1"/>
                <w:szCs w:val="1"/>
                <w:color w:val="auto"/>
              </w:rPr>
            </w:pPr>
          </w:p>
        </w:tc>
      </w:tr>
      <w:tr>
        <w:trPr>
          <w:trHeight w:val="31"/>
        </w:trPr>
        <w:tc>
          <w:tcPr>
            <w:tcW w:w="660" w:type="dxa"/>
            <w:vAlign w:val="bottom"/>
            <w:shd w:val="clear" w:color="auto" w:fill="CCEEFF"/>
          </w:tcPr>
          <w:p>
            <w:pPr>
              <w:spacing w:after="0" w:line="31" w:lineRule="exact"/>
              <w:rPr>
                <w:sz w:val="20"/>
                <w:szCs w:val="20"/>
                <w:color w:val="auto"/>
              </w:rPr>
            </w:pPr>
            <w:r>
              <w:rPr>
                <w:rFonts w:ascii="Times New Roman" w:cs="Times New Roman" w:eastAsia="Times New Roman" w:hAnsi="Times New Roman"/>
                <w:sz w:val="3"/>
                <w:szCs w:val="3"/>
                <w:color w:val="auto"/>
              </w:rPr>
              <w:t>Henley</w:t>
            </w:r>
          </w:p>
        </w:tc>
        <w:tc>
          <w:tcPr>
            <w:tcW w:w="1260" w:type="dxa"/>
            <w:vAlign w:val="bottom"/>
            <w:gridSpan w:val="3"/>
            <w:vMerge w:val="continue"/>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20" w:type="dxa"/>
            <w:vAlign w:val="bottom"/>
            <w:gridSpan w:val="4"/>
            <w:vMerge w:val="continue"/>
            <w:shd w:val="clear" w:color="auto" w:fill="CCEEFF"/>
          </w:tcPr>
          <w:p>
            <w:pPr>
              <w:spacing w:after="0"/>
              <w:rPr>
                <w:sz w:val="2"/>
                <w:szCs w:val="2"/>
                <w:color w:val="auto"/>
              </w:rPr>
            </w:pPr>
          </w:p>
        </w:tc>
        <w:tc>
          <w:tcPr>
            <w:tcW w:w="1160" w:type="dxa"/>
            <w:vAlign w:val="bottom"/>
            <w:gridSpan w:val="2"/>
            <w:vMerge w:val="continue"/>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gridSpan w:val="2"/>
            <w:vMerge w:val="continue"/>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1240" w:type="dxa"/>
            <w:vAlign w:val="bottom"/>
            <w:gridSpan w:val="2"/>
            <w:vMerge w:val="continue"/>
            <w:shd w:val="clear" w:color="auto" w:fill="CCEEFF"/>
          </w:tcPr>
          <w:p>
            <w:pPr>
              <w:spacing w:after="0"/>
              <w:rPr>
                <w:sz w:val="2"/>
                <w:szCs w:val="2"/>
                <w:color w:val="auto"/>
              </w:rPr>
            </w:pPr>
          </w:p>
        </w:tc>
        <w:tc>
          <w:tcPr>
            <w:tcW w:w="76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7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5,370</w:t>
            </w:r>
            <w:r>
              <w:rPr>
                <w:rFonts w:ascii="Times New Roman" w:cs="Times New Roman" w:eastAsia="Times New Roman" w:hAnsi="Times New Roman"/>
                <w:sz w:val="14"/>
                <w:szCs w:val="14"/>
                <w:color w:val="auto"/>
              </w:rPr>
              <w:t>(9)</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165,181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right="100" w:hanging="298"/>
        <w:spacing w:after="0" w:line="198" w:lineRule="auto"/>
        <w:tabs>
          <w:tab w:leader="none" w:pos="300" w:val="left"/>
        </w:tabs>
        <w:numPr>
          <w:ilvl w:val="0"/>
          <w:numId w:val="6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Consists of equity awards with respect to which, as of December 31, 2023, any applicable performance hurdles have been met but awards remain subject to time-based vesting criteria.</w:t>
      </w:r>
    </w:p>
    <w:p>
      <w:pPr>
        <w:spacing w:after="0" w:line="87" w:lineRule="exact"/>
        <w:rPr>
          <w:rFonts w:ascii="Times New Roman" w:cs="Times New Roman" w:eastAsia="Times New Roman" w:hAnsi="Times New Roman"/>
          <w:sz w:val="28"/>
          <w:szCs w:val="28"/>
          <w:color w:val="auto"/>
          <w:vertAlign w:val="superscript"/>
        </w:rPr>
      </w:pPr>
    </w:p>
    <w:p>
      <w:pPr>
        <w:ind w:left="300" w:hanging="298"/>
        <w:spacing w:after="0"/>
        <w:tabs>
          <w:tab w:leader="none" w:pos="300" w:val="left"/>
        </w:tabs>
        <w:numPr>
          <w:ilvl w:val="0"/>
          <w:numId w:val="6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Consists of option awards with respect to which, as of December 31, 2023, the applicable performance hurdles have not been met.</w:t>
      </w:r>
    </w:p>
    <w:p>
      <w:pPr>
        <w:spacing w:after="0" w:line="187" w:lineRule="exact"/>
        <w:rPr>
          <w:rFonts w:ascii="Times New Roman" w:cs="Times New Roman" w:eastAsia="Times New Roman" w:hAnsi="Times New Roman"/>
          <w:sz w:val="28"/>
          <w:szCs w:val="28"/>
          <w:color w:val="auto"/>
          <w:vertAlign w:val="superscript"/>
        </w:rPr>
      </w:pPr>
    </w:p>
    <w:p>
      <w:pPr>
        <w:ind w:left="300" w:right="100" w:hanging="298"/>
        <w:spacing w:after="0" w:line="198" w:lineRule="auto"/>
        <w:tabs>
          <w:tab w:leader="none" w:pos="300" w:val="left"/>
        </w:tabs>
        <w:numPr>
          <w:ilvl w:val="0"/>
          <w:numId w:val="6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dollar amounts shown in these columns are determined by multiplying the number of unvested shares or units subject to the award by $30.76, the closing price of a share of our common stock on the New York Stock Exchange on December 29, 2023 (the last trading day of 2022).</w:t>
      </w:r>
    </w:p>
    <w:p>
      <w:pPr>
        <w:spacing w:after="0" w:line="87" w:lineRule="exact"/>
        <w:rPr>
          <w:rFonts w:ascii="Times New Roman" w:cs="Times New Roman" w:eastAsia="Times New Roman" w:hAnsi="Times New Roman"/>
          <w:sz w:val="28"/>
          <w:szCs w:val="28"/>
          <w:color w:val="auto"/>
          <w:vertAlign w:val="superscript"/>
        </w:rPr>
      </w:pPr>
    </w:p>
    <w:p>
      <w:pPr>
        <w:ind w:left="300" w:hanging="298"/>
        <w:spacing w:after="0"/>
        <w:tabs>
          <w:tab w:leader="none" w:pos="300" w:val="left"/>
        </w:tabs>
        <w:numPr>
          <w:ilvl w:val="0"/>
          <w:numId w:val="6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Consists of equity awards with respect to which, as of December 31, 2023, the applicable time-based and/or performance vesting criteria have not been met.</w:t>
      </w:r>
    </w:p>
    <w:p>
      <w:pPr>
        <w:spacing w:after="0" w:line="187" w:lineRule="exact"/>
        <w:rPr>
          <w:rFonts w:ascii="Times New Roman" w:cs="Times New Roman" w:eastAsia="Times New Roman" w:hAnsi="Times New Roman"/>
          <w:sz w:val="28"/>
          <w:szCs w:val="28"/>
          <w:color w:val="auto"/>
          <w:vertAlign w:val="superscript"/>
        </w:rPr>
      </w:pPr>
    </w:p>
    <w:p>
      <w:pPr>
        <w:ind w:left="300" w:right="100" w:hanging="298"/>
        <w:spacing w:after="0" w:line="198" w:lineRule="auto"/>
        <w:tabs>
          <w:tab w:leader="none" w:pos="300" w:val="left"/>
        </w:tabs>
        <w:numPr>
          <w:ilvl w:val="0"/>
          <w:numId w:val="6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RSUs granted March 2, 2021. One-third of granted units vested on each of the first and second anniversaries of the grant, with the remaining units vesting on the third anniversary of the grant date, and which will settle in shares.</w:t>
      </w:r>
    </w:p>
    <w:p>
      <w:pPr>
        <w:sectPr>
          <w:pgSz w:w="11900" w:h="16838" w:orient="portrait"/>
          <w:cols w:equalWidth="0" w:num="1">
            <w:col w:w="11340"/>
          </w:cols>
          <w:pgMar w:left="320" w:top="657" w:right="239" w:bottom="0" w:gutter="0" w:footer="0" w:header="0"/>
        </w:sectPr>
      </w:pPr>
    </w:p>
    <w:bookmarkStart w:id="66" w:name="page67"/>
    <w:bookmarkEnd w:id="66"/>
    <w:p>
      <w:pPr>
        <w:ind w:left="300" w:hanging="298"/>
        <w:spacing w:after="0" w:line="198" w:lineRule="auto"/>
        <w:tabs>
          <w:tab w:leader="none" w:pos="300" w:val="left"/>
        </w:tabs>
        <w:numPr>
          <w:ilvl w:val="0"/>
          <w:numId w:val="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RSUs granted March 31, 2022 (June 13, 2022 to Mr. O’Neil). One-third of granted units vested on the first anniversary of the grant, with the remaining units vesting in equal tranches on the second and third anniversaries of the grant date, and which will settle in shares.</w:t>
      </w:r>
    </w:p>
    <w:p>
      <w:pPr>
        <w:spacing w:after="0" w:line="87" w:lineRule="exact"/>
        <w:rPr>
          <w:rFonts w:ascii="Times New Roman" w:cs="Times New Roman" w:eastAsia="Times New Roman" w:hAnsi="Times New Roman"/>
          <w:sz w:val="28"/>
          <w:szCs w:val="28"/>
          <w:color w:val="auto"/>
          <w:vertAlign w:val="superscript"/>
        </w:rPr>
      </w:pPr>
    </w:p>
    <w:p>
      <w:pPr>
        <w:ind w:left="300" w:hanging="298"/>
        <w:spacing w:after="0"/>
        <w:tabs>
          <w:tab w:leader="none" w:pos="300" w:val="left"/>
        </w:tabs>
        <w:numPr>
          <w:ilvl w:val="0"/>
          <w:numId w:val="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RSUs granted April 3, 2023, vesting in equal tranches on the first, second and third anniversaries of the grant date, and which will settle in shares.</w:t>
      </w:r>
    </w:p>
    <w:p>
      <w:pPr>
        <w:spacing w:after="0" w:line="187" w:lineRule="exact"/>
        <w:rPr>
          <w:rFonts w:ascii="Times New Roman" w:cs="Times New Roman" w:eastAsia="Times New Roman" w:hAnsi="Times New Roman"/>
          <w:sz w:val="28"/>
          <w:szCs w:val="28"/>
          <w:color w:val="auto"/>
          <w:vertAlign w:val="superscript"/>
        </w:rPr>
      </w:pPr>
    </w:p>
    <w:p>
      <w:pPr>
        <w:jc w:val="both"/>
        <w:ind w:left="300" w:hanging="298"/>
        <w:spacing w:after="0" w:line="226" w:lineRule="auto"/>
        <w:tabs>
          <w:tab w:leader="none" w:pos="300" w:val="left"/>
        </w:tabs>
        <w:numPr>
          <w:ilvl w:val="0"/>
          <w:numId w:val="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PRSUs granted March 2, 2021, vesting on the third anniversary of the grant date. These PRSUs are earned based on the Company’s TSR relative to its peer group during four weighted performance periods (the first from March 2, 2021 through March 2, 2022 weighted at 15%, the second from March 2, 2022 through March 2, 2023 weighted at 15%, the third from March 2, 2023 through March 2, 2024 weighted at 15%, and the fourth from March 2, 2021 through March 2, 2024 weighted at 55%). Performance during the first and second periods earned 175.2% and 133.2% of target units, respectively, subject to continued vesting requirements. Awards will settle in shares, if earned. Amounts reported assume maximum levels of achievement.</w:t>
      </w:r>
    </w:p>
    <w:p>
      <w:pPr>
        <w:spacing w:after="0" w:line="189" w:lineRule="exact"/>
        <w:rPr>
          <w:rFonts w:ascii="Times New Roman" w:cs="Times New Roman" w:eastAsia="Times New Roman" w:hAnsi="Times New Roman"/>
          <w:sz w:val="28"/>
          <w:szCs w:val="28"/>
          <w:color w:val="auto"/>
          <w:vertAlign w:val="superscript"/>
        </w:rPr>
      </w:pPr>
    </w:p>
    <w:p>
      <w:pPr>
        <w:jc w:val="both"/>
        <w:ind w:left="300" w:hanging="298"/>
        <w:spacing w:after="0" w:line="226" w:lineRule="auto"/>
        <w:tabs>
          <w:tab w:leader="none" w:pos="300" w:val="left"/>
        </w:tabs>
        <w:numPr>
          <w:ilvl w:val="0"/>
          <w:numId w:val="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PRSUs granted March 31, 2022 (June 13, 2022 to Mr. O’Neil), vesting on the third anniversary of the grant date. These PRSUs are earned based on the Company’s TSR relative to a performance peer group during four weighted performance periods (the first from March 31, 2022 through March 31, 2023 weighted at 15%, the second from March 31, 2023 through March 31, 2024 weighted at 15%, the third from March 31, 2024 through March 31, 2025 weighted at 15%, and the fourth from March 31, 2022 through March 31, 2025 weighted at 55%). Performance during the first period earned 181.8% of target units, subject to continued vesting requirements. Awards will settle in shares, if earned. Amounts reported assume target levels of achievement.</w:t>
      </w:r>
    </w:p>
    <w:p>
      <w:pPr>
        <w:spacing w:after="0" w:line="189" w:lineRule="exact"/>
        <w:rPr>
          <w:rFonts w:ascii="Times New Roman" w:cs="Times New Roman" w:eastAsia="Times New Roman" w:hAnsi="Times New Roman"/>
          <w:sz w:val="28"/>
          <w:szCs w:val="28"/>
          <w:color w:val="auto"/>
          <w:vertAlign w:val="superscript"/>
        </w:rPr>
      </w:pPr>
    </w:p>
    <w:p>
      <w:pPr>
        <w:jc w:val="both"/>
        <w:ind w:left="300" w:hanging="298"/>
        <w:spacing w:after="0" w:line="227" w:lineRule="auto"/>
        <w:tabs>
          <w:tab w:leader="none" w:pos="300" w:val="left"/>
        </w:tabs>
        <w:numPr>
          <w:ilvl w:val="0"/>
          <w:numId w:val="6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PRSUs granted April 3, 2023, vesting on the third anniversary of the grant date. These PRSUs are earned based on the Company’s TSR relative to a performance peer group during multiple performance periods between April 3, 2023 through April 3, 2026, as described in the “2023 Long-Term Incentive (LTIP) Awards” section above. Awards will settle in shares, if earned. Amounts reported assume minimum levels of achievement.</w:t>
      </w:r>
    </w:p>
    <w:p>
      <w:pPr>
        <w:spacing w:after="0" w:line="188" w:lineRule="exact"/>
        <w:rPr>
          <w:rFonts w:ascii="Times New Roman" w:cs="Times New Roman" w:eastAsia="Times New Roman" w:hAnsi="Times New Roman"/>
          <w:sz w:val="26"/>
          <w:szCs w:val="26"/>
          <w:color w:val="auto"/>
          <w:vertAlign w:val="superscript"/>
        </w:rPr>
      </w:pPr>
    </w:p>
    <w:p>
      <w:pPr>
        <w:jc w:val="both"/>
        <w:ind w:left="300" w:hanging="298"/>
        <w:spacing w:after="0" w:line="227" w:lineRule="auto"/>
        <w:tabs>
          <w:tab w:leader="none" w:pos="300" w:val="left"/>
        </w:tabs>
        <w:numPr>
          <w:ilvl w:val="0"/>
          <w:numId w:val="6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PRSUs granted July 31, 2023, vesting on the anniversary of the grant date. These PRSUs are earned based on the Company’s TSR relative to its peer group during the performance period between July 31, 2023 through July 31, 2024, as described in the “2023 Long-Term Incentive Awards” section above, and which will settle in shares, if earned. Amounts reported assume minimum levels of achievement.</w:t>
      </w:r>
    </w:p>
    <w:p>
      <w:pPr>
        <w:spacing w:after="0" w:line="188" w:lineRule="exact"/>
        <w:rPr>
          <w:rFonts w:ascii="Times New Roman" w:cs="Times New Roman" w:eastAsia="Times New Roman" w:hAnsi="Times New Roman"/>
          <w:sz w:val="26"/>
          <w:szCs w:val="26"/>
          <w:color w:val="auto"/>
          <w:vertAlign w:val="superscript"/>
        </w:rPr>
      </w:pPr>
    </w:p>
    <w:p>
      <w:pPr>
        <w:ind w:left="300" w:hanging="298"/>
        <w:spacing w:after="0" w:line="212" w:lineRule="auto"/>
        <w:tabs>
          <w:tab w:leader="none" w:pos="300" w:val="left"/>
        </w:tabs>
        <w:numPr>
          <w:ilvl w:val="0"/>
          <w:numId w:val="6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RSUs granted June 13, 2022 to Mr. O’Neil. One-fourth of granted units vested on the first anniversary of the grant, with the remaining units vesting in equal tranches on the second, third and fourth anniversaries of the grant date, and which will settle in shares.</w:t>
      </w:r>
    </w:p>
    <w:p>
      <w:pPr>
        <w:spacing w:after="0" w:line="188" w:lineRule="exact"/>
        <w:rPr>
          <w:rFonts w:ascii="Times New Roman" w:cs="Times New Roman" w:eastAsia="Times New Roman" w:hAnsi="Times New Roman"/>
          <w:sz w:val="26"/>
          <w:szCs w:val="26"/>
          <w:color w:val="auto"/>
          <w:vertAlign w:val="superscript"/>
        </w:rPr>
      </w:pPr>
    </w:p>
    <w:p>
      <w:pPr>
        <w:ind w:left="300" w:hanging="298"/>
        <w:spacing w:after="0" w:line="212" w:lineRule="auto"/>
        <w:tabs>
          <w:tab w:leader="none" w:pos="300" w:val="left"/>
        </w:tabs>
        <w:numPr>
          <w:ilvl w:val="0"/>
          <w:numId w:val="6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non-qualified stock options (NQSOs) granted to Mr. Anderson May 14, 2014, one-fourth of which vest upon achieving a stock price of $1,003.50 and compounded annual gain of 20% over the exercise price, with the balance vesting one-fourth each subsequent anniversary.</w:t>
      </w:r>
    </w:p>
    <w:p>
      <w:pPr>
        <w:spacing w:after="0" w:line="188" w:lineRule="exact"/>
        <w:rPr>
          <w:rFonts w:ascii="Times New Roman" w:cs="Times New Roman" w:eastAsia="Times New Roman" w:hAnsi="Times New Roman"/>
          <w:sz w:val="26"/>
          <w:szCs w:val="26"/>
          <w:color w:val="auto"/>
          <w:vertAlign w:val="superscript"/>
        </w:rPr>
      </w:pPr>
    </w:p>
    <w:p>
      <w:pPr>
        <w:ind w:left="300" w:hanging="298"/>
        <w:spacing w:after="0" w:line="212" w:lineRule="auto"/>
        <w:tabs>
          <w:tab w:leader="none" w:pos="300" w:val="left"/>
        </w:tabs>
        <w:numPr>
          <w:ilvl w:val="0"/>
          <w:numId w:val="6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NQSOs granted to Mr. Anderson May 14, 2014, one-fourth of which vest upon achieving a stock price of $1,505.25 and compounded annual gain of 25% over the exercise price, with the balance vesting one-fourth each subsequent anniversary.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Option Exercises and Stock Vested During 2023</w:t>
      </w:r>
    </w:p>
    <w:p>
      <w:pPr>
        <w:spacing w:after="0" w:line="2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following table provides information relating to the amounts realized on the exercise of options and the vesting of restricted stock during fiscal year 2023 for the individuals named in the Summary Compensation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Borders>
              <w:bottom w:val="single" w:sz="8" w:color="auto"/>
            </w:tcBorders>
            <w:gridSpan w:val="4"/>
          </w:tcPr>
          <w:p>
            <w:pPr>
              <w:ind w:left="154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2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120" w:type="dxa"/>
            <w:vAlign w:val="bottom"/>
            <w:tcBorders>
              <w:bottom w:val="single" w:sz="8" w:color="auto"/>
            </w:tcBorders>
            <w:gridSpan w:val="3"/>
          </w:tcPr>
          <w:p>
            <w:pPr>
              <w:jc w:val="right"/>
              <w:ind w:right="1478"/>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ind w:left="75"/>
              <w:spacing w:after="0" w:line="192" w:lineRule="exact"/>
              <w:rPr>
                <w:sz w:val="20"/>
                <w:szCs w:val="20"/>
                <w:color w:val="auto"/>
              </w:rPr>
            </w:pPr>
            <w:r>
              <w:rPr>
                <w:rFonts w:ascii="Times New Roman" w:cs="Times New Roman" w:eastAsia="Times New Roman" w:hAnsi="Times New Roman"/>
                <w:sz w:val="17"/>
                <w:szCs w:val="17"/>
                <w:b w:val="1"/>
                <w:bCs w:val="1"/>
                <w:color w:val="auto"/>
                <w:w w:val="99"/>
              </w:rPr>
              <w:t>Number of Shares</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center"/>
              <w:ind w:left="141"/>
              <w:spacing w:after="0" w:line="192" w:lineRule="exact"/>
              <w:rPr>
                <w:sz w:val="20"/>
                <w:szCs w:val="20"/>
                <w:color w:val="auto"/>
              </w:rPr>
            </w:pPr>
            <w:r>
              <w:rPr>
                <w:rFonts w:ascii="Times New Roman" w:cs="Times New Roman" w:eastAsia="Times New Roman" w:hAnsi="Times New Roman"/>
                <w:sz w:val="17"/>
                <w:szCs w:val="17"/>
                <w:b w:val="1"/>
                <w:bCs w:val="1"/>
                <w:color w:val="auto"/>
                <w:w w:val="98"/>
              </w:rPr>
              <w:t>Value Realized on</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gridSpan w:val="2"/>
          </w:tcPr>
          <w:p>
            <w:pPr>
              <w:jc w:val="center"/>
              <w:ind w:right="300"/>
              <w:spacing w:after="0" w:line="192" w:lineRule="exact"/>
              <w:rPr>
                <w:sz w:val="20"/>
                <w:szCs w:val="20"/>
                <w:color w:val="auto"/>
              </w:rPr>
            </w:pPr>
            <w:r>
              <w:rPr>
                <w:rFonts w:ascii="Times New Roman" w:cs="Times New Roman" w:eastAsia="Times New Roman" w:hAnsi="Times New Roman"/>
                <w:sz w:val="17"/>
                <w:szCs w:val="17"/>
                <w:b w:val="1"/>
                <w:bCs w:val="1"/>
                <w:color w:val="auto"/>
                <w:w w:val="99"/>
              </w:rPr>
              <w:t>Number of Shares</w:t>
            </w:r>
          </w:p>
        </w:tc>
        <w:tc>
          <w:tcPr>
            <w:tcW w:w="2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8"/>
              </w:rPr>
              <w:t>Value Realized on Vesting</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center"/>
              <w:ind w:left="75"/>
              <w:spacing w:after="0"/>
              <w:rPr>
                <w:sz w:val="20"/>
                <w:szCs w:val="20"/>
                <w:color w:val="auto"/>
              </w:rPr>
            </w:pPr>
            <w:r>
              <w:rPr>
                <w:rFonts w:ascii="Times New Roman" w:cs="Times New Roman" w:eastAsia="Times New Roman" w:hAnsi="Times New Roman"/>
                <w:sz w:val="17"/>
                <w:szCs w:val="17"/>
                <w:b w:val="1"/>
                <w:bCs w:val="1"/>
                <w:color w:val="auto"/>
              </w:rPr>
              <w:t>Acquired on Exercise</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jc w:val="center"/>
              <w:ind w:left="141"/>
              <w:spacing w:after="0" w:line="204" w:lineRule="exact"/>
              <w:rPr>
                <w:sz w:val="20"/>
                <w:szCs w:val="20"/>
                <w:color w:val="auto"/>
              </w:rPr>
            </w:pPr>
            <w:r>
              <w:rPr>
                <w:rFonts w:ascii="Times New Roman" w:cs="Times New Roman" w:eastAsia="Times New Roman" w:hAnsi="Times New Roman"/>
                <w:sz w:val="15"/>
                <w:szCs w:val="15"/>
                <w:b w:val="1"/>
                <w:bCs w:val="1"/>
                <w:color w:val="auto"/>
              </w:rPr>
              <w:t>Exercise</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Acquired on Vesting</w:t>
            </w:r>
          </w:p>
        </w:tc>
        <w:tc>
          <w:tcPr>
            <w:tcW w:w="2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480" w:type="dxa"/>
            <w:vAlign w:val="bottom"/>
            <w:gridSpan w:val="2"/>
          </w:tcPr>
          <w:p>
            <w:pPr>
              <w:ind w:left="9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760" w:type="dxa"/>
            <w:vAlign w:val="bottom"/>
          </w:tcPr>
          <w:p>
            <w:pPr>
              <w:jc w:val="center"/>
              <w:ind w:left="75"/>
              <w:spacing w:after="0"/>
              <w:rPr>
                <w:sz w:val="20"/>
                <w:szCs w:val="20"/>
                <w:color w:val="auto"/>
              </w:rPr>
            </w:pPr>
            <w:r>
              <w:rPr>
                <w:rFonts w:ascii="Times New Roman" w:cs="Times New Roman" w:eastAsia="Times New Roman" w:hAnsi="Times New Roman"/>
                <w:sz w:val="17"/>
                <w:szCs w:val="17"/>
                <w:b w:val="1"/>
                <w:bCs w:val="1"/>
                <w:color w:val="auto"/>
              </w:rPr>
              <w:t>(#)</w:t>
            </w:r>
          </w:p>
        </w:tc>
        <w:tc>
          <w:tcPr>
            <w:tcW w:w="2200" w:type="dxa"/>
            <w:vAlign w:val="bottom"/>
            <w:gridSpan w:val="3"/>
          </w:tcPr>
          <w:p>
            <w:pPr>
              <w:jc w:val="center"/>
              <w:ind w:left="675"/>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22"/>
                <w:szCs w:val="22"/>
                <w:color w:val="auto"/>
              </w:rPr>
            </w:pPr>
          </w:p>
        </w:tc>
        <w:tc>
          <w:tcPr>
            <w:tcW w:w="1900" w:type="dxa"/>
            <w:vAlign w:val="bottom"/>
          </w:tcPr>
          <w:p>
            <w:pPr>
              <w:jc w:val="right"/>
              <w:ind w:right="678"/>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2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3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178,872</w:t>
            </w: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4,756,373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Sean B. O’Neil</w:t>
            </w:r>
          </w:p>
        </w:tc>
        <w:tc>
          <w:tcPr>
            <w:tcW w:w="17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17,250</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514,222</w:t>
            </w:r>
          </w:p>
        </w:tc>
        <w:tc>
          <w:tcPr>
            <w:tcW w:w="0" w:type="dxa"/>
            <w:vAlign w:val="bottom"/>
          </w:tcPr>
          <w:p>
            <w:pPr>
              <w:spacing w:after="0"/>
              <w:rPr>
                <w:sz w:val="1"/>
                <w:szCs w:val="1"/>
                <w:color w:val="auto"/>
              </w:rPr>
            </w:pPr>
          </w:p>
        </w:tc>
      </w:tr>
      <w:tr>
        <w:trPr>
          <w:trHeight w:val="205"/>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176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23,371</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620,237</w:t>
            </w:r>
          </w:p>
        </w:tc>
        <w:tc>
          <w:tcPr>
            <w:tcW w:w="0" w:type="dxa"/>
            <w:vAlign w:val="bottom"/>
          </w:tcPr>
          <w:p>
            <w:pPr>
              <w:spacing w:after="0"/>
              <w:rPr>
                <w:sz w:val="1"/>
                <w:szCs w:val="1"/>
                <w:color w:val="auto"/>
              </w:rPr>
            </w:pPr>
          </w:p>
        </w:tc>
      </w:tr>
      <w:tr>
        <w:trPr>
          <w:trHeight w:val="205"/>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17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30,298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799,200</w:t>
            </w:r>
          </w:p>
        </w:tc>
        <w:tc>
          <w:tcPr>
            <w:tcW w:w="0" w:type="dxa"/>
            <w:vAlign w:val="bottom"/>
          </w:tcPr>
          <w:p>
            <w:pPr>
              <w:spacing w:after="0"/>
              <w:rPr>
                <w:sz w:val="1"/>
                <w:szCs w:val="1"/>
                <w:color w:val="auto"/>
              </w:rPr>
            </w:pPr>
          </w:p>
        </w:tc>
      </w:tr>
      <w:tr>
        <w:trPr>
          <w:trHeight w:val="205"/>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George T. Henley</w:t>
            </w:r>
          </w:p>
        </w:tc>
        <w:tc>
          <w:tcPr>
            <w:tcW w:w="176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18,302</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551,455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00" w:hanging="298"/>
        <w:spacing w:after="0"/>
        <w:tabs>
          <w:tab w:leader="none" w:pos="300" w:val="left"/>
        </w:tabs>
        <w:numPr>
          <w:ilvl w:val="0"/>
          <w:numId w:val="7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No options were exercised during 2023.</w:t>
      </w:r>
    </w:p>
    <w:p>
      <w:pPr>
        <w:spacing w:after="0" w:line="187" w:lineRule="exact"/>
        <w:rPr>
          <w:rFonts w:ascii="Times New Roman" w:cs="Times New Roman" w:eastAsia="Times New Roman" w:hAnsi="Times New Roman"/>
          <w:sz w:val="28"/>
          <w:szCs w:val="28"/>
          <w:color w:val="auto"/>
          <w:vertAlign w:val="superscript"/>
        </w:rPr>
      </w:pPr>
    </w:p>
    <w:p>
      <w:pPr>
        <w:ind w:left="300" w:right="280" w:hanging="298"/>
        <w:spacing w:after="0" w:line="198" w:lineRule="auto"/>
        <w:tabs>
          <w:tab w:leader="none" w:pos="300" w:val="left"/>
        </w:tabs>
        <w:numPr>
          <w:ilvl w:val="0"/>
          <w:numId w:val="7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dollar amounts shown in this column for stock awards are calculated based on the closing price of a share of our common stock on the New York Stock Exchange on the date of vesting.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would treat any termination of employment of a named executive officer as we believe is appropriate in light of the circumstances, subject to the terms of our agreements with the executive, including Severance Plans, employment offer letters, any equity award agreement and the intellectual property, non-disclosure, non-competition and non-solicitation agreements discussed above under “Restrictive Covenants,” and our clawback policy, as applicable. In addition, a named executive officer would typically retain any vested portion of prior equity awards granted through the 1998 Annual Incentive Plan, our prior 2007 and 2017 equity incentive plans and the 2021 Plan.</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believe that the provisions in our option, RSU and PRSU award agreements relating to change in control support our compelling business need to incentivize the retention of key employees during the uncertain times preceding a potential change in control. As described below, our RSUs and PRSUs provide for accelerated vesting following a change in control only if such change in control is followed by actual or constructive termination (i.e., a “double trigger”), in order to further incentivize post-change in control retention and engagement.</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Treatment of Options. </w:t>
      </w:r>
      <w:r>
        <w:rPr>
          <w:rFonts w:ascii="Times New Roman" w:cs="Times New Roman" w:eastAsia="Times New Roman" w:hAnsi="Times New Roman"/>
          <w:sz w:val="17"/>
          <w:szCs w:val="17"/>
          <w:color w:val="auto"/>
        </w:rPr>
        <w:t>Our stock option agreements generally provide that, in the event of death, disability, retirement or termination by the Company without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cause, in each case as defined in the applicable stock option agreement, (i) all unvested options that vest over a certain time period (time-based) would immediately vest; (ii) all unvested options that vest in accordance with the fulfillment of market conditions or other performance criteria (performance-based) would generally continue to vest if the particular performance criteria is satisfied (in the case of retirement or termination without cause, within 90 days of termination); and (iii) all vested options generally terminate within a specified timeframe. Upon termination for cause, all vested and unvested options are immediately terminated. Additionally, pursuant to these stock option agreements, if there is a “change in control” as defined in the applicable stock option agreement, all options would immediately vest.</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Treatment of RSUs and PRSUs. </w:t>
      </w:r>
      <w:r>
        <w:rPr>
          <w:rFonts w:ascii="Times New Roman" w:cs="Times New Roman" w:eastAsia="Times New Roman" w:hAnsi="Times New Roman"/>
          <w:sz w:val="17"/>
          <w:szCs w:val="17"/>
          <w:color w:val="auto"/>
        </w:rPr>
        <w:t>In the case of death or disability, the awards will immediately vest on a pro-rata basis in proportion to the percentage of the vesting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period the participant served prior to termination, except that for the PRSUs granted July 31, 2023, all unvested units will vest. For the PRSUs granted in 2021 or 2022, any outstanding and incomplete measurement periods shall be deemed to have been achieved at target level. For the PRSUs granted in 2023, any open and incomplete measurement period shall be measured as of the termination date, and any measurement periods yet to begin shall be deemed to have been achieved at target level.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color w:val="auto"/>
        </w:rPr>
        <w:t>In the event of voluntary resignation (other than for good reason, as defined in the applicable award agreements), any unvested portion of an award will be forfeited.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Upon a termination without cause or retirement, the RSUs will immediately vest on a pro-rata basis in proportion to the percentage of the vesting period the participant served prior to termination. For the PRSUs granted in 2021 or 2022, the number of units that remain eligible to become vested, subject to achievement of applicable performance objectives at the end of the three-year cliff-vesting period, are calculated on a pro-rata basis in proportion to the percentage of the vesting period the participant served prior to termination. For the performance-restricted stock units granted April 3, 2023, the PRSUs will immediately vest on a pro-rata basis in proportion to the percentage of the vesting period the participant served prior to termination, any open and incomplete measurement period shall be measured as of the termination date, and any measurement periods yet to begin shall be deemed to have been achieved at target level. For the awards granted July 31, 2023, all unvested units will immediately vest and the measurement period shall be measured as of the termination date.</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event of a change in control, awards continue vesting in accordance with their terms, and any outstanding and incomplete measurement periods shall be deemed to have been achieved at target level. If, within 12 months of such change in control, the Company terminates the participant’s employment for any reason other than for cause, or the participant resigns for good reason, the awards will vest at target level as of the date of termination.</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Payments for Mr. Messina. </w:t>
      </w:r>
      <w:r>
        <w:rPr>
          <w:rFonts w:ascii="Times New Roman" w:cs="Times New Roman" w:eastAsia="Times New Roman" w:hAnsi="Times New Roman"/>
          <w:sz w:val="17"/>
          <w:szCs w:val="17"/>
          <w:color w:val="auto"/>
        </w:rPr>
        <w:t>In the event of Mr. Messina’s termination without cause or resignation for good reason, under the terms of his offer letter he will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entitled to receive (i) a lump sum termination payment in an amount equal to the sum of his base salary plus his annual target incentive, plus the estimated cost of 18 months’ COBRA benefit premiums, (ii) a pro rata portion of his annual bonus payment based on actual achievement of Ocwen performance objectives, and (iii) payment of any unpaid prior year bonus. If within two years following a change in control his employment is terminated without cause or he resigns for good reason, the value of his lump sum termination payment will increase to two years of base salary, target incentive and COBRA benefit premiums, in addition to continued bonus eligibility outlined above.</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Payments for Mr. O’Neil. </w:t>
      </w:r>
      <w:r>
        <w:rPr>
          <w:rFonts w:ascii="Times New Roman" w:cs="Times New Roman" w:eastAsia="Times New Roman" w:hAnsi="Times New Roman"/>
          <w:sz w:val="17"/>
          <w:szCs w:val="17"/>
          <w:color w:val="auto"/>
        </w:rPr>
        <w:t>In the event of Mr. O’Neil’s termination without cause or resignation for good reason within his first four years of employment, under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terms of his offer letter he will be entitled to receive (i) the value of any unpaid cash sign-on bonus payments, (ii) any unvested sign-on restricted stock units, and (iii) severance benefits consistent with a qualifying termination of employment under the applicable Severance Plan, as described below.</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Severance Plans. </w:t>
      </w:r>
      <w:r>
        <w:rPr>
          <w:rFonts w:ascii="Times New Roman" w:cs="Times New Roman" w:eastAsia="Times New Roman" w:hAnsi="Times New Roman"/>
          <w:sz w:val="17"/>
          <w:szCs w:val="17"/>
          <w:color w:val="auto"/>
        </w:rPr>
        <w:t>Messrs. Anderson, O’Neil and Zeleny are eligible for severance benefits upon a qualifying termination of employment, conditioned upon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execution of a separation and release agreement, consistent with either the United States Basic Severance Plan (the Severance Plan) or the United States Change in Control Severance Plan (the CIC Plan).</w:t>
      </w:r>
    </w:p>
    <w:p>
      <w:pPr>
        <w:jc w:val="both"/>
        <w:spacing w:after="0" w:line="257" w:lineRule="auto"/>
        <w:rPr>
          <w:sz w:val="20"/>
          <w:szCs w:val="20"/>
          <w:color w:val="auto"/>
        </w:rPr>
      </w:pPr>
      <w:r>
        <w:rPr>
          <w:rFonts w:ascii="Times New Roman" w:cs="Times New Roman" w:eastAsia="Times New Roman" w:hAnsi="Times New Roman"/>
          <w:sz w:val="17"/>
          <w:szCs w:val="17"/>
          <w:color w:val="auto"/>
        </w:rPr>
        <w:t>Under the Severance Plan, if an executive officer’s employment with the Company is terminated by the Company due to an eligible termination as defined in the Severance Plan, the executive will be entitled to receive the following benefits: (i) a lump sum payment equal to 18 times the monthly base salary rate; and (ii) eligibility for subsidized COBRA benefit premiums for continued healthcare coverage for up to 18 months, if elected.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CIC Plan, if a Change in Control (as defined in the CIC Plan) occurs and either the participant’s employment is involuntarily terminated or he or she resigns for good reason within the 12-month period following the Change in Control or he or she has been requested by the Company to continue in the employment of the Company through a specified date following a Change in Control and the participant remains in the employment of the Company for such specified period, the executive will be entitled to receive the following benefits, in lieu of and not in addition to, the benefits described in the preceding paragraph:</w:t>
      </w:r>
    </w:p>
    <w:p>
      <w:pPr>
        <w:spacing w:after="0" w:line="3" w:lineRule="exact"/>
        <w:rPr>
          <w:sz w:val="20"/>
          <w:szCs w:val="20"/>
          <w:color w:val="auto"/>
        </w:rPr>
      </w:pPr>
    </w:p>
    <w:p>
      <w:pPr>
        <w:jc w:val="both"/>
        <w:ind w:firstLine="2"/>
        <w:spacing w:after="0" w:line="257" w:lineRule="auto"/>
        <w:tabs>
          <w:tab w:leader="none" w:pos="20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24 times the monthly base salary rate, plus the annual target incentive under the Annual Incentive Plan prorated for their length of service for the year in which the termination occurs; and (ii) eligibility for subsidized COBRA benefit premiums for continued healthcare coverage for up to 24 months, if elected.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Tabular Disclosure of Payments on Termination or Change in Control</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table below sets forth the potential benefits that each named executive officer serving as of December 31, 2023 would have been entitled to receive from the Company as described above upon a termination of employment under the circumstances described above, and the potential benefits that each individual would have been entitled to receive with respect to accelerated vesting of equity awards had a termination of employment under the circumstances described above or a change in control of the Company occurred, assuming that the event occurred on the last day of fiscal year 2023.</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value of any outstanding equity awards that would accelerate is determined by multiplying (i) the number of unvested restricted stock units held by the named executive officer that would accelerate by (ii) $30.76, the closing price of a share of our common stock on the New York Stock Exchange on December 29, 2023 (the last trading day of the year). Additionally, at that share price, no stock options for which vesting would accelerate had value.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of Employment or Change in Control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80"/>
              <w:spacing w:after="0" w:line="190" w:lineRule="exact"/>
              <w:rPr>
                <w:sz w:val="20"/>
                <w:szCs w:val="20"/>
                <w:color w:val="auto"/>
              </w:rPr>
            </w:pPr>
            <w:r>
              <w:rPr>
                <w:rFonts w:ascii="Times New Roman" w:cs="Times New Roman" w:eastAsia="Times New Roman" w:hAnsi="Times New Roman"/>
                <w:sz w:val="17"/>
                <w:szCs w:val="17"/>
                <w:b w:val="1"/>
                <w:bCs w:val="1"/>
                <w:color w:val="auto"/>
                <w:w w:val="96"/>
              </w:rPr>
              <w:t>Voluntary</w:t>
            </w: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05"/>
        </w:trPr>
        <w:tc>
          <w:tcPr>
            <w:tcW w:w="3260" w:type="dxa"/>
            <w:vAlign w:val="bottom"/>
          </w:tcPr>
          <w:p>
            <w:pPr>
              <w:spacing w:after="0"/>
              <w:rPr>
                <w:sz w:val="17"/>
                <w:szCs w:val="17"/>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Good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Reason or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Voluntary</w:t>
            </w: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Involuntary</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Control</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Involuntary</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Resignation</w:t>
            </w: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Control</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60" w:type="dxa"/>
            <w:vAlign w:val="bottom"/>
          </w:tcPr>
          <w:p>
            <w:pPr>
              <w:spacing w:after="0"/>
              <w:rPr>
                <w:sz w:val="17"/>
                <w:szCs w:val="17"/>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with Good</w:t>
            </w: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Not for</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without</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Qualifying</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Disability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3260" w:type="dxa"/>
            <w:vAlign w:val="bottom"/>
          </w:tcPr>
          <w:p>
            <w:pPr>
              <w:ind w:left="14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for Cause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Reason</w:t>
            </w:r>
          </w:p>
        </w:tc>
        <w:tc>
          <w:tcPr>
            <w:tcW w:w="12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Cause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Termination</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or Death</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Retirement</w:t>
            </w:r>
          </w:p>
        </w:tc>
      </w:tr>
      <w:tr>
        <w:trPr>
          <w:trHeight w:val="205"/>
        </w:trPr>
        <w:tc>
          <w:tcPr>
            <w:tcW w:w="3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4,110,159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6"/>
              </w:rPr>
              <w:t>6,307,437</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82"/>
              </w:rPr>
              <w:t>—</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17,004,029</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5,190,129</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2,197,278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Sean B. O’Neil</w:t>
            </w:r>
          </w:p>
        </w:tc>
        <w:tc>
          <w:tcPr>
            <w:tcW w:w="180" w:type="dxa"/>
            <w:vAlign w:val="bottom"/>
          </w:tcPr>
          <w:p>
            <w:pPr>
              <w:spacing w:after="0"/>
              <w:rPr>
                <w:sz w:val="17"/>
                <w:szCs w:val="17"/>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2,289,182</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6"/>
              </w:rPr>
              <w:t>2,624,631</w:t>
            </w:r>
          </w:p>
        </w:tc>
        <w:tc>
          <w:tcPr>
            <w:tcW w:w="280" w:type="dxa"/>
            <w:vAlign w:val="bottom"/>
          </w:tcPr>
          <w:p>
            <w:pPr>
              <w:spacing w:after="0"/>
              <w:rPr>
                <w:sz w:val="17"/>
                <w:szCs w:val="17"/>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4,036,755</w:t>
            </w:r>
          </w:p>
        </w:tc>
        <w:tc>
          <w:tcPr>
            <w:tcW w:w="28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762,172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553,994</w:t>
            </w:r>
          </w:p>
        </w:tc>
      </w:tr>
      <w:tr>
        <w:trPr>
          <w:trHeight w:val="205"/>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750,000</w:t>
            </w: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6"/>
              </w:rPr>
              <w:t>1,140,957</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2,545,290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755,125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390,957</w:t>
            </w:r>
          </w:p>
        </w:tc>
      </w:tr>
      <w:tr>
        <w:trPr>
          <w:trHeight w:val="222"/>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180" w:type="dxa"/>
            <w:vAlign w:val="bottom"/>
          </w:tcPr>
          <w:p>
            <w:pPr>
              <w:spacing w:after="0"/>
              <w:rPr>
                <w:sz w:val="19"/>
                <w:szCs w:val="19"/>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750,000</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6"/>
              </w:rPr>
              <w:t>1,117,742</w:t>
            </w:r>
          </w:p>
        </w:tc>
        <w:tc>
          <w:tcPr>
            <w:tcW w:w="280" w:type="dxa"/>
            <w:vAlign w:val="bottom"/>
          </w:tcPr>
          <w:p>
            <w:pPr>
              <w:spacing w:after="0"/>
              <w:rPr>
                <w:sz w:val="19"/>
                <w:szCs w:val="19"/>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2,428,556</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701,515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367,742</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Separation Payments for George Henley</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as of December 31, 2023, Mr. Henley departed the Company as Executive Vice President and Chief Growth Officer. The Company entered into a separation and release agreement with Mr. Henley in connection with a leadership transition initiated by Ocwen, pursuant to which he received the benefits entitled to him under the Severance Plan (see “All Other Compensation” table above) and settlement of outstanding RSU and PRSU awards pursuant to the applicable terms of the respective awards (see “Option Exercises and Stock Vested During 2023” table and “Potential Payments upon Termination or Change in Control” section above). The separation and release agreement provides for a release of claims against the Company and for Mr. Henley to comply with certain non-solicitation and other covenants in the interest of the Company. As a participant in Ocwen’s Executive Non-Qualified Deferred Compensation Plan, upon his termination Mr. Henley was entitled to previously deferred compensation amounts and related earnings which are not included in the above amounts.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0" w:name="page71"/>
    <w:bookmarkEnd w:id="70"/>
    <w:p>
      <w:pPr>
        <w:jc w:val="center"/>
        <w:ind w:right="2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APPROVAL OF AN AMENDMENT TO OUR ARTICLES OF INCORPORATION TO CHANGE OUR NAME TO ONITY GROUP INC. </w:t>
      </w:r>
      <w:r>
        <w:rPr>
          <w:rFonts w:ascii="Times New Roman" w:cs="Times New Roman" w:eastAsia="Times New Roman" w:hAnsi="Times New Roman"/>
          <w:sz w:val="17"/>
          <w:szCs w:val="17"/>
          <w:color w:val="auto"/>
        </w:rPr>
        <w:t>(Proposal Two)</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April 10, 2024, the Board adopted a resolution approving an amendment to Article I of the Company’s Amended and Restated Articles of Incorporation, as amended (our Articles of Incorporation) to effect a name change and recommended that the name change amendment be submitted to shareholders for approval. The Board believes that it is in the best interest of the Company to change its name from Ocwen Financial Corporation to Onity Group Inc. and recommends the approval of the name change amendment to the Company’s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Reasons for the name change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Over the past five years, the Company has embarked on an extensive transformation of its business. During this time, Ocwen has steadily grown its mortgage servicing and subservicing portfolios, built a strong and scalable servicing platform with industry-leading cost and operational performance, added multi-channel originations and asset management capabilities, established multiple capital partner relationships to enable capital-light servicing growth, and made significant technology investments to modernize its global platform.</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Rebranding to Onity Group is the culmination of the Company’s transformation, growth and expansion into a balanced and diversified mortgage company and reflects the confidence of the Board and management in the strength of the business and its long-term enterprise value.</w:t>
      </w:r>
    </w:p>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Company’s principal operating subsidiary, PHH Mortgage Corporation, will maintain its current name at this time. The Company expects to begin rebranding PHH Mortgage Corporation to Onity Mortgage later this year to align this subsidiary’s name with the new name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Rationale for the new name</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Deeply embedded in the Company’s culture is its intention to consistently deliver on its commitments to achieve positive outcomes for all of its stakeholders. This attitude is central to the Company’s mission, values and operating principles, and the Company firmly believes that all employees must strive to deliver this level of commitment and service.</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Following a rigorous research and brand strategy development analysis, the Company selected Onity as its primary brand name. The Company believes its new name reflects the capabilities of a hard-working team with a can-do, problem-solving culture and the promise of dependability, performance and support. Within the name Onity is the phrase “on it,” which conveys action and commitment to getting the job done.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Effects of the name change</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If the name change amendment is approved by shareholders, the name change will be effective when the amendment to the Articles of Incorporation is filed with the Secretary of State of the State of Florida. The Company has reserved the NYSE stock symbol “ONIT.” If the name change amendment is approved, the Company intends to request that its common stock trade under this new stock symbol, rather than under the current “OCN” symbol.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name change amendment is approved by shareholders, Article I of the Company’s Articles of Incorporation will be amended to read in its entirety as follows: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name of this corporation is Onity Group Inc.” No other changes to the Articles of Incorporation will be included in the amendment thereof.</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change of the Company’s name will not in any way affect the voting or other rights that accompany the Company’s common stock or the validity or transferability of our shares currently outstanding, and no action by shareholders will be required in connection with the name change.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 OF THE AMENDMENT TO OUR ARTICLES OF INCORPORATION TO CHANGE OUR NAME TO ONITY GROUP INC .</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(Proposal Three)</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Audit Committee of our Board of Directors has appointed Deloitte &amp; Touche LLP, independent registered public accountants, to be our independent registered public accounting firm for the year ending December 31, 2024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Representatives of Deloitte &amp; Touche LLP will be present at the Annual Meeting, will be given the opportunity to make a statement, if they so desire, and will be available to respond to appropriate questions from you.</w:t>
      </w:r>
    </w:p>
    <w:p>
      <w:pPr>
        <w:spacing w:after="0" w:line="148" w:lineRule="exact"/>
        <w:rPr>
          <w:sz w:val="20"/>
          <w:szCs w:val="20"/>
          <w:color w:val="auto"/>
        </w:rPr>
      </w:pPr>
    </w:p>
    <w:p>
      <w:pPr>
        <w:jc w:val="center"/>
        <w:ind w:left="340" w:right="1800"/>
        <w:spacing w:after="0" w:line="270"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RATIFICATION OF DELOITTE &amp; TOUCHE LLP AS OUR INDEPENDENT REGISTERED PUBLIC ACCOUNTING FIRM FOR 2024.</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of the Board of Directors has:</w:t>
      </w:r>
    </w:p>
    <w:p>
      <w:pPr>
        <w:spacing w:after="0" w:line="214" w:lineRule="exact"/>
        <w:rPr>
          <w:sz w:val="20"/>
          <w:szCs w:val="20"/>
          <w:color w:val="auto"/>
        </w:rPr>
      </w:pPr>
    </w:p>
    <w:p>
      <w:pPr>
        <w:ind w:left="620" w:hanging="310"/>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discussed with management Ocwen’s audited financial statements as of and for the year ended December 31, 2023;</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Deloitte &amp; Touche LLP, Ocwen’s independent registered public accounting firm, the matters required to be discussed by the applicable requirements of the Public Company Accounting Oversight Board and the Securities and Exchange Commission; and</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6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In reliance on the review and discussion referred to above, the Audit Committee recommended to the Board of Directors that the audited financial statements be included in Ocwen’s annual report on Form 10-K for the year ended December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Audit Committee operates under a written charter approved by our Board of Directors, a copy of which is available on our website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657"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12, 2024</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J. Bowers,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Jenne K. Britell,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Jacques J. Busquet, Director</w:t>
      </w:r>
    </w:p>
    <w:p>
      <w:pPr>
        <w:spacing w:after="0" w:line="193" w:lineRule="exact"/>
        <w:rPr>
          <w:sz w:val="20"/>
          <w:szCs w:val="20"/>
          <w:color w:val="auto"/>
        </w:rPr>
      </w:pPr>
    </w:p>
    <w:p>
      <w:pPr>
        <w:sectPr>
          <w:pgSz w:w="11900" w:h="16838" w:orient="portrait"/>
          <w:cols w:equalWidth="0" w:num="2">
            <w:col w:w="5020" w:space="720"/>
            <w:col w:w="550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Deloitte &amp; Touche LLP Fees</w:t>
      </w:r>
    </w:p>
    <w:p>
      <w:pPr>
        <w:sectPr>
          <w:pgSz w:w="11900" w:h="16838" w:orient="portrait"/>
          <w:cols w:equalWidth="0" w:num="1">
            <w:col w:w="11240"/>
          </w:cols>
          <w:pgMar w:left="320" w:top="657" w:right="33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aggregate fees billed to Ocwen for professional services by Deloitte &amp; Touche LLP for fiscal years 2023 and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 Fees</w:t>
            </w:r>
          </w:p>
        </w:tc>
        <w:tc>
          <w:tcPr>
            <w:tcW w:w="11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2,769,498</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3,617,086</w:t>
            </w:r>
          </w:p>
        </w:tc>
        <w:tc>
          <w:tcPr>
            <w:tcW w:w="100" w:type="dxa"/>
            <w:vAlign w:val="bottom"/>
            <w:shd w:val="clear" w:color="auto" w:fill="CCEEFF"/>
          </w:tcPr>
          <w:p>
            <w:pPr>
              <w:spacing w:after="0"/>
              <w:rPr>
                <w:sz w:val="17"/>
                <w:szCs w:val="17"/>
                <w:color w:val="auto"/>
              </w:rPr>
            </w:pPr>
          </w:p>
        </w:tc>
      </w:tr>
      <w:tr>
        <w:trPr>
          <w:trHeight w:val="205"/>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Audit Related Fees</w:t>
            </w:r>
          </w:p>
        </w:tc>
        <w:tc>
          <w:tcPr>
            <w:tcW w:w="118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850,350</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1,287,416</w:t>
            </w:r>
          </w:p>
        </w:tc>
      </w:tr>
      <w:tr>
        <w:trPr>
          <w:trHeight w:val="205"/>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Tax Fees</w:t>
            </w:r>
          </w:p>
        </w:tc>
        <w:tc>
          <w:tcPr>
            <w:tcW w:w="1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1,164,982</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1,094,928</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All Other Fees</w:t>
            </w:r>
          </w:p>
        </w:tc>
        <w:tc>
          <w:tcPr>
            <w:tcW w:w="11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tcBorders>
              <w:top w:val="single" w:sz="8" w:color="auto"/>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4,784,830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Fees. </w:t>
      </w:r>
      <w:r>
        <w:rPr>
          <w:rFonts w:ascii="Times New Roman" w:cs="Times New Roman" w:eastAsia="Times New Roman" w:hAnsi="Times New Roman"/>
          <w:sz w:val="17"/>
          <w:szCs w:val="17"/>
          <w:color w:val="auto"/>
        </w:rPr>
        <w:t>This category includes the aggregate fees billed for professional services rendered for the audits of Ocwen’s consolidated financial statements for fiscal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years 2023 and 2022, for the reviews of the financial statements included in Ocwen’s quarterly reports on Form 10-Q during fiscal years 2023 and 2022 and for services that are normally provided by the independent registered public accounting firm in connection with statutory and regulatory filings or engagements for the relevant fiscal years.</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Related Fees. </w:t>
      </w:r>
      <w:r>
        <w:rPr>
          <w:rFonts w:ascii="Times New Roman" w:cs="Times New Roman" w:eastAsia="Times New Roman" w:hAnsi="Times New Roman"/>
          <w:sz w:val="17"/>
          <w:szCs w:val="17"/>
          <w:color w:val="auto"/>
        </w:rPr>
        <w:t>This category includes the aggregate fees billed for reporting on internal controls relating to servicing operations and evaluation procedures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performed in connection with documentation relating to a collateralized note offering.</w:t>
      </w:r>
    </w:p>
    <w:p>
      <w:pPr>
        <w:spacing w:after="0" w:line="1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Tax Fees. </w:t>
      </w:r>
      <w:r>
        <w:rPr>
          <w:rFonts w:ascii="Times New Roman" w:cs="Times New Roman" w:eastAsia="Times New Roman" w:hAnsi="Times New Roman"/>
          <w:sz w:val="17"/>
          <w:szCs w:val="17"/>
          <w:color w:val="auto"/>
        </w:rPr>
        <w:t>This category includes the aggregate fees billed in each of the last two fiscal years for professional services rendered by the independent registered public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firm for tax compliance, tax planning and tax advice.</w:t>
      </w:r>
    </w:p>
    <w:p>
      <w:pPr>
        <w:spacing w:after="0" w:line="1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All Other Fees. </w:t>
      </w:r>
      <w:r>
        <w:rPr>
          <w:rFonts w:ascii="Times New Roman" w:cs="Times New Roman" w:eastAsia="Times New Roman" w:hAnsi="Times New Roman"/>
          <w:sz w:val="17"/>
          <w:szCs w:val="17"/>
          <w:color w:val="auto"/>
        </w:rPr>
        <w:t>This category includes the aggregate amounts billed in each of the last two fiscal years by the independent registered public accounting firm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reported above under “Audit Fees,” “Audit-Related Fees” or “Tax Fees.”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73" w:name="page74"/>
    <w:bookmarkEnd w:id="73"/>
    <w:p>
      <w:pPr>
        <w:jc w:val="both"/>
        <w:spacing w:after="0" w:line="284" w:lineRule="auto"/>
        <w:rPr>
          <w:sz w:val="20"/>
          <w:szCs w:val="20"/>
          <w:color w:val="auto"/>
        </w:rPr>
      </w:pPr>
      <w:r>
        <w:rPr>
          <w:rFonts w:ascii="Times New Roman" w:cs="Times New Roman" w:eastAsia="Times New Roman" w:hAnsi="Times New Roman"/>
          <w:sz w:val="17"/>
          <w:szCs w:val="17"/>
          <w:color w:val="auto"/>
        </w:rPr>
        <w:t>The Audit Committee evaluated the non-audit-related services provided by and fees paid to Deloitte &amp; Touche LLP in 2023 and 2022 and the proposed services for 2024 and determined that such services and fees are compatible with the independence of Deloitte &amp; Touche LLP.</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Principles for Audit Committee Pre-Approval of Audit and Non-Audit Services Provided by the Independent Auditor (the Pre-Approval Principles). </w:t>
      </w:r>
      <w:r>
        <w:rPr>
          <w:rFonts w:ascii="Times New Roman" w:cs="Times New Roman" w:eastAsia="Times New Roman" w:hAnsi="Times New Roman"/>
          <w:sz w:val="17"/>
          <w:szCs w:val="17"/>
          <w:color w:val="auto"/>
        </w:rPr>
        <w:t>The Audit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audit and permitted non-audit services to be provided by the independent auditor, including the projected fees for such services, shall be pre-approved by the Audit Committee. In general, predictable and recurring audit and permitted non-audit services shall be considered for general and/or specific pre-approval by the full Audit Committee on an annual basis, generally in conjunction with the selection of the independent auditor. At this time, the Audit Committee may also choose to provide pre-approval of audit, audit-related and tax services that may ultimately be required, but are not specifically identified at the beginning of the calendar year.</w:t>
      </w:r>
    </w:p>
    <w:p>
      <w:pPr>
        <w:spacing w:after="0" w:line="3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For any services not covered by these initial pre-approvals, the Audit Committee delegates authority to the Chair of the Audit Committee to pre-approve any audit or permitted non-audit or tax service for which the estimated fee does not exceed $500,000. Any service not covered by the Audit Committee’s initial pre-approvals and for which fees are expected to exceed $500,000 shall be pre-approved by the full Audit Committee.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does not delegate its responsibilities to pre-approve services performed by the independent auditor to management.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TO APPROVE NAMED EXECUTIVE OFFICER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(Proposal Four)</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described in more detail under the heading “Executive Compensation,” we believe our executive compensation programs are effectively designed, are in alignment with the interests of our shareholders and are instrumental to achieving our business strategy. At our Annual Meeting of Shareholders in 2023, we received 85% of votes cast on our Say-on-Pay proposal in favor of our named executive officer compensation.</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Compensation Committee considered the result of the 2023 Say-on-Pay proposal, as well as input gathered from advisors, shareholders and investors, in designing our 2023 executive compensation program. We discussed progress made toward Ocwen’s return to profitability, execution against the objectives in our business strategy, including growth in our servicing and originations channels, and how the metrics found in our executive pay programs tied back directly to achievement on those objectives. In particular, we demonstrated how AIP metrics were tied to improving profitability, continued cost reduction, improved operating metrics, and customer and employee satisfaction. We also continued to align our Long-Term Incentive program to performance metrics based on total shareholder return relative to our peer group, and provided for awards to settle in shares of common stock in response to shareholder expectations to increase management’s ownership in the company. We believe that on the basis of our disclosures and shareholder communications, shareholders understood and supported the linkage of our executive pay programs to profitability, accelerating growth, cost leadership and improving customer and client satisfaction during 2023.</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Compensation Committee and our Board of Directors intend to continue to consider shareholder feedback as well as recommended best practices put forth by shareholder proxy advisory firms such as ISS to the extent these institutions’ recommendations are aligned with the interests of our shareholders. We also intend to continue to hold an advisory Say-on-Pay vote at each annual meeting of 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Accordingly, we will ask our shareholders to vote on the following proposed resolution at the Annual Meeting:</w:t>
      </w:r>
    </w:p>
    <w:p>
      <w:pPr>
        <w:spacing w:after="0" w:line="214" w:lineRule="exact"/>
        <w:rPr>
          <w:sz w:val="20"/>
          <w:szCs w:val="20"/>
          <w:color w:val="auto"/>
        </w:rPr>
      </w:pPr>
    </w:p>
    <w:p>
      <w:pPr>
        <w:jc w:val="both"/>
        <w:ind w:left="620" w:right="620"/>
        <w:spacing w:after="0" w:line="262" w:lineRule="auto"/>
        <w:rPr>
          <w:sz w:val="20"/>
          <w:szCs w:val="20"/>
          <w:color w:val="auto"/>
        </w:rPr>
      </w:pPr>
      <w:r>
        <w:rPr>
          <w:rFonts w:ascii="Times New Roman" w:cs="Times New Roman" w:eastAsia="Times New Roman" w:hAnsi="Times New Roman"/>
          <w:sz w:val="17"/>
          <w:szCs w:val="17"/>
          <w:color w:val="auto"/>
        </w:rPr>
        <w:t>“RESOLVED, that the Company’s shareholders approve, on an advisory basis, the compensation of the named executive officers, as disclosed in the Company’s Proxy Statement for the 2024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While the Compensation Committee and our Board of Directors intend to carefully consider the shareholder vote resulting from this proposal, the final vote will not be binding on us and is advisory in nature.</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current policy is to provide shareholders with an opportunity to approve, on an advisory basis, the compensation of the named executive officers each year at the annual meeting of shareholders. This policy aligns with the preference expressed by our shareholders at our 2023 Annual Meeting for Shareholders, who voted overwhelmingly to advise the Company to hold Say-on-Pay votes annually. Our Board of Directors continues to believe that Say-on-Pay votes should be conducted every year so that our shareholders may annually express their views on our executive compensation program and have adopted our shareholders’ recommendation to hold the Say-on-Pay vote every year. Therefore, we expect that the next such vote will occur at the 2025 Annual Meeting of Shareholders.</w:t>
      </w:r>
    </w:p>
    <w:p>
      <w:pPr>
        <w:spacing w:after="0" w:line="171" w:lineRule="exact"/>
        <w:rPr>
          <w:sz w:val="20"/>
          <w:szCs w:val="20"/>
          <w:color w:val="auto"/>
        </w:rPr>
      </w:pPr>
    </w:p>
    <w:p>
      <w:pPr>
        <w:jc w:val="center"/>
        <w:spacing w:after="0" w:line="270"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APPROVAL, ON AN ADVISORY BASIS, OF THE COMPENSATION OF THE COMPANY’S NAMED EXECUTIVE OFFICERS, AS DISCLOSED IN THIS PROXY STATEMENT.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APPROVAL OF AMENDMENT TO THE OCWEN FINANCIAL CORPORATION 2021 EQUITY INCENTIVE PLAN TO INCREASE AVAILABLE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(Proposal Five)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At the Annual Meeting, shareholders will be asked to approve an amendment (the 2021 Plan Amendment) to the Ocwen Financial Corporation 2021 Equity Incentive Plan (the 2021 Plan) to increase the number of shares that may be issued under the plan as described below. The proposed amendment was adopted, subject to shareholder approval, by our Board of Directors on April 10, 2024. The full text of the 2021 Plan Amendment and the 2021 Plan as currently in effect are included below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believes that incentives and stock-based awards focus employees on the objective of creating shareholder value and promoting the success of the Company, and that incentive compensation plans like the 2021 Plan are an important attraction, retention and motivation tool for participants in the plan.</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presently makes grants under the 2021 Plan. In addition, awards remain outstanding under the 2017 Performance Incentive Plan (the 2017 Plan) and the 2007 Equity Incentive Plan (the “2007 Plan” and together with the 2017 Plan, the Legacy Plans). As of March 31, 2024, a total of 886,381 shares of the Company’s common stock were subject to outstanding awards granted under the 2021 Plan and 38,712 shares were subject to outstanding awards granted under Legacy Plans. As of March 31, 2024, 78,105 shares of the Company’s common stock were available for new award grants under the 2021 Plan.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Board of Directors believes that the number of shares currently available under the 2021 Plan does not give the Company sufficient flexibility to adequately provide for future incentives. If shareholders approve the 2021 Plan Amendment, an additional 350,000 shares of the Company’s common stock will be made available for award grants under the 2021 Plan. In addition, any shares of common stock underlying RSUs granted under the Legacy Plans that fail to vest, are canceled, or otherwise terminate will also be available for award grant purposes under the 2021 Plan. None of the shares of the Company’s common stock underlying stock options that expire, are canceled, or otherwise terminate will be available for award grant purposes under the 2021 Plan.</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From December 31, 2020, to December 31, 2023, fully-diluted book value has increased 1% while estimated share count after cashless exercise of warrants issued to Oaktree has decreased 3%. The addition of 350,000 shares to the 2021 Plan would result in a less than 0.5% increase to share count,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106680</wp:posOffset>
            </wp:positionV>
            <wp:extent cx="5513070" cy="2089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13070"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20" w:hanging="310"/>
        <w:spacing w:after="0"/>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Shares Outstanding at each year-end also includes warrants, outstanding equity awards and shares available in 2021 Plan.</w:t>
      </w:r>
    </w:p>
    <w:p>
      <w:pPr>
        <w:spacing w:after="0" w:line="26" w:lineRule="exact"/>
        <w:rPr>
          <w:rFonts w:ascii="Times New Roman" w:cs="Times New Roman" w:eastAsia="Times New Roman" w:hAnsi="Times New Roman"/>
          <w:sz w:val="17"/>
          <w:szCs w:val="17"/>
          <w:color w:val="auto"/>
        </w:rPr>
      </w:pPr>
    </w:p>
    <w:p>
      <w:pPr>
        <w:ind w:left="620" w:hanging="310"/>
        <w:spacing w:after="0" w:line="251" w:lineRule="auto"/>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warrants issued to Oaktree are cashlessly exercised using 10-day average of Volume Weighted Average Price (10 days ending on preceding day of exercise) on 12/31/2023 of $29.83.</w:t>
      </w:r>
    </w:p>
    <w:p>
      <w:pPr>
        <w:ind w:left="620" w:hanging="310"/>
        <w:spacing w:after="0"/>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EIP Activity in 2021 and 2022 includes grants, performance adjustments, and share recycling for taxes, forfeits and expiration.</w:t>
      </w:r>
    </w:p>
    <w:p>
      <w:pPr>
        <w:spacing w:after="0" w:line="19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If shareholders do not approve the 2021 Plan Amendment, the Company will continue to have the authority to grant awards subject to share availability under the 2021 Plan. If shareholders approve the 2021 Plan Amendment, there will be no impact on awards then outstanding under the 2021 Plan or Legacy Plans.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Summary Description of the 2021 Equity Incentive Plan</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 xml:space="preserve">The principal terms of the 2021 Plan are summarized below. The following summary is qualified in its entirety by the full text of the 2021 Plan, which is included in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to this proxy statement.</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Purpose</w:t>
      </w:r>
      <w:r>
        <w:rPr>
          <w:rFonts w:ascii="Times New Roman" w:cs="Times New Roman" w:eastAsia="Times New Roman" w:hAnsi="Times New Roman"/>
          <w:sz w:val="17"/>
          <w:szCs w:val="17"/>
          <w:color w:val="auto"/>
        </w:rPr>
        <w:t>. The purpose of the 2021 Plan is to promote the success of the Company by providing an additional means for us to attract, motivate, retain and reward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selected employees and other eligible persons through the grant of awards. Equity-based awards are also intended to further align the interests of award recipients and our shareholders.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Administration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Board of Directors or one or more committees appointed by our Board of Directors will administer the 2021 Plan. Our Board of Directors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delegated general administrative authority for the 2021 Plan to the Compensation Committee. The Board of Directors or a committee thereof (within its delegated authority) may delegate different levels of authority to different committees or persons with administrative and grant authority under the 2021 Plan. (The appropriate acting body, be it the Board of Directors or a committee or other person within its delegated authority, is referred to in this proposal as the “Administrator”.)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Administrator has broad authority under the 2021 Plan, including, without limitation, the authority:</w:t>
      </w:r>
    </w:p>
    <w:p>
      <w:pPr>
        <w:spacing w:after="0" w:line="214" w:lineRule="exact"/>
        <w:rPr>
          <w:sz w:val="20"/>
          <w:szCs w:val="20"/>
          <w:color w:val="auto"/>
        </w:rPr>
      </w:pPr>
    </w:p>
    <w:p>
      <w:pPr>
        <w:ind w:left="620" w:hanging="310"/>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eligible participants and determine the type(s) of award(s) that they are to receive;</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grant awards and determine the terms and conditions of awards, including the price (if any) to be paid for the shares or the award and, in the case of share-based awards, the number of shares to be offered or awarded;</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to determine the circumstances in which any performance-based goals (or the applicable measure of performance) will be adjusted and the nature and impact of any such adjustment, to establish the events (if any) on which exercisability or vesting may accelerate (including specified terminations of employment or service or other circumstances), and to accelerate or extend the vesting or exercisability or extend the term of any or all outstanding awards;</w:t>
      </w:r>
    </w:p>
    <w:p>
      <w:pPr>
        <w:spacing w:after="0" w:line="17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cancel, modify, or waive the Company’s rights with respect to, or modify, discontinue, suspend, or terminate any or all outstanding awards, subject to any required consents;</w:t>
      </w:r>
    </w:p>
    <w:p>
      <w:pPr>
        <w:spacing w:after="0" w:line="152"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other provisions of the 2021 Plan, to make certain adjustments to an outstanding award and to authorize the conversion, succession or substitution of an award;</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method of payment of any purchase price for an award or shares of the Company’s common stock delivered under the 2021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jc w:val="both"/>
        <w:ind w:left="620" w:hanging="310"/>
        <w:spacing w:after="0" w:line="267" w:lineRule="auto"/>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6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form of any award agreements used under the 2021 Plan; and</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2021 Plan, make rules for the administration of the 2021 Plan, and make all other determinations for the administration of the 2021 Plan.</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 Repricing. </w:t>
      </w:r>
      <w:r>
        <w:rPr>
          <w:rFonts w:ascii="Times New Roman" w:cs="Times New Roman" w:eastAsia="Times New Roman" w:hAnsi="Times New Roman"/>
          <w:sz w:val="17"/>
          <w:szCs w:val="17"/>
          <w:color w:val="auto"/>
        </w:rPr>
        <w:t>In no case (except due to an adjustment to reflect a stock split or other event referred to under “Adjustments” below, or any repricing that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approved by shareholders) will the Administrator (1) amend an outstanding stock option or stock appreciation right to reduce the exercise price or base price of the award, (2) cancel, exchange, or surrender an outstanding stock option or stock appreciation right in exchange for cash or other awards at any time that the exercise price or base price of the award is greater than fair market value or under any other circumstances that would constitute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Eligibility. </w:t>
      </w:r>
      <w:r>
        <w:rPr>
          <w:rFonts w:ascii="Times New Roman" w:cs="Times New Roman" w:eastAsia="Times New Roman" w:hAnsi="Times New Roman"/>
          <w:sz w:val="17"/>
          <w:szCs w:val="17"/>
          <w:color w:val="auto"/>
        </w:rPr>
        <w:t>Persons eligible to receive awards under the 2021 Plan include officers or employees of the Company or any of its subsidiaries, directors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and certain consultants and advisors to the Company or any of its subsidiaries. As of March 31, 2024, the Company and its subsidiaries had approximately 4,400 employees (including all of the Company’s named executive officers other than Mr. Henley), and six members of our Board of Directors who are not employed by the Company or any of its subsidiaries (non-management directors), all of which are considered eligible under the 2021 Plan. Upon her Board appointment, Ms. Merkle also became eligible under the 2021 Plan. In 2023, 92 employees and all non-management directors received awards under the 2021 Plan.</w:t>
      </w:r>
    </w:p>
    <w:p>
      <w:pPr>
        <w:spacing w:after="0" w:line="1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Existing Aggregate Share Limit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Before giving effect to the proposed 2021 Plan Amendment, the maximum number of shares of the Company’s common stock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may be issued or transferred pursuant to awards under the 2021 Plan, as amended equals the sum of the following (such total number of shares, the Share Limit):</w:t>
      </w:r>
    </w:p>
    <w:p>
      <w:pPr>
        <w:spacing w:after="0" w:line="147" w:lineRule="exact"/>
        <w:rPr>
          <w:sz w:val="20"/>
          <w:szCs w:val="20"/>
          <w:color w:val="auto"/>
        </w:rPr>
      </w:pPr>
    </w:p>
    <w:p>
      <w:pPr>
        <w:ind w:left="620" w:hanging="310"/>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940,000 shares, plus</w:t>
      </w:r>
    </w:p>
    <w:p>
      <w:pPr>
        <w:spacing w:after="0" w:line="214" w:lineRule="exact"/>
        <w:rPr>
          <w:rFonts w:ascii="Times New Roman" w:cs="Times New Roman" w:eastAsia="Times New Roman" w:hAnsi="Times New Roman"/>
          <w:sz w:val="17"/>
          <w:szCs w:val="17"/>
          <w:color w:val="auto"/>
        </w:rPr>
      </w:pPr>
    </w:p>
    <w:p>
      <w:pPr>
        <w:ind w:left="620" w:hanging="310"/>
        <w:spacing w:after="0" w:line="284"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available for additional award grant purposes under the 2017 Plan as of May 25, 2021, the date our shareholders approved the 2021 Plan (the Stockholder Approval Date), plus</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any shares subject to restricted stock and restricted stock unit awards granted under the Legacy Plans that are outstanding and unvested as of the Stockholder Approval Date which are forfeited, terminated, cancelled, or otherwise reacquired after the Stockholder Approval Date without having become vested (with any such shares taken into account based on the premium share-counting rule discussed below for full-value awards).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of March 31, 2024, approximately 4,981 shares were subject to potential forfeit under restricted stock and restricted stock unit awards then outstanding under the Legacy Plans before taking into account the premium share-counting rule discussed below.</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Shares issued in respect of any “full-value award” granted under the 2021 Plan will be counted against the Share Limit as 1.2 shares for every one share actually issued in connection with the award. For example, if the Company granted a bonus of 100 shares of its common stock under the 2021 Plan, 120 shares would be counted against the Share Limit with respect to that award. For this purpose, a “full-value award” generally means any award granted under the 2021 Plan other than a stock option or stock appreciation right.</w:t>
      </w:r>
    </w:p>
    <w:p>
      <w:pPr>
        <w:spacing w:after="0" w:line="16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Increased Aggregate Share Limit, if Approved by Shareholders. </w:t>
      </w:r>
      <w:r>
        <w:rPr>
          <w:rFonts w:ascii="Times New Roman" w:cs="Times New Roman" w:eastAsia="Times New Roman" w:hAnsi="Times New Roman"/>
          <w:sz w:val="17"/>
          <w:szCs w:val="17"/>
          <w:color w:val="auto"/>
        </w:rPr>
        <w:t>If shareholders approve the 2021 Plan Amendment, the Share Limit, as defined above, will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by an additional 350,000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Additional Share Limits</w:t>
      </w:r>
      <w:r>
        <w:rPr>
          <w:rFonts w:ascii="Times New Roman" w:cs="Times New Roman" w:eastAsia="Times New Roman" w:hAnsi="Times New Roman"/>
          <w:sz w:val="17"/>
          <w:szCs w:val="17"/>
          <w:color w:val="auto"/>
        </w:rPr>
        <w:t>. The following other limits are also contained in the 2021 Plan. These limits are in addition to, and not in lieu of, the Share Limit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plan described above and, in the case of share-based limits, are applied on a one-for-one basis without applying the premium share-counting ratio for full-value awards discussed above.</w:t>
      </w:r>
    </w:p>
    <w:p>
      <w:pPr>
        <w:spacing w:after="0" w:line="163" w:lineRule="exact"/>
        <w:rPr>
          <w:sz w:val="20"/>
          <w:szCs w:val="20"/>
          <w:color w:val="auto"/>
        </w:rPr>
      </w:pPr>
    </w:p>
    <w:p>
      <w:pPr>
        <w:ind w:left="620" w:hanging="310"/>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that may be delivered pursuant to options qualified as incentive stock options granted under the plan is 333,333 shares.</w:t>
      </w:r>
    </w:p>
    <w:p>
      <w:pPr>
        <w:spacing w:after="0" w:line="214" w:lineRule="exact"/>
        <w:rPr>
          <w:rFonts w:ascii="Times New Roman" w:cs="Times New Roman" w:eastAsia="Times New Roman" w:hAnsi="Times New Roman"/>
          <w:sz w:val="17"/>
          <w:szCs w:val="17"/>
          <w:color w:val="auto"/>
        </w:rPr>
      </w:pPr>
    </w:p>
    <w:p>
      <w:pPr>
        <w:jc w:val="both"/>
        <w:ind w:left="620" w:hanging="310"/>
        <w:spacing w:after="0" w:line="256"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grant date fair value for awards granted to a non-management director under the 2021 Plan during any one calendar year is $300,000, except that this limit will be $400,000 as to (1) a non-management director who is serving as the independent Chair of the Board of Directors or as a lead independent director at the time the applicable grant is made or (2) any new non-management director for the calendar year in which the non-management director is first elected or appointed to the Board of Directors. For purposes of this limit, the “grant date fair value” of an award means the value of the award on the date of grant of the award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non-management directors as a group.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Share-Limit Counting Rules. </w:t>
      </w:r>
      <w:r>
        <w:rPr>
          <w:rFonts w:ascii="Times New Roman" w:cs="Times New Roman" w:eastAsia="Times New Roman" w:hAnsi="Times New Roman"/>
          <w:sz w:val="17"/>
          <w:szCs w:val="17"/>
          <w:color w:val="auto"/>
        </w:rPr>
        <w:t>The Share Limit of the 2021 Plan is subject to the following rules:</w:t>
      </w:r>
    </w:p>
    <w:p>
      <w:pPr>
        <w:spacing w:after="0" w:line="220" w:lineRule="exact"/>
        <w:rPr>
          <w:sz w:val="20"/>
          <w:szCs w:val="20"/>
          <w:color w:val="auto"/>
        </w:rPr>
      </w:pPr>
    </w:p>
    <w:p>
      <w:pPr>
        <w:jc w:val="both"/>
        <w:ind w:left="620" w:hanging="310"/>
        <w:spacing w:after="0" w:line="26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are subject to or underlie full-value awards which expire or for any reason are canceled, terminated, forfeited, fail to vest, or for any other reason are not paid or delivered under the 2021 Plan will not be counted against the Share Limit and will again be available for subsequent awards under the 2021 Plan.</w:t>
      </w:r>
    </w:p>
    <w:p>
      <w:pPr>
        <w:spacing w:after="0" w:line="16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underlie stock appreciation rights and stock options which expire or for any reason are cancelled or terminated, are forfeited, fail to vest, or for any other reason are not paid or delivered under the 2021 Plan shall be counted against the Share Limit and shall not be available for subsequent awards under the 2021 Plan.</w:t>
      </w:r>
    </w:p>
    <w:p>
      <w:pPr>
        <w:spacing w:after="0" w:line="167"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shares are delivered pursuant to the exercise of a stock option or stock appreciation right granted under the 2021 Plan, the number of shares as to which the portion of the stock option or stock appreciation right is exercised shall be counted against the Share Limit. (For purposes of clarity, if a stock option or stock appreciation right relates to 100,000 shares and is exercised at a time when the net number of shares due to the participant is 15,000 shares (taking into account any shares withheld to satisfy any applicable exercise or base price of the award and any shares withheld to satisfy any tax withholding obligations arising in connection with such exercise), 100,000 shares shall be charged against the Share Limit with respect to such award.)</w:t>
      </w:r>
    </w:p>
    <w:p>
      <w:pPr>
        <w:spacing w:after="0" w:line="174"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are exchanged by a participant or withheld by the Company to pay the exercise price of a stock option or stock appreciation right granted under the 2021 Plan, as well as any shares exchanged or withheld to satisfy the tax withholding obligations related to any stock option or stock appreciation right, will not be available for subsequent awards under the 2021 Plan.</w:t>
      </w:r>
    </w:p>
    <w:p>
      <w:pPr>
        <w:spacing w:after="0" w:line="167"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are exchanged by a participant or withheld by the Company as full or partial payment in connection with any full-value award granted under the 2021 Plan or the Legacy Plans, as well as any shares exchanged by a participant or withheld by the Company to satisfy the tax withholding obligations related to any full-value award granted under the 2021 Plan or the Legacy Plans, will not be counted against the Share Limit and will again be available for subsequent awards under the 2021 Plan (with any such shares becoming available for subsequent awards taking into account the premium share-counting rule discussed above for full-value awards).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79" w:name="page80"/>
    <w:bookmarkEnd w:id="79"/>
    <w:p>
      <w:pPr>
        <w:ind w:left="620" w:hanging="310"/>
        <w:spacing w:after="0" w:line="284"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52"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shares are delivered in respect of a dividend equivalent right, the actual number of shares delivered with respect to the award shall be counted against the Share Limit. (For purposes of clarity, if 1,000 dividend equivalent rights are granted and outstanding when the Company pays a dividend, and 50 shares are delivered in payment of those rights with respect to that dividend, 60 shares shall be counted against the Share Limit, after giving effect to the share-counting rule discussed above for full-value awards.) Except as otherwise provided by the Administrator, shares delivered in respect of dividend equivalent rights shall not count against any individual award limit under the 2021 Plan other than the aggregate Share Limit.</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the 2021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2021 Plan. The Company may not increase the applicable share limits of the 2021 Plan by repurchasing shares of common stock on the market (by using cash received through the exercise of stock options or otherwise).</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Types of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2021 Plan authorizes stock options, stock appreciation rights, and other forms of awards granted or denominated in the Company’s common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or units of the Company’s common stock, as well as cash bonus awards. The 2021 Plan retains flexibility to offer competitive incentives and to tailor benefits to specific needs and circumstances. Any award may be structured to be paid or settled in cash.</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stock option is the right to purchase shares of the Company’s common stock at a future date at a specified price per share (exercise price).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2021 Plan” below. Incentive stock options are also subject to more restrictive terms and are limited in amount by the U.S. Internal Revenue Code and the 2021 Plan. Incentive stock options may only be granted to employees of the Company or a subsidiary.</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stock appreciation right is the right to receive payment of an amount equal to the excess of the fair market value of a share of the Company’s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the Company’s common stock on the date of grant. Stock appreciation rights may be granted in connection with other awards or independently. The maximum term of a stock appreciation right is ten years from the date of grant.</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other types of awards that may be granted under the 2021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Any awards under the 2021 Plan (including awards of stock options and stock appreciation rights) may be fully-vested at grant or may be subject to time- and/or performance-based vesting requirements.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Minimum Vesting Requirement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described below, each award granted under the 2021 Plan will be subject to a minimum vesting period of one year.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may provide that it will vest earlier than the first anniversary of the date of grant of the award due to the death, disability, or involuntary termination of the employment or services of the award holder, or in connection with a “Change in Control” of the Company (as such term is defined in the 2021 Plan). Awards may, however, be granted under the 2021 Plan with minimum vesting requirements of less than one year, or no vesting requirements, provided that the total number of shares of the Company’s common stock subject to such awards will not exceed 5% of the Share Limit.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Dividend Equivalents; Deferrals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Administrator may provide for the deferred payment of awards, and may determine the other terms applicable to deferrals.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Administrator may provide that awards under the 2021 Plan (other than options or stock appreciation rights), and/or deferrals, earn dividends or dividend equivalents based on the amount of dividends paid on outstanding shares of Common Stock, provided that as to any dividend equivalent rights granted in connection with an award granted under the 2021 Plan that is subject to vesting requirements, no dividend equivalent payment will be made as to a portion of an award unless the related vesting conditions of that portion of an award are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Assumption and Termination of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an event occurs in which the Company does not survive (or does not survive as a public company in respect of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including, without limitation, a dissolution, merger, combination, consolidation, conversion, exchange of securities, or other reorganization, or a sale of all or substantially all of the business, stock or assets of the Company, awards then-outstanding under the 2021 Plan may not automatically become fully vested pursuant to the provisions of the 2021 Plan so long as such awards are assumed, substituted for or otherwise continued (i.e. no “single-trigger” awards). However, if awards then-outstanding under the 2021 Plan are to be terminated in such circumstances (without being assumed or substituted for), such awards would generally become fully vested (with any performance goals applicable to the award being deemed met at the “target” performance level), subject to any exceptions that the Administrator may provide for in an applicable award agreement. The Administrator also has the discretion to establish other change in control provisions with respect to awards granted under the 2021 Plan, subject to the prohibition on “single-trigger” awards. For example, the Administrator could provide for the acceleration of vesting or payment of an award in connection with a corporate event followed by termination of the award holder’s employment. For the treatment of outstanding equity awards held by our named executive officers in connection with a termination of employment and/or a change in control of the Company, please see the discussion under the heading “Potential Payments Upon Termination or Change in Control” above.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Transfer Restrictions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certain exceptions contained in Section 5.7 of the 2021 Plan, awards under the 2021 Plan generally are not transferable by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Adjustments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is customary in incentive plans of this nature, each share limit and the number and kind of shares available under the 2021 Plan and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shareholders.</w:t>
      </w:r>
    </w:p>
    <w:p>
      <w:pPr>
        <w:spacing w:after="0" w:line="1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No Limit on Other Authority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2021 Plan does not limit the authority of the Board of Directors or any committee to grant awards or authorize any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with or without reference to the Company’s common stock, under any other plan or authority.</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Termination of or Changes to the 2021 Plan and Outstanding Awards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Directors may amend or terminate the 2021 Plan at any time and in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manner. Shareholder approval for an amendment will be required only to the extent then required by applicable law or deemed necessary or advisable by the Board of Directors. Unless terminated earlier by the Board of Directors and subject to any extension that may be approved by shareholders, the authority to grant new awards under the 2021 Plan will terminate on April 14, 2031.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U.S. Federal Income Tax Consequences of Awards under the 2021 Plan</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U.S. federal income tax consequences of the 2021 Plan under current federal law, which is subject to change, are summarized in the following discussion of the general tax principles applicable to the 2021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current federal income tax consequences of other awards authorized under the 2021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an award is accelerated under the 2021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Specific Benefits under the 2021 Equity Incentive Plan</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not approved any awards that are conditioned upon shareholder approval of the 2021 Plan Amendment. The Company is not currently considering any other specific award grants under the 2021 Plan, other than the annual grants of restricted stock units to our non-management directors described in the following paragraph. If the 2021 Plan Amendment had been in existence in fiscal year 2023, the Company expects that its award grants for fiscal year 2023 would not have been substantially different from those actually made in that year under the 2021 Plan. For information regarding stock-based awards granted to the Company’s named executive officers during fiscal year 2023, please see the discussion under the heading “Executive Compensation” above. The Company granted similar awards in March 2024. The Company generally expects to continue granting similar awards on an annual basis under the 2021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described under “Board of Directors Compensation” above, our current compensation policy for non-management directors provides for each non-management director to receive an annual award of restricted stock units, with the number of shares subject to each award to be determined by dividing $120,000 by the closing price of our stock as reported on the New York Stock Exchange on the grant date as described above. Assuming, for illustrative purposes only, that the price of the common stock used for the conversion of the dollar amount set forth above into shares is $50, the number of shares that would be allocated to the Company’s six non-management directors as a group following the 2024 Annual Meeting pursuant to the annual grant formula is approximately 14,400 shares per year and approximately 100,800 shares in the aggregate over the remaining seven years of the 10-year term of the 2021 Plan. This calculation also assumes that there continue to be six non-management directors seated and that there are no changes to the awards granted under the director equity grant program.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jc w:val="both"/>
        <w:spacing w:after="0" w:line="267" w:lineRule="auto"/>
        <w:rPr>
          <w:sz w:val="20"/>
          <w:szCs w:val="20"/>
          <w:color w:val="auto"/>
        </w:rPr>
      </w:pPr>
      <w:r>
        <w:rPr>
          <w:rFonts w:ascii="Times New Roman" w:cs="Times New Roman" w:eastAsia="Times New Roman" w:hAnsi="Times New Roman"/>
          <w:sz w:val="17"/>
          <w:szCs w:val="17"/>
          <w:color w:val="auto"/>
        </w:rPr>
        <w:t>The following paragraphs include additional information to help you assess the potential dilutive impact of the Company’s equity awards and the 2021 Plan Amendment. The Legacy Plans and 2021 Plan are the Company’s only equity plans with outstanding awards. No new grants may be authorized under the Legacy Plans.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Overhang</w:t>
      </w:r>
      <w:r>
        <w:rPr>
          <w:rFonts w:ascii="Times New Roman" w:cs="Times New Roman" w:eastAsia="Times New Roman" w:hAnsi="Times New Roman"/>
          <w:sz w:val="17"/>
          <w:szCs w:val="17"/>
          <w:color w:val="auto"/>
        </w:rPr>
        <w:t>” refers to the number of shares of the Company’s common stock that are subject to outstanding awards under our equity compensation plans (i.e. the Legacy Plans and the 2021 Plan) or remain available for new award grants. As of December 31, 2023, 789,589 shares of the Company’s common stock were subject to outstanding restricted stock and restricted stock unit awards, including 477,006 shares subject to performance-based vesting criteria, 39,157 shares of the Company’s common stock were subject to outstanding stock options, including 4,500 shares subject to performance-based vesting criteria, and 334,763 shares of the Company’s common stock were available for new award grants under the 2021 Plan. As of December 31, 2023, the weighted average exercise price and weighted average remaining term of outstanding stock options were $158.81 and 2.8 years, respectively. In this 2021 Plan Amendment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and before applying the applicable provisions for counting these awards against the plan’s Share Limit as 1.2 for every share actually issued pursuant to the award.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basic weighted-average number of shares of the Company’s common stock issued and outstanding in each of the last three fiscal years was 9,021,975 shares issued and outstanding in 2021, 8,647,399 shares issued and outstanding in 2022, and 7,635,584 shares issued and outstanding in 2023. The number of shares of the Company’s common stock issued and outstanding as of December 31, 2023 and March 31, 2024 was 7,684,401 and 7,784,253 shares, respectively.</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Burn rate</w:t>
      </w:r>
      <w:r>
        <w:rPr>
          <w:rFonts w:ascii="Times New Roman" w:cs="Times New Roman" w:eastAsia="Times New Roman" w:hAnsi="Times New Roman"/>
          <w:sz w:val="17"/>
          <w:szCs w:val="17"/>
          <w:color w:val="auto"/>
        </w:rPr>
        <w:t>” refers to the number of shares that are subject to awards that we grant over a particular period of time. The total number of shares of the Company’s common stock subject to awards that the Company granted under the Legacy Plans and the 2021 Plan since its approval by shareholders on May 25, 2021 and to date (as of March 31, 2024) for 2024, are as</w:t>
      </w:r>
    </w:p>
    <w:p>
      <w:pPr>
        <w:spacing w:after="0" w:line="163" w:lineRule="exact"/>
        <w:rPr>
          <w:sz w:val="20"/>
          <w:szCs w:val="20"/>
          <w:color w:val="auto"/>
        </w:rPr>
      </w:pPr>
    </w:p>
    <w:p>
      <w:pPr>
        <w:jc w:val="both"/>
        <w:ind w:left="620" w:hanging="310"/>
        <w:spacing w:after="0" w:line="26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250,832 shares in 2021 (which was 2.8% of the basic weighted-average number of shares of the Company’s common stock issued and outstanding in 2021), all of which were shares subject to restricted stock and restricted stock unit awards (including 116,207 subject to performance-based vesting conditions, assuming achievement of target performance levels).</w:t>
      </w:r>
    </w:p>
    <w:p>
      <w:pPr>
        <w:spacing w:after="0" w:line="16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388,683 shares in 2022 (which was 4.5% of the basic weighted-average number of shares of the Company’s common stock issued and outstanding in 2022), all of which were shares subject to restricted stock and restricted stock unit awards (including 151,452 subject to performance-based vesting conditions, assuming achievement of target performance levels).</w:t>
      </w:r>
    </w:p>
    <w:p>
      <w:pPr>
        <w:spacing w:after="0" w:line="16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390,059 shares in 2023 (which was 5.1% of the basic weighted-average number of shares of the Company’s common stock issued and outstanding in 2023), all of which were shares subject to restricted stock and restricted stock unit awards (including 226,592 subject to performance-based vesting conditions, assuming achievement of target performance levels).</w:t>
      </w:r>
    </w:p>
    <w:p>
      <w:pPr>
        <w:spacing w:after="0" w:line="16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308,269 shares in 2024 through March 31, 2024 (which was 4.0% of the number of shares of the Company’s common stock issued and outstanding on March 31, 2024), all of which were shares subject to restricted stock and restricted stock unit awards (including 150,434 subject to performance-based vesting conditions, assuming achievement of target performance levels).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7"/>
          <w:szCs w:val="17"/>
          <w:color w:val="auto"/>
        </w:rPr>
        <w:t>Thus, the total number of shares of the Company’s common stock subject to awards granted under the 2017 Plan and 2021 Plan per year over the last three fiscal years (2021, 2022 and 2023) has been, on average, 4.1% of the weighted-average number of shares of the Company’s common stock issued and outstanding for the corresponding year. Performance-based vesting awards have been included above in the period in which the award was granted. The actual number of performance-based vesting restricted stock and restricted stock unit awards that became eligible to vest in each period because the applicable performance-based condition was satisfied in that year (subject to the satisfaction of any applicable time-based vesting requirements) was as follows: 15,873 in 2021, 30,254 in 2022, 149,780 in 2023 and 64,853 to date (as of March 31, 2024) in 2024. No stock options have been granted in the last three fiscal years or to date in 2023.</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total number of shares of our common stock that were subject to awards granted under the 2017 Plan and the 2021 Plan that terminated or expired in each of the last three fiscal years and to date (as of March 31, 2024) in 2023, are as follows: 20,367 in 2021, 177,354 in 2022, 30,824 in 2023, and 141,870 in 2024.</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Compensation Committee anticipates that the 350,000 additional shares requested for the 2021 Plan Amendment (together with the shares available for new award grants under the 2021 Plan on the Annual Meeting date and assuming usual levels of shares becoming available for new awards as a result of forfeitures of outstanding awards) will provide the Company with flexibility to continue to grant equity awards under the 2021 Plan through the remainder of 2024, approximately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and existing employees in connection with acquisitions, the need to attract and retain key talent, including through the use retention incentives especially during volatile periods such as this one, the type of awards the Company grants, and how the Company chooses to balance total compensation between cash and equity-based awards. The Compensation Committee, with the input of its independent consultant, regularly evaluates all the preceding circumstances and evaluates the appropriateness of share utilization.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closing market price for a share of the Company’s common stock as of March 28, 2024, the last closing price prior to March 31, 2024, was $27.01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Aggregate Past Grants under the 2021 Plan</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March 31, 2024, awards covering 1,105,437 shares of our common stock had been granted under the 2021 Plan since its approval by shareholders May 25, 2021. The following table shows information regarding (1) the distribution of those awards among the persons and groups identified below, (2) stock units that have vested and become payable prior to that date, and (3) stock units that are outstanding as of that date. For purposes of this table, outstanding stock units that are subject to performance-based vesting conditions are reflected at the target payout level. No stock options have been granted under the 2021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1"/>
        </w:trPr>
        <w:tc>
          <w:tcPr>
            <w:tcW w:w="60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Restricted Stock / Units</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4"/>
        </w:trPr>
        <w:tc>
          <w:tcPr>
            <w:tcW w:w="6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6"/>
                <w:szCs w:val="16"/>
                <w:color w:val="auto"/>
              </w:rPr>
            </w:pPr>
          </w:p>
        </w:tc>
      </w:tr>
      <w:tr>
        <w:trPr>
          <w:trHeight w:val="205"/>
        </w:trPr>
        <w:tc>
          <w:tcPr>
            <w:tcW w:w="60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40" w:type="dxa"/>
            <w:vAlign w:val="bottom"/>
          </w:tcPr>
          <w:p>
            <w:pPr>
              <w:spacing w:after="0"/>
              <w:rPr>
                <w:sz w:val="17"/>
                <w:szCs w:val="17"/>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Shares/Units</w:t>
            </w:r>
          </w:p>
        </w:tc>
      </w:tr>
      <w:tr>
        <w:trPr>
          <w:trHeight w:val="205"/>
        </w:trPr>
        <w:tc>
          <w:tcPr>
            <w:tcW w:w="60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Shares/Units</w:t>
            </w:r>
          </w:p>
        </w:tc>
        <w:tc>
          <w:tcPr>
            <w:tcW w:w="240" w:type="dxa"/>
            <w:vAlign w:val="bottom"/>
          </w:tcPr>
          <w:p>
            <w:pPr>
              <w:spacing w:after="0"/>
              <w:rPr>
                <w:sz w:val="17"/>
                <w:szCs w:val="17"/>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Shares/Units Vested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Outstanding and</w:t>
            </w:r>
          </w:p>
        </w:tc>
      </w:tr>
      <w:tr>
        <w:trPr>
          <w:trHeight w:val="205"/>
        </w:trPr>
        <w:tc>
          <w:tcPr>
            <w:tcW w:w="60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Subject to Past</w:t>
            </w:r>
          </w:p>
        </w:tc>
        <w:tc>
          <w:tcPr>
            <w:tcW w:w="240" w:type="dxa"/>
            <w:vAlign w:val="bottom"/>
          </w:tcPr>
          <w:p>
            <w:pPr>
              <w:spacing w:after="0"/>
              <w:rPr>
                <w:sz w:val="17"/>
                <w:szCs w:val="17"/>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as of March 31,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Unvested as of</w:t>
            </w:r>
          </w:p>
        </w:tc>
      </w:tr>
      <w:tr>
        <w:trPr>
          <w:trHeight w:val="231"/>
        </w:trPr>
        <w:tc>
          <w:tcPr>
            <w:tcW w:w="60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720" w:type="dxa"/>
            <w:vAlign w:val="bottom"/>
            <w:gridSpan w:val="2"/>
          </w:tcPr>
          <w:p>
            <w:pPr>
              <w:jc w:val="center"/>
              <w:ind w:left="1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March 31, 2024</w:t>
            </w:r>
          </w:p>
        </w:tc>
      </w:tr>
      <w:tr>
        <w:trPr>
          <w:trHeight w:val="230"/>
        </w:trPr>
        <w:tc>
          <w:tcPr>
            <w:tcW w:w="6080" w:type="dxa"/>
            <w:vAlign w:val="bottom"/>
            <w:tcBorders>
              <w:top w:val="single" w:sz="8" w:color="CCEEFF"/>
            </w:tcBorders>
            <w:shd w:val="clear" w:color="auto" w:fill="CCEEFF"/>
          </w:tcPr>
          <w:p>
            <w:pPr>
              <w:spacing w:after="0" w:line="231" w:lineRule="exact"/>
              <w:rPr>
                <w:sz w:val="20"/>
                <w:szCs w:val="20"/>
                <w:color w:val="auto"/>
              </w:rPr>
            </w:pPr>
            <w:r>
              <w:rPr>
                <w:rFonts w:ascii="Times New Roman" w:cs="Times New Roman" w:eastAsia="Times New Roman" w:hAnsi="Times New Roman"/>
                <w:sz w:val="16"/>
                <w:szCs w:val="16"/>
                <w:b w:val="1"/>
                <w:bCs w:val="1"/>
                <w:color w:val="auto"/>
              </w:rPr>
              <w:t>Named Executive Officers</w:t>
            </w:r>
            <w:r>
              <w:rPr>
                <w:rFonts w:ascii="Times New Roman" w:cs="Times New Roman" w:eastAsia="Times New Roman" w:hAnsi="Times New Roman"/>
                <w:sz w:val="26"/>
                <w:szCs w:val="26"/>
                <w:b w:val="1"/>
                <w:bCs w:val="1"/>
                <w:color w:val="auto"/>
                <w:vertAlign w:val="superscript"/>
              </w:rPr>
              <w:t>(1)</w:t>
            </w:r>
          </w:p>
        </w:tc>
        <w:tc>
          <w:tcPr>
            <w:tcW w:w="1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Glen A. Messina</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469,088</w:t>
            </w:r>
          </w:p>
        </w:tc>
        <w:tc>
          <w:tcPr>
            <w:tcW w:w="100" w:type="dxa"/>
            <w:vAlign w:val="bottom"/>
          </w:tcPr>
          <w:p>
            <w:pPr>
              <w:spacing w:after="0"/>
              <w:rPr>
                <w:sz w:val="17"/>
                <w:szCs w:val="17"/>
                <w:color w:val="auto"/>
              </w:rPr>
            </w:pPr>
          </w:p>
        </w:tc>
        <w:tc>
          <w:tcPr>
            <w:tcW w:w="20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49,019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418,062</w:t>
            </w:r>
          </w:p>
        </w:tc>
      </w:tr>
      <w:tr>
        <w:trPr>
          <w:trHeight w:val="20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W. Anderson</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72,585</w:t>
            </w: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6,127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66,207</w:t>
            </w:r>
          </w:p>
        </w:tc>
      </w:t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Sean B. O’Neil</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135,030</w:t>
            </w:r>
          </w:p>
        </w:tc>
        <w:tc>
          <w:tcPr>
            <w:tcW w:w="100" w:type="dxa"/>
            <w:vAlign w:val="bottom"/>
          </w:tcPr>
          <w:p>
            <w:pPr>
              <w:spacing w:after="0"/>
              <w:rPr>
                <w:sz w:val="17"/>
                <w:szCs w:val="17"/>
                <w:color w:val="auto"/>
              </w:rPr>
            </w:pPr>
          </w:p>
        </w:tc>
        <w:tc>
          <w:tcPr>
            <w:tcW w:w="20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17,250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117,423</w:t>
            </w:r>
          </w:p>
        </w:tc>
      </w:tr>
      <w:tr>
        <w:trPr>
          <w:trHeight w:val="20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Dennis Zeleny</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68,270</w:t>
            </w: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4,901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63,168</w:t>
            </w: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Total for All Current Executive Officers as a Group (9 persons)</w:t>
            </w:r>
            <w:r>
              <w:rPr>
                <w:rFonts w:ascii="Times New Roman" w:cs="Times New Roman" w:eastAsia="Times New Roman" w:hAnsi="Times New Roman"/>
                <w:sz w:val="28"/>
                <w:szCs w:val="28"/>
                <w:b w:val="1"/>
                <w:bCs w:val="1"/>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851,328</w:t>
            </w:r>
          </w:p>
        </w:tc>
        <w:tc>
          <w:tcPr>
            <w:tcW w:w="100" w:type="dxa"/>
            <w:vAlign w:val="bottom"/>
          </w:tcPr>
          <w:p>
            <w:pPr>
              <w:spacing w:after="0"/>
              <w:rPr>
                <w:sz w:val="21"/>
                <w:szCs w:val="21"/>
                <w:color w:val="auto"/>
              </w:rPr>
            </w:pPr>
          </w:p>
        </w:tc>
        <w:tc>
          <w:tcPr>
            <w:tcW w:w="20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84,389</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763,846</w:t>
            </w:r>
          </w:p>
        </w:tc>
      </w:tr>
      <w:tr>
        <w:trPr>
          <w:trHeight w:val="20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Alan J. Bowers</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12,261</w:t>
            </w: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7,837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4,424</w:t>
            </w:r>
          </w:p>
        </w:tc>
      </w:t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Jenne K. Britell</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12,261</w:t>
            </w:r>
          </w:p>
        </w:tc>
        <w:tc>
          <w:tcPr>
            <w:tcW w:w="20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7,837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4,424</w:t>
            </w:r>
          </w:p>
        </w:tc>
      </w:tr>
      <w:tr>
        <w:trPr>
          <w:trHeight w:val="20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Jacques J. Busquet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12,261</w:t>
            </w: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7,837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4,424</w:t>
            </w:r>
          </w:p>
        </w:tc>
      </w:t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Phyllis R. Caldwell</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12,261</w:t>
            </w:r>
          </w:p>
        </w:tc>
        <w:tc>
          <w:tcPr>
            <w:tcW w:w="20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7,837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4,424</w:t>
            </w:r>
          </w:p>
        </w:tc>
      </w:tr>
      <w:tr>
        <w:trPr>
          <w:trHeight w:val="20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DeForest B. Soaries, Jr.</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12,261</w:t>
            </w: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7,837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4,424</w:t>
            </w:r>
          </w:p>
        </w:tc>
      </w:t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Kevin Stein</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12,261</w:t>
            </w:r>
          </w:p>
        </w:tc>
        <w:tc>
          <w:tcPr>
            <w:tcW w:w="20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7,837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4,424</w:t>
            </w:r>
          </w:p>
        </w:tc>
      </w:tr>
      <w:tr>
        <w:trPr>
          <w:trHeight w:val="243"/>
        </w:trPr>
        <w:tc>
          <w:tcPr>
            <w:tcW w:w="60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Total for all Current Non-Management Directors as a Group (7 persons)</w:t>
            </w:r>
            <w:r>
              <w:rPr>
                <w:rFonts w:ascii="Times New Roman" w:cs="Times New Roman" w:eastAsia="Times New Roman" w:hAnsi="Times New Roman"/>
                <w:sz w:val="28"/>
                <w:szCs w:val="28"/>
                <w:b w:val="1"/>
                <w:bCs w:val="1"/>
                <w:color w:val="auto"/>
                <w:vertAlign w:val="superscript"/>
              </w:rPr>
              <w:t>(3)</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73,566</w:t>
            </w: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47,022</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26,544</w:t>
            </w:r>
          </w:p>
        </w:tc>
      </w:tr>
      <w:tr>
        <w:trPr>
          <w:trHeight w:val="184"/>
        </w:trPr>
        <w:tc>
          <w:tcPr>
            <w:tcW w:w="60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Each other person who has received 5% or more of the options, warrants or</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rights under the Plan</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84"/>
        </w:trPr>
        <w:tc>
          <w:tcPr>
            <w:tcW w:w="60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All employees, including all current officers who are not executive officers or</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as a group</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180,543</w:t>
            </w:r>
          </w:p>
        </w:tc>
        <w:tc>
          <w:tcPr>
            <w:tcW w:w="10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52,676</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95,991</w:t>
            </w:r>
          </w:p>
        </w:tc>
      </w:tr>
      <w:tr>
        <w:trPr>
          <w:trHeight w:val="226"/>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1,105,437</w:t>
            </w:r>
          </w:p>
        </w:tc>
        <w:tc>
          <w:tcPr>
            <w:tcW w:w="100" w:type="dxa"/>
            <w:vAlign w:val="bottom"/>
          </w:tcPr>
          <w:p>
            <w:pPr>
              <w:spacing w:after="0"/>
              <w:rPr>
                <w:sz w:val="19"/>
                <w:szCs w:val="19"/>
                <w:color w:val="auto"/>
              </w:rPr>
            </w:pPr>
          </w:p>
        </w:tc>
        <w:tc>
          <w:tcPr>
            <w:tcW w:w="20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184,087</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886,381</w:t>
            </w:r>
          </w:p>
        </w:tc>
      </w:tr>
    </w:tbl>
    <w:p>
      <w:pPr>
        <w:spacing w:after="0" w:line="167" w:lineRule="exact"/>
        <w:rPr>
          <w:sz w:val="20"/>
          <w:szCs w:val="20"/>
          <w:color w:val="auto"/>
        </w:rPr>
      </w:pPr>
    </w:p>
    <w:p>
      <w:pPr>
        <w:ind w:left="300" w:hanging="298"/>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Henley was not serving on the Board of Directors as of March 31, 2024.</w:t>
      </w:r>
    </w:p>
    <w:p>
      <w:pPr>
        <w:spacing w:after="0" w:line="26" w:lineRule="exact"/>
        <w:rPr>
          <w:rFonts w:ascii="Times New Roman" w:cs="Times New Roman" w:eastAsia="Times New Roman" w:hAnsi="Times New Roman"/>
          <w:sz w:val="17"/>
          <w:szCs w:val="17"/>
          <w:color w:val="auto"/>
        </w:rPr>
      </w:pPr>
    </w:p>
    <w:p>
      <w:pPr>
        <w:ind w:left="300" w:hanging="298"/>
        <w:spacing w:after="0" w:line="251" w:lineRule="auto"/>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Named Executive Officers, includes Messrs. Grunenwald, Samarias and Wade, and Ms. Evans. Mr. Peach was not serving as an executive officer as of March 31, 2024.</w:t>
      </w:r>
    </w:p>
    <w:p>
      <w:pPr>
        <w:ind w:left="300" w:hanging="298"/>
        <w:spacing w:after="0"/>
        <w:tabs>
          <w:tab w:leader="none" w:pos="3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Merkle was not serving on the Board of Directors as of March 31, 2024.</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Other than Ms. Caldwell, each of the non-employee directors listed in the table above is nominated for election to the Board at the Annual Meeting in addition to Ms. Merkle.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Information as of the end of the most recently completed fiscal year with respect to compensation plans under which our equity securities are authorized for issuance is contained under the heading “Equity Compensation Plan Information” above.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 for Approval of the Amendment to the 2021 Equity Incentive Plan</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Board of Directors believes that the adoption of the 2021 Plan Amendment will promote the interests of the Company and its shareholders and will help the Company and its subsidiaries to attract, retain and reward persons important to our success.</w:t>
      </w:r>
    </w:p>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All members of the Board of Directors and all of the Company’s executive officers are eligible for awards under the 2021 Plan and thus have a personal interest in the approval of the 2021 Plan Amendment.</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proposal for approval of the 2021 Plan Amendment will be approved if the votes cast by the holders of the shares represented at the Annual Meeting and entitled to vote in favor of the proposal exceed the votes cast opposing the proposal. Abstentions and broker “non-votes” will not be counted as votes cast and therefore will not be counted for purposes of determining whether the 2021 Plan Amendment has received a majority vote in favor of this proposal.</w:t>
      </w:r>
    </w:p>
    <w:p>
      <w:pPr>
        <w:spacing w:after="0" w:line="163"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OUR BOARD OF DIRECTORS RECOMMENDS THAT YOU VOTE “FOR” APPROVAL OF THE AMENDMENT TO THE 2021 EQUITY INCENTIVE PLAN AS DESCRIBED ABOVE AND SET FORTH IN </w:t>
      </w:r>
      <w:r>
        <w:rPr>
          <w:rFonts w:ascii="Times New Roman" w:cs="Times New Roman" w:eastAsia="Times New Roman" w:hAnsi="Times New Roman"/>
          <w:sz w:val="17"/>
          <w:szCs w:val="17"/>
          <w:b w:val="1"/>
          <w:bCs w:val="1"/>
          <w:u w:val="single" w:color="auto"/>
          <w:color w:val="auto"/>
        </w:rPr>
        <w:t>ANNEX A</w:t>
      </w:r>
      <w:r>
        <w:rPr>
          <w:rFonts w:ascii="Times New Roman" w:cs="Times New Roman" w:eastAsia="Times New Roman" w:hAnsi="Times New Roman"/>
          <w:sz w:val="17"/>
          <w:szCs w:val="17"/>
          <w:b w:val="1"/>
          <w:bCs w:val="1"/>
          <w:color w:val="auto"/>
        </w:rPr>
        <w:t xml:space="preserve"> 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5" w:name="page86"/>
    <w:bookmarkEnd w:id="85"/>
    <w:p>
      <w:pPr>
        <w:ind w:left="3460"/>
        <w:spacing w:after="0"/>
        <w:rPr>
          <w:sz w:val="20"/>
          <w:szCs w:val="20"/>
          <w:color w:val="auto"/>
        </w:rPr>
      </w:pPr>
      <w:r>
        <w:rPr>
          <w:rFonts w:ascii="Times New Roman" w:cs="Times New Roman" w:eastAsia="Times New Roman" w:hAnsi="Times New Roman"/>
          <w:sz w:val="17"/>
          <w:szCs w:val="17"/>
          <w:b w:val="1"/>
          <w:bCs w:val="1"/>
          <w:color w:val="auto"/>
        </w:rPr>
        <w:t>BUSINESS RELATIONSHIPS AND RELATED TRANSACTIONS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or (vii) any Specified Companies designated by the Risk and Compliance Committee of the Board of Directors notwithstanding that such Specified Companies are not “related persons” as defined in Item 404 of SEC Regulation S-K (Item 404) or “related parties” as defined in ASC 850. Our written Code of Business Conduct and Ethics, which is available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also includes policies and procedures that broadly cover situations in which conflicts of interest may arise.</w:t>
      </w:r>
    </w:p>
    <w:p>
      <w:pPr>
        <w:spacing w:after="0" w:line="181"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7"/>
          <w:szCs w:val="17"/>
          <w:color w:val="auto"/>
        </w:rPr>
        <w:t>The Risk and Compliance Committee (R&amp;C Committee) of the Board of Directors provides independent review, approval and oversight of Related Party Transactions as required under the Policy. The R&amp;C Committee approved the Related Party Transactions discussed below.</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with the review and approval of a Related Party Transaction, the R&amp;C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R&amp;C Committee evaluates whether the transaction is consistent with the interests of the Company and its shareholders. The R&amp;C Committee will prohibit any Related Party Transaction that the R&amp;C Committee determines to be inconsistent with the interests of the Company and its shareholders. In making this determination, the R&amp;C Committee may consider the following factors, as well as any others it deems appropriate, to the extent relevant to the transaction: (i) whether there are any alternatives to the Related Party Transaction; (ii) whether the Related Party Transaction is on terms comparable to those available to third parties; (iii) the potential for the Related Party Transaction to lead to an actual or apparent conflict of interest and any safeguards imposed to prevent such actual or apparent conflicts, (iv) the overall fairness of the Related Party Transaction to Ocwen and (v) any impact, positive or negative, on borrowers or mortgage loan investors. The R&amp;C Committee may request or require members of management to make certain modifications to a proposed Related Party Transaction prior to its approval of such Related Party Transaction. In addition to pre-approving Related Party Transactions on a transaction-specific basis, the R&amp;C Committee may pre-approve categories of Related Party Transactions meeting certain criteria, on the basis that all such transactions merit pre-approval under the standards described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with Altisource</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Based on information contained in filings under the Exchange Act, we understand that Deer Park Road Management Company, LP, an Ocwen shareholder reporting beneficial ownership of over 5% of our common stock, also reports beneficial ownership of 15% of the common stock of Altisource Portfolio Solutions, S.A. (Altisource) as of February 14, 2024. Pursuant to SEC guidance, we consider this shareholder to have an indirect material interest in our transactions with Altisource, and, pursuant to our Policy, we consider our transactions with Altisource and certain of its subsidiaries to be Related Party Transactions notwithstanding that such Specified Companies are not “related persons” as defined in Item 404 or “related parties” as defined in ASC 850.</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relationship with Altisource is governed by a series of agreements that set forth the terms on which we do business with Altisource, including a Services Agreement, under which Altisource provides various services, such as property valuation services, property preservation and inspection services, title services, and real estate sales related services, among other things.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Certain services provided by Altisource under the Services Agreement are charged to the borrower and/or mortgage loan investor. Accordingly, such services, while derived from our loan servicing portfolio, are not reported as expenses by Ocwen. For the year ended December 31, 2023, we did not incur significant expenses payable to Altisource under these agreements, and we received payments of $1.1 million under our General Referral Fee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Relationship with Oaktree</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Senior Secured Notes. </w:t>
      </w:r>
      <w:r>
        <w:rPr>
          <w:rFonts w:ascii="Times New Roman" w:cs="Times New Roman" w:eastAsia="Times New Roman" w:hAnsi="Times New Roman"/>
          <w:sz w:val="17"/>
          <w:szCs w:val="17"/>
          <w:color w:val="auto"/>
        </w:rPr>
        <w:t>On February 9, 2021, we executed an agreement with Oaktree Capital Management, L.P. to issue $285 million of Ocwen senior secured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via a private placement in two separate tranches. The initial tranche of $199.5 million senior secured notes (the Notes) was issued on March 4, 2021 to certain special purpose entities owned by funds and accounts managed by Oaktree (the Oaktree Investors). The net proceeds before expenses from the issuance to Oaktree of the initial tranche of senior secured notes was $175.0 million (after $24.5 million of original issue discount) and was used to pay down and support the refinancing of the Company’s existing corporate debt and for general corporate purposes, including supporting growth. The Notes were issued pursuant to a Note and Warrant Purchase Agreement, dated February 9, 2021, between the Company and the Oaktree Investors.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concurrent with the initial issuance of the Notes, we issued the Oaktree Investors warrants to purchase 1,184,768 shares of our common stock at an exercise price of $26.82 per share subject to anti-dilution adjustments. The warrants may be exercised at any time until the expiration date of March 4, 2027. The warrants, however, cannot be exercised to the extent that affiliates of Oaktree would beneficially own in excess of 9.9% of our outstanding stock following such issuance without 61 days advance notice.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May 3, 2021, concurrent with the closing of the MAV transaction described below, we issued Oaktree the second tranche of the Notes due March 4, 2027 in an aggregate principal amount of $85.5 million with an original issue discount of $10.5 million. Concurrent with the issuance of the second tranche of Notes, Ocwen issued 261,248 warrants to Oaktree to purchase additional common stock equal to 3% of our then outstanding common stock at an exercise price of $24.31 per share, subject to anti-dilution adjustments, and 426,705 shares, or 4.9% of our fully diluted outstanding common stock, at a purchase price of $23.15 per share for an aggregate purchase price of $9.9 million. The net proceeds before expenses from the issuance to Oaktree of the additional tranche of Notes and the warrants was approximately $75.0 million (after $10.5 million of original issue discount) and, together with the proceeds from the sale of shares, was used to fund our investment in our MSR joint venture and for general corporate purposes, including to accelerate the growth of our originations and servicing businesses. The warrants may be exercised at any time through May 3, 2025.</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Board Observers. </w:t>
      </w:r>
      <w:r>
        <w:rPr>
          <w:rFonts w:ascii="Times New Roman" w:cs="Times New Roman" w:eastAsia="Times New Roman" w:hAnsi="Times New Roman"/>
          <w:sz w:val="17"/>
          <w:szCs w:val="17"/>
          <w:color w:val="auto"/>
        </w:rPr>
        <w:t>In connection with the closing of the initial tranche of Notes to Oaktree on March 4, 2021, Messrs. Jason Keller and Brian Laibow, serving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roles with the Oaktree Investors, joined Ocwen in the role of non-voting observers to our Board of Directors. Under our agreement with Oaktree, the Oaktree Investors may designate two Board of Directors observers for as long as the aggregate outstanding principal amount of the Notes is at least $100 million or the Oaktree Investors and their affiliates collectively own at least 15.0% of all issued and outstanding common stock of Ocwen (assuming the exercise of certain warrants held by them in full). Mr. Keller and Mr. Dante Quazzo presently serve as the Oaktree Investors’ designated Board observers.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MSR Asset Vehicle Joint Venture. </w:t>
      </w:r>
      <w:r>
        <w:rPr>
          <w:rFonts w:ascii="Times New Roman" w:cs="Times New Roman" w:eastAsia="Times New Roman" w:hAnsi="Times New Roman"/>
          <w:sz w:val="17"/>
          <w:szCs w:val="17"/>
          <w:color w:val="auto"/>
        </w:rPr>
        <w:t>On May 3, 2021, Ocwen and Oaktree formed a joint venture for the purpose of investing in mortgage servicing rights that PHH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will subservice. Oaktree and Ocwen hold 85% and 15% interests, respectively, in MAV Canopy HoldCo I, LLC (MAV Canopy), the parent of MSR Asset Vehicle LLC, MAV Canopy’s wholly-owned operating company, and have agreed to invest equity on a pro rata basis up to a total aggregate commitment of $250.0 million over three years, subject to extension by mutual agreement. On November 2, 2022, Ocwen and Oaktree entered into an agreement modifying certain terms relating to the capitalization, management, and operations of MAV Canopy. Under the terms of the agreement, Ocwen and Oaktree agreed to increase the aggregate capital contributions to MAV Canopy by up to $250.0 million through May 2, 2024 (in addition to the then contributed capital), subject to extension. On November 1, 2023, Ocwen and Oaktree agreed to extend the investment commitment period through May 2, 2025, subject to an additional one-year extension by mutual agreement. Ocwen may elect to contribute its 15% pro rata share of the additional capital commitment. To the extent Ocwen does not contribute its pro rata share of the additional capital commitment, the ownership percentages held by Ocwen and Oaktree will be adjusted based on the parties’ current percentage interests, capital contributions, and book value. As of December 31, 2023, our investment in MAV Canopy amounted to $37.8 million.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This joint venture is structured to provide Oaktree with MSR investment opportunities and returns, while providing PHH scale and incremental income through subservicing and recapture services. Additionally, PHH earns direct MSR investment income through its 15% ownership stake and would be entitled to carry interest on investment returns if exceeding certain thresholds upon liquidation. Under the arrangement, MAV has a non-compete to purchase certain Fannie Mae and Freddie Mac (collectively, GSE) MSRs through specific channels in cooperation with PHH. In addition, PHH must offer MAV the first opportunity to purchase GSE MSRs sold by PHH or its affiliates that meet certain criteria, which we refer to as the right of first offer. Both the non-compete and the right of first offer are subject to various restrictions and in effect until MAV has been fully funded, or, if earlier, in the case of the right of first offer, until May 3, 2024 (subject to extension by mutual consent). In exchange, PHH receives exclusive subservicing and recapture rights, subject generally to ongoing performance and financial standards. The MAV business relationship is conducted pursuant to a number of agreements among the parties, including a Subservicing Agreement, Joint Marketing Agreement and Recapture Agreement, and Administrative Services Agreement.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2021, PHH has entered into sales of MSR portfolios to MAV in bulk transactions, flow sales to MAV of certain MSRs PMC purchased from a GSE Cash Window program, and flow sales to MAV of MSRs PHH recaptured from borrowers that were previously serviced on behalf of MAV. Under the Recapture Agreement, PHH sells the originated MSR for nil proceeds but retains the realized gain on loan sales.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At December 31, 2023, MAV’s servicing portfolio was comprised of $27.1 billion of MSRs acquired from unrelated third parties and $28.8 billion MSRs acquired from PHH.</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16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SUBMISSION OF SHAREHOLDER PROPOSALS FOR 2024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Proposals to be Considered for Inclusion in Proxy Materials</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Any proposal which a shareholder desires to have considered for inclusion in our proxy materials relating to our 2024 Annual Meeting of Shareholders, must be received by the Secretary of Ocwen at our principal executive offices no later than December 24, 2024 and must comply with the procedures prescribed in Rule 14a-8 under the Securities Exchange Act of 1934, as amended.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Proposals Not Intended for Inclusion in Proxy Materials and for Nomination of Director Candidates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a shareholder wants to present a proposal, or nominate a person for election as Director, at the 2024 Annual Meeting, we must receive written notice of the proposal or nomination no earlier than December 24, 2024 and no later than January 23, 2025,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Requests to have a shareholder proposal considered for inclusion in our 2025 proxy materials and notices of intent to present a proposal or nomination directly at the 2025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to satisfying the deadlines in the “advance notice” provisions of our bylaws, a shareholder who intends to solicit proxies in support of director nominees submitted under these “advance notice” provisions, to comply with the universal proxy rules, shareholders who intend to solicit proxies in support of director nominees other than our nominees at the 2025 Annual Meeting of Shareholders must include in their notice to the Company the information required by Rule 14a-19 under the Securities Exchange Act of 1934, as amended. If we change the date of the 2025 Annual Meeting of Shareholders by more than 30 days from the date of this year’s Annual Meeting, your written notice must be provided by the later of ninety (90) days prior to the date of the 2025 Annual Meeting of Shareholders or the tenth (10th) day following the day on which public announcement of the date of the 2025 Annual Meeting of Shareholders is first made.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A copy of our annual report on Form 10-K for the year ended December 31, 2023 will be mailed on or about April 23, 2024 to shareholders of record as of March 25, 2024. The annual report is not part of the proxy solicitation materials and can be found on our website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Financial Information section under the “Shareholders” tab.</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will furnish without charge to each person whose proxy is solicited and to any beneficial owner entitled to vote as of the Record Date for the meeting, on written request, a copy of the annual report on Form 10-K for the year ended December 31, 2023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Proxies will be solicited on behalf of the Board of Directors by mail or electronic means, and we will pay the solicitation costs. Copies of this proxy statement and our annual report on Form 10-K for the year ended December 31, 2023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approval of an amendment to our Articles of Incorporation to change our name to Onity Group Inc., (iii) “for” the ratification of the appointment of Deloitte &amp; Touche LLP as our independent registered public accounting firm for 2024, (iv) “for” the approval, on an advisory basis, of the compensation of our named executive officers as disclosed in this proxy statement, and (v) “for” the approval of the amendment to the 2021 Equity Incentive Plan.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2024 Annual Meeting. If you are interested in participating in the virtual Annual Meeting and voting at that time, please see “Annual Meeting Participation” above for further details on participation requirements.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This proxy statement and our 2023 annual report may be viewed online at </w:t>
      </w:r>
      <w:r>
        <w:rPr>
          <w:rFonts w:ascii="Times New Roman" w:cs="Times New Roman" w:eastAsia="Times New Roman" w:hAnsi="Times New Roman"/>
          <w:sz w:val="17"/>
          <w:szCs w:val="17"/>
          <w:u w:val="single" w:color="auto"/>
          <w:color w:val="auto"/>
        </w:rPr>
        <w:t>www.ocwen.com</w:t>
      </w:r>
      <w:r>
        <w:rPr>
          <w:rFonts w:ascii="Times New Roman" w:cs="Times New Roman" w:eastAsia="Times New Roman" w:hAnsi="Times New Roman"/>
          <w:sz w:val="17"/>
          <w:szCs w:val="17"/>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color w:val="auto"/>
        </w:rPr>
        <w:t>ANNEX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EQUITY INCENTIVE PLAN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as of May 28, 2024</w:t>
      </w:r>
    </w:p>
    <w:p>
      <w:pPr>
        <w:spacing w:after="0" w:line="214" w:lineRule="exact"/>
        <w:rPr>
          <w:sz w:val="20"/>
          <w:szCs w:val="20"/>
          <w:color w:val="auto"/>
        </w:rPr>
      </w:pPr>
    </w:p>
    <w:p>
      <w:pPr>
        <w:ind w:firstLine="615"/>
        <w:spacing w:after="0" w:line="289" w:lineRule="auto"/>
        <w:rPr>
          <w:sz w:val="20"/>
          <w:szCs w:val="20"/>
          <w:color w:val="auto"/>
        </w:rPr>
      </w:pPr>
      <w:r>
        <w:rPr>
          <w:rFonts w:ascii="Times New Roman" w:cs="Times New Roman" w:eastAsia="Times New Roman" w:hAnsi="Times New Roman"/>
          <w:sz w:val="17"/>
          <w:szCs w:val="17"/>
          <w:color w:val="auto"/>
        </w:rPr>
        <w:t>Section 4.2 of the Ocwen Financial Corporation 2021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shall be restated in its entirety as follows (all capitalized terms not defined herein shall have the meanings ascribed to them in the Plan):</w:t>
      </w:r>
    </w:p>
    <w:p>
      <w:pPr>
        <w:spacing w:after="0" w:line="142" w:lineRule="exact"/>
        <w:rPr>
          <w:sz w:val="20"/>
          <w:szCs w:val="20"/>
          <w:color w:val="auto"/>
        </w:rPr>
      </w:pPr>
    </w:p>
    <w:p>
      <w:pPr>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i w:val="1"/>
          <w:iCs w:val="1"/>
          <w:color w:val="auto"/>
        </w:rPr>
        <w:t>Aggregate Share Limit</w:t>
      </w:r>
      <w:r>
        <w:rPr>
          <w:rFonts w:ascii="Times New Roman" w:cs="Times New Roman" w:eastAsia="Times New Roman" w:hAnsi="Times New Roman"/>
          <w:sz w:val="17"/>
          <w:szCs w:val="17"/>
          <w:color w:val="auto"/>
        </w:rPr>
        <w:t>. The maximum number of shares of Common Stock that may be delivered pursuant to awards granted to Eligible Persons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Plan (the “</w:t>
      </w:r>
      <w:r>
        <w:rPr>
          <w:rFonts w:ascii="Times New Roman" w:cs="Times New Roman" w:eastAsia="Times New Roman" w:hAnsi="Times New Roman"/>
          <w:sz w:val="17"/>
          <w:szCs w:val="17"/>
          <w:b w:val="1"/>
          <w:bCs w:val="1"/>
          <w:color w:val="auto"/>
        </w:rPr>
        <w:t>Share Limit</w:t>
      </w:r>
      <w:r>
        <w:rPr>
          <w:rFonts w:ascii="Times New Roman" w:cs="Times New Roman" w:eastAsia="Times New Roman" w:hAnsi="Times New Roman"/>
          <w:sz w:val="17"/>
          <w:szCs w:val="17"/>
          <w:color w:val="auto"/>
        </w:rPr>
        <w:t>”) is equal to the sum of the following:</w:t>
      </w:r>
    </w:p>
    <w:p>
      <w:pPr>
        <w:spacing w:after="0" w:line="147" w:lineRule="exact"/>
        <w:rPr>
          <w:sz w:val="20"/>
          <w:szCs w:val="20"/>
          <w:color w:val="auto"/>
        </w:rPr>
      </w:pPr>
    </w:p>
    <w:p>
      <w:pPr>
        <w:ind w:left="1480" w:hanging="248"/>
        <w:spacing w:after="0"/>
        <w:tabs>
          <w:tab w:leader="none" w:pos="14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1,290,000 shares of Common Stock, plus</w:t>
      </w:r>
    </w:p>
    <w:p>
      <w:pPr>
        <w:spacing w:after="0" w:line="214" w:lineRule="exact"/>
        <w:rPr>
          <w:rFonts w:ascii="Times New Roman" w:cs="Times New Roman" w:eastAsia="Times New Roman" w:hAnsi="Times New Roman"/>
          <w:sz w:val="17"/>
          <w:szCs w:val="17"/>
          <w:color w:val="auto"/>
        </w:rPr>
      </w:pPr>
    </w:p>
    <w:p>
      <w:pPr>
        <w:jc w:val="both"/>
        <w:ind w:firstLine="1232"/>
        <w:spacing w:after="0" w:line="267" w:lineRule="auto"/>
        <w:tabs>
          <w:tab w:leader="none" w:pos="148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available for additional award grant purposes under the Corporation’s 2017 Performance Incentive Plan (the “</w:t>
      </w:r>
      <w:r>
        <w:rPr>
          <w:rFonts w:ascii="Times New Roman" w:cs="Times New Roman" w:eastAsia="Times New Roman" w:hAnsi="Times New Roman"/>
          <w:sz w:val="17"/>
          <w:szCs w:val="17"/>
          <w:b w:val="1"/>
          <w:bCs w:val="1"/>
          <w:color w:val="auto"/>
        </w:rPr>
        <w:t>2017 Plan</w:t>
      </w:r>
      <w:r>
        <w:rPr>
          <w:rFonts w:ascii="Times New Roman" w:cs="Times New Roman" w:eastAsia="Times New Roman" w:hAnsi="Times New Roman"/>
          <w:sz w:val="17"/>
          <w:szCs w:val="17"/>
          <w:color w:val="auto"/>
        </w:rPr>
        <w:t>”) as of the date of stockholder approval of this Plan (the “</w:t>
      </w:r>
      <w:r>
        <w:rPr>
          <w:rFonts w:ascii="Times New Roman" w:cs="Times New Roman" w:eastAsia="Times New Roman" w:hAnsi="Times New Roman"/>
          <w:sz w:val="17"/>
          <w:szCs w:val="17"/>
          <w:b w:val="1"/>
          <w:bCs w:val="1"/>
          <w:color w:val="auto"/>
        </w:rPr>
        <w:t>Stockholder Approval Date</w:t>
      </w:r>
      <w:r>
        <w:rPr>
          <w:rFonts w:ascii="Times New Roman" w:cs="Times New Roman" w:eastAsia="Times New Roman" w:hAnsi="Times New Roman"/>
          <w:sz w:val="17"/>
          <w:szCs w:val="17"/>
          <w:color w:val="auto"/>
        </w:rPr>
        <w:t>”) and determined immediately prior to the termination of the authority to grant new awards under the 2017 Plan as of the Stockholder Approval Date, plus</w:t>
      </w:r>
    </w:p>
    <w:p>
      <w:pPr>
        <w:spacing w:after="0" w:line="167"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7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any shares subject to restricted stock and restricted stock unit awards granted under the 2017 Plan and the Corporation’s 2007 Equity Incentive Plan (the </w:t>
      </w:r>
      <w:r>
        <w:rPr>
          <w:rFonts w:ascii="Times New Roman" w:cs="Times New Roman" w:eastAsia="Times New Roman" w:hAnsi="Times New Roman"/>
          <w:sz w:val="17"/>
          <w:szCs w:val="17"/>
          <w:b w:val="1"/>
          <w:bCs w:val="1"/>
          <w:color w:val="auto"/>
        </w:rPr>
        <w:t>“2007 Plan</w:t>
      </w:r>
      <w:r>
        <w:rPr>
          <w:rFonts w:ascii="Times New Roman" w:cs="Times New Roman" w:eastAsia="Times New Roman" w:hAnsi="Times New Roman"/>
          <w:sz w:val="17"/>
          <w:szCs w:val="17"/>
          <w:color w:val="auto"/>
        </w:rPr>
        <w:t>”, and together with the 2017 Plan, the “</w:t>
      </w:r>
      <w:r>
        <w:rPr>
          <w:rFonts w:ascii="Times New Roman" w:cs="Times New Roman" w:eastAsia="Times New Roman" w:hAnsi="Times New Roman"/>
          <w:sz w:val="17"/>
          <w:szCs w:val="17"/>
          <w:b w:val="1"/>
          <w:bCs w:val="1"/>
          <w:color w:val="auto"/>
        </w:rPr>
        <w:t>Legacy Plans</w:t>
      </w:r>
      <w:r>
        <w:rPr>
          <w:rFonts w:ascii="Times New Roman" w:cs="Times New Roman" w:eastAsia="Times New Roman" w:hAnsi="Times New Roman"/>
          <w:sz w:val="17"/>
          <w:szCs w:val="17"/>
          <w:color w:val="auto"/>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75" w:lineRule="exact"/>
        <w:rPr>
          <w:sz w:val="20"/>
          <w:szCs w:val="20"/>
          <w:color w:val="auto"/>
        </w:rPr>
      </w:pPr>
    </w:p>
    <w:p>
      <w:pPr>
        <w:jc w:val="both"/>
        <w:ind w:firstLine="1229"/>
        <w:spacing w:after="0" w:line="259" w:lineRule="auto"/>
        <w:rPr>
          <w:sz w:val="20"/>
          <w:szCs w:val="20"/>
          <w:color w:val="auto"/>
        </w:rPr>
      </w:pPr>
      <w:r>
        <w:rPr>
          <w:rFonts w:ascii="Times New Roman" w:cs="Times New Roman" w:eastAsia="Times New Roman" w:hAnsi="Times New Roman"/>
          <w:sz w:val="17"/>
          <w:szCs w:val="17"/>
          <w:color w:val="auto"/>
        </w:rPr>
        <w:t>provided that in no event shall the Share Limit exceed 1,889,443 shares (which is the sum of (i) the 1,290 000 shares set forth above, plus (ii) zero shares available under the 2017 Plan for additional award grant purposes as of the Effective Date (as such term is defined in Section 8.6.1), plus (iii) 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spacing w:after="0" w:line="175" w:lineRule="exact"/>
        <w:rPr>
          <w:sz w:val="20"/>
          <w:szCs w:val="20"/>
          <w:color w:val="auto"/>
        </w:rPr>
      </w:pPr>
    </w:p>
    <w:p>
      <w:pPr>
        <w:jc w:val="both"/>
        <w:ind w:firstLine="1229"/>
        <w:spacing w:after="0" w:line="262" w:lineRule="auto"/>
        <w:rPr>
          <w:sz w:val="20"/>
          <w:szCs w:val="20"/>
          <w:color w:val="auto"/>
        </w:rPr>
      </w:pPr>
      <w:r>
        <w:rPr>
          <w:rFonts w:ascii="Times New Roman" w:cs="Times New Roman" w:eastAsia="Times New Roman" w:hAnsi="Times New Roman"/>
          <w:sz w:val="17"/>
          <w:szCs w:val="17"/>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 w:cs="Times New Roman" w:eastAsia="Times New Roman" w:hAnsi="Times New Roman"/>
          <w:sz w:val="17"/>
          <w:szCs w:val="17"/>
          <w:b w:val="1"/>
          <w:bCs w:val="1"/>
          <w:color w:val="auto"/>
        </w:rPr>
        <w:t>Full-Value Award</w:t>
      </w:r>
      <w:r>
        <w:rPr>
          <w:rFonts w:ascii="Times New Roman" w:cs="Times New Roman" w:eastAsia="Times New Roman" w:hAnsi="Times New Roman"/>
          <w:sz w:val="17"/>
          <w:szCs w:val="17"/>
          <w:color w:val="auto"/>
        </w:rPr>
        <w:t xml:space="preserve">” means any award that is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a stock option grant or a SAR grant.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OCWEN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EQUITY INCENTIVE PLAN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Approved May 25, 2021</w:t>
      </w:r>
    </w:p>
    <w:p>
      <w:pPr>
        <w:spacing w:after="0" w:line="214" w:lineRule="exact"/>
        <w:rPr>
          <w:sz w:val="20"/>
          <w:szCs w:val="20"/>
          <w:color w:val="auto"/>
        </w:rPr>
      </w:pPr>
    </w:p>
    <w:p>
      <w:pPr>
        <w:ind w:left="620" w:hanging="618"/>
        <w:spacing w:after="0"/>
        <w:tabs>
          <w:tab w:leader="none" w:pos="62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 OF PLAN</w:t>
      </w:r>
    </w:p>
    <w:p>
      <w:pPr>
        <w:spacing w:after="0" w:line="214"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color w:val="auto"/>
        </w:rPr>
        <w:t>The purpose of this Ocwen Financial Corporation 2021 Equity Incentive Plan (this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of Ocwen Financial Corporation, a Florida corporation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64" w:lineRule="exact"/>
        <w:rPr>
          <w:sz w:val="20"/>
          <w:szCs w:val="20"/>
          <w:color w:val="auto"/>
        </w:rPr>
      </w:pPr>
    </w:p>
    <w:p>
      <w:pPr>
        <w:ind w:left="620" w:hanging="618"/>
        <w:spacing w:after="0"/>
        <w:tabs>
          <w:tab w:leader="none" w:pos="6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ELIGIBILITY</w:t>
      </w:r>
    </w:p>
    <w:p>
      <w:pPr>
        <w:spacing w:after="0" w:line="218" w:lineRule="exact"/>
        <w:rPr>
          <w:sz w:val="20"/>
          <w:szCs w:val="20"/>
          <w:color w:val="auto"/>
        </w:rPr>
      </w:pPr>
    </w:p>
    <w:p>
      <w:pPr>
        <w:jc w:val="both"/>
        <w:ind w:firstLine="615"/>
        <w:spacing w:after="0" w:line="254" w:lineRule="auto"/>
        <w:rPr>
          <w:sz w:val="20"/>
          <w:szCs w:val="20"/>
          <w:color w:val="auto"/>
        </w:rPr>
      </w:pPr>
      <w:r>
        <w:rPr>
          <w:rFonts w:ascii="Times New Roman" w:cs="Times New Roman" w:eastAsia="Times New Roman" w:hAnsi="Times New Roman"/>
          <w:sz w:val="17"/>
          <w:szCs w:val="17"/>
          <w:color w:val="auto"/>
        </w:rPr>
        <w:t>The Administrator (as such term is defined in Section 3.1) may grant awards under this Plan only to those persons that the Administrator determines to be Eligible Persons. An “</w:t>
      </w:r>
      <w:r>
        <w:rPr>
          <w:rFonts w:ascii="Times New Roman" w:cs="Times New Roman" w:eastAsia="Times New Roman" w:hAnsi="Times New Roman"/>
          <w:sz w:val="17"/>
          <w:szCs w:val="17"/>
          <w:b w:val="1"/>
          <w:bCs w:val="1"/>
          <w:color w:val="auto"/>
        </w:rPr>
        <w:t>Eligible Person</w:t>
      </w:r>
      <w:r>
        <w:rPr>
          <w:rFonts w:ascii="Times New Roman" w:cs="Times New Roman" w:eastAsia="Times New Roman" w:hAnsi="Times New Roman"/>
          <w:sz w:val="17"/>
          <w:szCs w:val="17"/>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the offering and sale of shares issuable under this Plan by the Corporation or the Corporation’s compliance with any other applicable laws. An Eligible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who has been granted an award (a “participant”) may, if otherwise eligible, be granted additional awards if the Administrator shall so determine. As used herein,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any corporation or other entity a majority of whose outstanding voting stock or voting power is beneficially owned directly or indirectly by the Corporation; and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Corporation.</w:t>
      </w:r>
    </w:p>
    <w:p>
      <w:pPr>
        <w:spacing w:after="0" w:line="179" w:lineRule="exact"/>
        <w:rPr>
          <w:sz w:val="20"/>
          <w:szCs w:val="20"/>
          <w:color w:val="auto"/>
        </w:rPr>
      </w:pPr>
    </w:p>
    <w:p>
      <w:pPr>
        <w:ind w:left="620" w:hanging="618"/>
        <w:spacing w:after="0"/>
        <w:tabs>
          <w:tab w:leader="none" w:pos="62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ADMINISTRATION</w:t>
      </w:r>
    </w:p>
    <w:p>
      <w:pPr>
        <w:spacing w:after="0" w:line="212" w:lineRule="exact"/>
        <w:rPr>
          <w:sz w:val="20"/>
          <w:szCs w:val="20"/>
          <w:color w:val="auto"/>
        </w:rPr>
      </w:pPr>
    </w:p>
    <w:p>
      <w:pPr>
        <w:jc w:val="both"/>
        <w:ind w:firstLine="615"/>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i w:val="1"/>
          <w:iCs w:val="1"/>
          <w:color w:val="auto"/>
        </w:rPr>
        <w:t>The Administrator</w:t>
      </w:r>
      <w:r>
        <w:rPr>
          <w:rFonts w:ascii="Times New Roman" w:cs="Times New Roman" w:eastAsia="Times New Roman" w:hAnsi="Times New Roman"/>
          <w:sz w:val="17"/>
          <w:szCs w:val="17"/>
          <w:color w:val="auto"/>
        </w:rPr>
        <w:t>. This Plan shall be administered by and all awards under this Plan shall be authorized by the Administrator. The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spacing w:after="0" w:line="172" w:lineRule="exact"/>
        <w:rPr>
          <w:sz w:val="20"/>
          <w:szCs w:val="20"/>
          <w:color w:val="auto"/>
        </w:rPr>
      </w:pPr>
    </w:p>
    <w:p>
      <w:pPr>
        <w:jc w:val="both"/>
        <w:ind w:firstLine="61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i w:val="1"/>
          <w:iCs w:val="1"/>
          <w:color w:val="auto"/>
        </w:rPr>
        <w:t>Powers of the Administrator</w:t>
      </w:r>
      <w:r>
        <w:rPr>
          <w:rFonts w:ascii="Times New Roman" w:cs="Times New Roman" w:eastAsia="Times New Roman" w:hAnsi="Times New Roman"/>
          <w:sz w:val="17"/>
          <w:szCs w:val="17"/>
          <w:color w:val="auto"/>
        </w:rPr>
        <w:t>. Subject to the express provisions of this Plan, the Administrator is authorized and empowered to do all things necessary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ind w:firstLine="1232"/>
        <w:spacing w:after="0" w:line="284" w:lineRule="auto"/>
        <w:tabs>
          <w:tab w:leader="none" w:pos="147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eligibility and, from among those persons determined to be eligible, determine the particular Eligible Persons who will receive an award under this Plan;</w:t>
      </w:r>
    </w:p>
    <w:p>
      <w:pPr>
        <w:spacing w:after="0" w:line="152" w:lineRule="exact"/>
        <w:rPr>
          <w:rFonts w:ascii="Times New Roman" w:cs="Times New Roman" w:eastAsia="Times New Roman" w:hAnsi="Times New Roman"/>
          <w:sz w:val="17"/>
          <w:szCs w:val="17"/>
          <w:color w:val="auto"/>
        </w:rPr>
      </w:pPr>
    </w:p>
    <w:p>
      <w:pPr>
        <w:jc w:val="both"/>
        <w:ind w:firstLine="1232"/>
        <w:spacing w:after="0" w:line="255" w:lineRule="auto"/>
        <w:tabs>
          <w:tab w:leader="none" w:pos="147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5.2),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79" w:lineRule="exact"/>
        <w:rPr>
          <w:rFonts w:ascii="Times New Roman" w:cs="Times New Roman" w:eastAsia="Times New Roman" w:hAnsi="Times New Roman"/>
          <w:sz w:val="17"/>
          <w:szCs w:val="17"/>
          <w:color w:val="auto"/>
        </w:rPr>
      </w:pPr>
    </w:p>
    <w:p>
      <w:pPr>
        <w:ind w:left="1460" w:hanging="228"/>
        <w:spacing w:after="0"/>
        <w:tabs>
          <w:tab w:leader="none" w:pos="14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forms of any award agreements (which need not be identical either as to type of award or among participants);</w:t>
      </w:r>
    </w:p>
    <w:p>
      <w:pPr>
        <w:spacing w:after="0" w:line="214" w:lineRule="exact"/>
        <w:rPr>
          <w:rFonts w:ascii="Times New Roman" w:cs="Times New Roman" w:eastAsia="Times New Roman" w:hAnsi="Times New Roman"/>
          <w:sz w:val="17"/>
          <w:szCs w:val="17"/>
          <w:color w:val="auto"/>
        </w:rPr>
      </w:pPr>
    </w:p>
    <w:p>
      <w:pPr>
        <w:jc w:val="both"/>
        <w:ind w:firstLine="1232"/>
        <w:spacing w:after="0" w:line="267" w:lineRule="auto"/>
        <w:tabs>
          <w:tab w:leader="none" w:pos="148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67" w:lineRule="exact"/>
        <w:rPr>
          <w:rFonts w:ascii="Times New Roman" w:cs="Times New Roman" w:eastAsia="Times New Roman" w:hAnsi="Times New Roman"/>
          <w:sz w:val="17"/>
          <w:szCs w:val="17"/>
          <w:color w:val="auto"/>
        </w:rPr>
      </w:pPr>
    </w:p>
    <w:p>
      <w:pPr>
        <w:ind w:firstLine="1232"/>
        <w:spacing w:after="0" w:line="284" w:lineRule="auto"/>
        <w:tabs>
          <w:tab w:leader="none" w:pos="146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modify, or waive the Corporation’s rights with respect to, or modify, discontinue, suspend, or terminate any or all outstanding awards, subject to any required consent under Section 8.6.5;</w:t>
      </w:r>
    </w:p>
    <w:p>
      <w:pPr>
        <w:spacing w:after="0" w:line="152" w:lineRule="exact"/>
        <w:rPr>
          <w:rFonts w:ascii="Times New Roman" w:cs="Times New Roman" w:eastAsia="Times New Roman" w:hAnsi="Times New Roman"/>
          <w:sz w:val="17"/>
          <w:szCs w:val="17"/>
          <w:color w:val="auto"/>
        </w:rPr>
      </w:pPr>
    </w:p>
    <w:p>
      <w:pPr>
        <w:jc w:val="both"/>
        <w:ind w:firstLine="1232"/>
        <w:spacing w:after="0" w:line="262" w:lineRule="auto"/>
        <w:tabs>
          <w:tab w:leader="none" w:pos="14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waive or extend the vesting or exercisability, or modify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70" w:lineRule="exact"/>
        <w:rPr>
          <w:rFonts w:ascii="Times New Roman" w:cs="Times New Roman" w:eastAsia="Times New Roman" w:hAnsi="Times New Roman"/>
          <w:sz w:val="17"/>
          <w:szCs w:val="17"/>
          <w:color w:val="auto"/>
        </w:rPr>
      </w:pPr>
    </w:p>
    <w:p>
      <w:pPr>
        <w:jc w:val="both"/>
        <w:ind w:firstLine="1232"/>
        <w:spacing w:after="0" w:line="258" w:lineRule="auto"/>
        <w:tabs>
          <w:tab w:leader="none" w:pos="148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 w:lineRule="exact"/>
        <w:rPr>
          <w:rFonts w:ascii="Times New Roman" w:cs="Times New Roman" w:eastAsia="Times New Roman" w:hAnsi="Times New Roman"/>
          <w:sz w:val="17"/>
          <w:szCs w:val="17"/>
          <w:color w:val="auto"/>
        </w:rPr>
      </w:pPr>
    </w:p>
    <w:p>
      <w:pPr>
        <w:jc w:val="both"/>
        <w:ind w:firstLine="1232"/>
        <w:spacing w:after="0" w:line="257" w:lineRule="auto"/>
        <w:tabs>
          <w:tab w:leader="none" w:pos="147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 provided, that the grant date of any award may not be modified once such grant date has occurred;</w:t>
      </w:r>
    </w:p>
    <w:p>
      <w:pPr>
        <w:spacing w:after="0" w:line="174" w:lineRule="exact"/>
        <w:rPr>
          <w:rFonts w:ascii="Times New Roman" w:cs="Times New Roman" w:eastAsia="Times New Roman" w:hAnsi="Times New Roman"/>
          <w:sz w:val="17"/>
          <w:szCs w:val="17"/>
          <w:color w:val="auto"/>
        </w:rPr>
      </w:pPr>
    </w:p>
    <w:p>
      <w:pPr>
        <w:ind w:firstLine="1232"/>
        <w:spacing w:after="0" w:line="284" w:lineRule="auto"/>
        <w:tabs>
          <w:tab w:leader="none" w:pos="143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and the extent to which, adjustments are required pursuant to Section 7.1 hereof and take any other actions contemplated by Section 7 in connection with the occurrence of an event of the type described in Section 7;</w:t>
      </w:r>
    </w:p>
    <w:p>
      <w:pPr>
        <w:spacing w:after="0" w:line="152" w:lineRule="exact"/>
        <w:rPr>
          <w:rFonts w:ascii="Times New Roman" w:cs="Times New Roman" w:eastAsia="Times New Roman" w:hAnsi="Times New Roman"/>
          <w:sz w:val="17"/>
          <w:szCs w:val="17"/>
          <w:color w:val="auto"/>
        </w:rPr>
      </w:pPr>
    </w:p>
    <w:p>
      <w:pPr>
        <w:ind w:firstLine="1232"/>
        <w:spacing w:after="0" w:line="284" w:lineRule="auto"/>
        <w:tabs>
          <w:tab w:leader="none" w:pos="143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settle (subject to Sections 7 and 8.6) rights under awards in cash, stock of equivalent value, or other consideration (subject to the no repricing provision below); and</w:t>
      </w:r>
    </w:p>
    <w:p>
      <w:pPr>
        <w:spacing w:after="0" w:line="152" w:lineRule="exact"/>
        <w:rPr>
          <w:rFonts w:ascii="Times New Roman" w:cs="Times New Roman" w:eastAsia="Times New Roman" w:hAnsi="Times New Roman"/>
          <w:sz w:val="17"/>
          <w:szCs w:val="17"/>
          <w:color w:val="auto"/>
        </w:rPr>
      </w:pPr>
    </w:p>
    <w:p>
      <w:pPr>
        <w:ind w:left="1480" w:hanging="248"/>
        <w:spacing w:after="0"/>
        <w:tabs>
          <w:tab w:leader="none" w:pos="14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fair market value of the Common Stock or awards under this Plan from time to time and/or the manner in which such value will</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determined.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jc w:val="both"/>
        <w:ind w:firstLine="61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3.3 </w:t>
      </w:r>
      <w:r>
        <w:rPr>
          <w:rFonts w:ascii="Times New Roman" w:cs="Times New Roman" w:eastAsia="Times New Roman" w:hAnsi="Times New Roman"/>
          <w:sz w:val="17"/>
          <w:szCs w:val="17"/>
          <w:b w:val="1"/>
          <w:bCs w:val="1"/>
          <w:i w:val="1"/>
          <w:iCs w:val="1"/>
          <w:color w:val="auto"/>
        </w:rPr>
        <w:t>Prohibition on Repricing</w:t>
      </w:r>
      <w:r>
        <w:rPr>
          <w:rFonts w:ascii="Times New Roman" w:cs="Times New Roman" w:eastAsia="Times New Roman" w:hAnsi="Times New Roman"/>
          <w:sz w:val="17"/>
          <w:szCs w:val="17"/>
          <w:color w:val="auto"/>
        </w:rPr>
        <w:t>. Notwithstanding anything to the contrary in Section 3.2 and except for an adjustment pursuant to Section 7.1 or a repricing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approved by stockholders, in no case may the Administrator (1) amend an outstanding stock option or stock appreciation right (“</w:t>
      </w:r>
      <w:r>
        <w:rPr>
          <w:rFonts w:ascii="Times New Roman" w:cs="Times New Roman" w:eastAsia="Times New Roman" w:hAnsi="Times New Roman"/>
          <w:sz w:val="17"/>
          <w:szCs w:val="17"/>
          <w:b w:val="1"/>
          <w:bCs w:val="1"/>
          <w:color w:val="auto"/>
        </w:rPr>
        <w:t>SAR</w:t>
      </w:r>
      <w:r>
        <w:rPr>
          <w:rFonts w:ascii="Times New Roman" w:cs="Times New Roman" w:eastAsia="Times New Roman" w:hAnsi="Times New Roman"/>
          <w:sz w:val="17"/>
          <w:szCs w:val="17"/>
          <w:color w:val="auto"/>
        </w:rPr>
        <w:t>”) to reduce the exercise price or base price of the award, (2) cancel, exchange, or surrender an outstanding stock option or SAR in exchange for cash or other awards at any time that the exercise price or base price of the award is greater than fair market value or under any other circumstances that would constitute repricing the award, or (3) cancel, exchange, or surrender an outstanding stock option or SAR in exchange for an option or SAR with an exercise or base price that is less than the exercise or base price of the original award.</w:t>
      </w:r>
    </w:p>
    <w:p>
      <w:pPr>
        <w:spacing w:after="0" w:line="168"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3.4 </w:t>
      </w:r>
      <w:r>
        <w:rPr>
          <w:rFonts w:ascii="Times New Roman" w:cs="Times New Roman" w:eastAsia="Times New Roman" w:hAnsi="Times New Roman"/>
          <w:sz w:val="17"/>
          <w:szCs w:val="17"/>
          <w:b w:val="1"/>
          <w:bCs w:val="1"/>
          <w:i w:val="1"/>
          <w:iCs w:val="1"/>
          <w:color w:val="auto"/>
        </w:rPr>
        <w:t>Binding Determinations</w:t>
      </w:r>
      <w:r>
        <w:rPr>
          <w:rFonts w:ascii="Times New Roman" w:cs="Times New Roman" w:eastAsia="Times New Roman" w:hAnsi="Times New Roman"/>
          <w:sz w:val="17"/>
          <w:szCs w:val="17"/>
          <w:color w:val="auto"/>
        </w:rPr>
        <w:t>. Any determination or other action taken by, or inaction of, the Corporation, any Subsidiary, or the Administrator relating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applicable to ISOs, should any other award(s) fail to qualify for any intended tax treatment or be subject to tax, penalty, or interest under Section 409A of the Code or other tax penalties, should any award grant or other action with respect thereto not satisfy Rule 16b-3 promulgated under the Securities Exchange Act of 1934, as amended, or otherwise for any tax or other liability imposed on a participant with respect to an award.</w:t>
      </w:r>
    </w:p>
    <w:p>
      <w:pPr>
        <w:spacing w:after="0" w:line="171" w:lineRule="exact"/>
        <w:rPr>
          <w:sz w:val="20"/>
          <w:szCs w:val="20"/>
          <w:color w:val="auto"/>
        </w:rPr>
      </w:pPr>
    </w:p>
    <w:p>
      <w:pPr>
        <w:jc w:val="both"/>
        <w:ind w:firstLine="61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3.5 </w:t>
      </w:r>
      <w:r>
        <w:rPr>
          <w:rFonts w:ascii="Times New Roman" w:cs="Times New Roman" w:eastAsia="Times New Roman" w:hAnsi="Times New Roman"/>
          <w:sz w:val="17"/>
          <w:szCs w:val="17"/>
          <w:b w:val="1"/>
          <w:bCs w:val="1"/>
          <w:i w:val="1"/>
          <w:iCs w:val="1"/>
          <w:color w:val="auto"/>
        </w:rPr>
        <w:t>Reliance on Experts</w:t>
      </w:r>
      <w:r>
        <w:rPr>
          <w:rFonts w:ascii="Times New Roman" w:cs="Times New Roman" w:eastAsia="Times New Roman" w:hAnsi="Times New Roman"/>
          <w:sz w:val="17"/>
          <w:szCs w:val="17"/>
          <w:color w:val="auto"/>
        </w:rPr>
        <w:t>. In making any determination or in taking or not taking any action under this Plan, the Administrator may obtain and may rely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57" w:lineRule="exact"/>
        <w:rPr>
          <w:sz w:val="20"/>
          <w:szCs w:val="20"/>
          <w:color w:val="auto"/>
        </w:rPr>
      </w:pPr>
    </w:p>
    <w:p>
      <w:pPr>
        <w:jc w:val="both"/>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3.6 </w:t>
      </w:r>
      <w:r>
        <w:rPr>
          <w:rFonts w:ascii="Times New Roman" w:cs="Times New Roman" w:eastAsia="Times New Roman" w:hAnsi="Times New Roman"/>
          <w:sz w:val="17"/>
          <w:szCs w:val="17"/>
          <w:b w:val="1"/>
          <w:bCs w:val="1"/>
          <w:i w:val="1"/>
          <w:iCs w:val="1"/>
          <w:color w:val="auto"/>
        </w:rPr>
        <w:t>Delegation</w:t>
      </w:r>
      <w:r>
        <w:rPr>
          <w:rFonts w:ascii="Times New Roman" w:cs="Times New Roman" w:eastAsia="Times New Roman" w:hAnsi="Times New Roman"/>
          <w:sz w:val="17"/>
          <w:szCs w:val="17"/>
          <w:color w:val="auto"/>
        </w:rPr>
        <w:t>. The Administrator may delegate ministerial, non-discretionary functions to individuals who are officers or employees of the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any of its Subsidiaries or to third parties.</w:t>
      </w:r>
    </w:p>
    <w:p>
      <w:pPr>
        <w:spacing w:after="0" w:line="143" w:lineRule="exact"/>
        <w:rPr>
          <w:sz w:val="20"/>
          <w:szCs w:val="20"/>
          <w:color w:val="auto"/>
        </w:rPr>
      </w:pPr>
    </w:p>
    <w:p>
      <w:pPr>
        <w:ind w:left="620" w:hanging="618"/>
        <w:spacing w:after="0"/>
        <w:tabs>
          <w:tab w:leader="none" w:pos="62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SHARES OF COMMON STOCK SUBJECT TO THE PLAN; SHARE LIMITS</w:t>
      </w:r>
    </w:p>
    <w:p>
      <w:pPr>
        <w:spacing w:after="0" w:line="212"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i w:val="1"/>
          <w:iCs w:val="1"/>
          <w:color w:val="auto"/>
        </w:rPr>
        <w:t>Shares Available</w:t>
      </w:r>
      <w:r>
        <w:rPr>
          <w:rFonts w:ascii="Times New Roman" w:cs="Times New Roman" w:eastAsia="Times New Roman" w:hAnsi="Times New Roman"/>
          <w:sz w:val="17"/>
          <w:szCs w:val="17"/>
          <w:color w:val="auto"/>
        </w:rPr>
        <w:t>. Subject to the provisions of Section 7.1, the capital stock that may be delivered under this Plan shall be shares of the Corporation’s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but unissued Common Stock and any shares of its Common Stock held as treasury shares. For purposes of this Plan,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164" w:lineRule="exact"/>
        <w:rPr>
          <w:sz w:val="20"/>
          <w:szCs w:val="20"/>
          <w:color w:val="auto"/>
        </w:rPr>
      </w:pPr>
    </w:p>
    <w:p>
      <w:pPr>
        <w:jc w:val="both"/>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i w:val="1"/>
          <w:iCs w:val="1"/>
          <w:color w:val="auto"/>
        </w:rPr>
        <w:t>Aggregate Share Limit</w:t>
      </w:r>
      <w:r>
        <w:rPr>
          <w:rFonts w:ascii="Times New Roman" w:cs="Times New Roman" w:eastAsia="Times New Roman" w:hAnsi="Times New Roman"/>
          <w:sz w:val="17"/>
          <w:szCs w:val="17"/>
          <w:color w:val="auto"/>
        </w:rPr>
        <w:t>. The maximum number of shares of Common Stock that may be delivered pursuant to awards granted to Eligible Persons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Plan (the “</w:t>
      </w:r>
      <w:r>
        <w:rPr>
          <w:rFonts w:ascii="Times New Roman" w:cs="Times New Roman" w:eastAsia="Times New Roman" w:hAnsi="Times New Roman"/>
          <w:sz w:val="17"/>
          <w:szCs w:val="17"/>
          <w:b w:val="1"/>
          <w:bCs w:val="1"/>
          <w:color w:val="auto"/>
        </w:rPr>
        <w:t>Share Limit</w:t>
      </w:r>
      <w:r>
        <w:rPr>
          <w:rFonts w:ascii="Times New Roman" w:cs="Times New Roman" w:eastAsia="Times New Roman" w:hAnsi="Times New Roman"/>
          <w:sz w:val="17"/>
          <w:szCs w:val="17"/>
          <w:color w:val="auto"/>
        </w:rPr>
        <w:t>”) is equal to the sum of the following:</w:t>
      </w:r>
    </w:p>
    <w:p>
      <w:pPr>
        <w:spacing w:after="0" w:line="147" w:lineRule="exact"/>
        <w:rPr>
          <w:sz w:val="20"/>
          <w:szCs w:val="20"/>
          <w:color w:val="auto"/>
        </w:rPr>
      </w:pPr>
    </w:p>
    <w:p>
      <w:pPr>
        <w:ind w:left="1480" w:hanging="248"/>
        <w:spacing w:after="0"/>
        <w:tabs>
          <w:tab w:leader="none" w:pos="14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490,000 shares of Common Stock, plus</w:t>
      </w:r>
    </w:p>
    <w:p>
      <w:pPr>
        <w:spacing w:after="0" w:line="214" w:lineRule="exact"/>
        <w:rPr>
          <w:rFonts w:ascii="Times New Roman" w:cs="Times New Roman" w:eastAsia="Times New Roman" w:hAnsi="Times New Roman"/>
          <w:sz w:val="17"/>
          <w:szCs w:val="17"/>
          <w:color w:val="auto"/>
        </w:rPr>
      </w:pPr>
    </w:p>
    <w:p>
      <w:pPr>
        <w:jc w:val="both"/>
        <w:ind w:firstLine="1232"/>
        <w:spacing w:after="0" w:line="267" w:lineRule="auto"/>
        <w:tabs>
          <w:tab w:leader="none" w:pos="148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available for additional award grant purposes under the Corporation’s 2017 Performance Incentive Plan (the “</w:t>
      </w:r>
      <w:r>
        <w:rPr>
          <w:rFonts w:ascii="Times New Roman" w:cs="Times New Roman" w:eastAsia="Times New Roman" w:hAnsi="Times New Roman"/>
          <w:sz w:val="17"/>
          <w:szCs w:val="17"/>
          <w:b w:val="1"/>
          <w:bCs w:val="1"/>
          <w:color w:val="auto"/>
        </w:rPr>
        <w:t>2017 Plan</w:t>
      </w:r>
      <w:r>
        <w:rPr>
          <w:rFonts w:ascii="Times New Roman" w:cs="Times New Roman" w:eastAsia="Times New Roman" w:hAnsi="Times New Roman"/>
          <w:sz w:val="17"/>
          <w:szCs w:val="17"/>
          <w:color w:val="auto"/>
        </w:rPr>
        <w:t>”) as of the date of stockholder approval of this Plan (the “</w:t>
      </w:r>
      <w:r>
        <w:rPr>
          <w:rFonts w:ascii="Times New Roman" w:cs="Times New Roman" w:eastAsia="Times New Roman" w:hAnsi="Times New Roman"/>
          <w:sz w:val="17"/>
          <w:szCs w:val="17"/>
          <w:b w:val="1"/>
          <w:bCs w:val="1"/>
          <w:color w:val="auto"/>
        </w:rPr>
        <w:t>Stockholder Approval Date</w:t>
      </w:r>
      <w:r>
        <w:rPr>
          <w:rFonts w:ascii="Times New Roman" w:cs="Times New Roman" w:eastAsia="Times New Roman" w:hAnsi="Times New Roman"/>
          <w:sz w:val="17"/>
          <w:szCs w:val="17"/>
          <w:color w:val="auto"/>
        </w:rPr>
        <w:t>”) and determined immediately prior to the termination of the authority to grant new awards under the 2017 Plan as of the Stockholder Approval Date, plus</w:t>
      </w:r>
    </w:p>
    <w:p>
      <w:pPr>
        <w:spacing w:after="0" w:line="167"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7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any shares subject to restricted stock and restricted stock unit awards granted under the 2017 Plan and the Corporation’s 2007 Equity Incentive Plan (the </w:t>
      </w:r>
      <w:r>
        <w:rPr>
          <w:rFonts w:ascii="Times New Roman" w:cs="Times New Roman" w:eastAsia="Times New Roman" w:hAnsi="Times New Roman"/>
          <w:sz w:val="17"/>
          <w:szCs w:val="17"/>
          <w:b w:val="1"/>
          <w:bCs w:val="1"/>
          <w:color w:val="auto"/>
        </w:rPr>
        <w:t>“2007 Plan</w:t>
      </w:r>
      <w:r>
        <w:rPr>
          <w:rFonts w:ascii="Times New Roman" w:cs="Times New Roman" w:eastAsia="Times New Roman" w:hAnsi="Times New Roman"/>
          <w:sz w:val="17"/>
          <w:szCs w:val="17"/>
          <w:color w:val="auto"/>
        </w:rPr>
        <w:t>”, and together with the 2017 Plan, the “</w:t>
      </w:r>
      <w:r>
        <w:rPr>
          <w:rFonts w:ascii="Times New Roman" w:cs="Times New Roman" w:eastAsia="Times New Roman" w:hAnsi="Times New Roman"/>
          <w:sz w:val="17"/>
          <w:szCs w:val="17"/>
          <w:b w:val="1"/>
          <w:bCs w:val="1"/>
          <w:color w:val="auto"/>
        </w:rPr>
        <w:t>Legacy Plans</w:t>
      </w:r>
      <w:r>
        <w:rPr>
          <w:rFonts w:ascii="Times New Roman" w:cs="Times New Roman" w:eastAsia="Times New Roman" w:hAnsi="Times New Roman"/>
          <w:sz w:val="17"/>
          <w:szCs w:val="17"/>
          <w:color w:val="auto"/>
        </w:rPr>
        <w:t>”)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4" w:name="page95"/>
    <w:bookmarkEnd w:id="94"/>
    <w:p>
      <w:pPr>
        <w:jc w:val="both"/>
        <w:ind w:firstLine="1229"/>
        <w:spacing w:after="0" w:line="259" w:lineRule="auto"/>
        <w:rPr>
          <w:sz w:val="20"/>
          <w:szCs w:val="20"/>
          <w:color w:val="auto"/>
        </w:rPr>
      </w:pPr>
      <w:r>
        <w:rPr>
          <w:rFonts w:ascii="Times New Roman" w:cs="Times New Roman" w:eastAsia="Times New Roman" w:hAnsi="Times New Roman"/>
          <w:sz w:val="17"/>
          <w:szCs w:val="17"/>
          <w:color w:val="auto"/>
        </w:rPr>
        <w:t>provided that in no event shall the Share Limit exceed 1,089,443 shares (which is the sum of (i) the 490,000 shares set forth above, plus (ii) zero shares available under the 2017 Plan for additional award grant purposes as of the Effective Date (as such term is defined in Section 8.6.1), plus (iii) 599,443 shares, which is a maximum of 499,536 shares subject to restricted stock and restricted stock unit awards previously granted and outstanding and unvested under the Legacy Plans as of the Effective Date that could become available under the Legacy Plans as a result of the forfeiture, termination or cancellation of such awards multiplied by a factor of 1.2 (the share-counting ratio for such awards under clause (3) above).</w:t>
      </w:r>
    </w:p>
    <w:p>
      <w:pPr>
        <w:spacing w:after="0" w:line="175" w:lineRule="exact"/>
        <w:rPr>
          <w:sz w:val="20"/>
          <w:szCs w:val="20"/>
          <w:color w:val="auto"/>
        </w:rPr>
      </w:pPr>
    </w:p>
    <w:p>
      <w:pPr>
        <w:jc w:val="both"/>
        <w:ind w:firstLine="1229"/>
        <w:spacing w:after="0" w:line="262" w:lineRule="auto"/>
        <w:rPr>
          <w:sz w:val="20"/>
          <w:szCs w:val="20"/>
          <w:color w:val="auto"/>
        </w:rPr>
      </w:pPr>
      <w:r>
        <w:rPr>
          <w:rFonts w:ascii="Times New Roman" w:cs="Times New Roman" w:eastAsia="Times New Roman" w:hAnsi="Times New Roman"/>
          <w:sz w:val="17"/>
          <w:szCs w:val="17"/>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Times New Roman" w:cs="Times New Roman" w:eastAsia="Times New Roman" w:hAnsi="Times New Roman"/>
          <w:sz w:val="17"/>
          <w:szCs w:val="17"/>
          <w:b w:val="1"/>
          <w:bCs w:val="1"/>
          <w:color w:val="auto"/>
        </w:rPr>
        <w:t>Full-Value Award</w:t>
      </w:r>
      <w:r>
        <w:rPr>
          <w:rFonts w:ascii="Times New Roman" w:cs="Times New Roman" w:eastAsia="Times New Roman" w:hAnsi="Times New Roman"/>
          <w:sz w:val="17"/>
          <w:szCs w:val="17"/>
          <w:color w:val="auto"/>
        </w:rPr>
        <w:t xml:space="preserve">” means any award that is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a stock option grant or a SAR grant.</w:t>
      </w:r>
    </w:p>
    <w:p>
      <w:pPr>
        <w:spacing w:after="0" w:line="165" w:lineRule="exact"/>
        <w:rPr>
          <w:sz w:val="20"/>
          <w:szCs w:val="20"/>
          <w:color w:val="auto"/>
        </w:rPr>
      </w:pPr>
    </w:p>
    <w:p>
      <w:pPr>
        <w:jc w:val="both"/>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i w:val="1"/>
          <w:iCs w:val="1"/>
          <w:color w:val="auto"/>
        </w:rPr>
        <w:t>Additional Share Limits</w:t>
      </w:r>
      <w:r>
        <w:rPr>
          <w:rFonts w:ascii="Times New Roman" w:cs="Times New Roman" w:eastAsia="Times New Roman" w:hAnsi="Times New Roman"/>
          <w:sz w:val="17"/>
          <w:szCs w:val="17"/>
          <w:color w:val="auto"/>
        </w:rPr>
        <w:t>. The following limits also apply with respect to awards granted under this Plan. These limits are in addition to, not in lieu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aggregate Share Limit in Section 4.2.</w:t>
      </w:r>
    </w:p>
    <w:p>
      <w:pPr>
        <w:spacing w:after="0" w:line="147" w:lineRule="exact"/>
        <w:rPr>
          <w:sz w:val="20"/>
          <w:szCs w:val="20"/>
          <w:color w:val="auto"/>
        </w:rPr>
      </w:pPr>
    </w:p>
    <w:p>
      <w:pPr>
        <w:ind w:firstLine="1232"/>
        <w:spacing w:after="0" w:line="284" w:lineRule="auto"/>
        <w:tabs>
          <w:tab w:leader="none" w:pos="147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of Common Stock that may be delivered pursuant to options qualified as incentive stock options granted under this Plan is 333,333 shares.</w:t>
      </w:r>
    </w:p>
    <w:p>
      <w:pPr>
        <w:spacing w:after="0" w:line="152" w:lineRule="exact"/>
        <w:rPr>
          <w:rFonts w:ascii="Times New Roman" w:cs="Times New Roman" w:eastAsia="Times New Roman" w:hAnsi="Times New Roman"/>
          <w:sz w:val="17"/>
          <w:szCs w:val="17"/>
          <w:color w:val="auto"/>
        </w:rPr>
      </w:pPr>
    </w:p>
    <w:p>
      <w:pPr>
        <w:jc w:val="both"/>
        <w:ind w:firstLine="1232"/>
        <w:spacing w:after="0" w:line="254" w:lineRule="auto"/>
        <w:tabs>
          <w:tab w:leader="none" w:pos="147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that are granted under this Plan during any one calendar year to any person who, on the grant date of the award, is a non-employee director are subject to the limits of this Section 4.3(b).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the grant date fair value of any other awards granted under this Plan during that same calendar year to that individual in his or her capacity as a non-employee director, is $300,000; provided that this limit is $400,000 as to (1) a non-employee director who is serving as the independent Chair of the Board or as a lead independent director at the time the applicable grant is made or (2) any new non-employee director for the calendar year in which the non-employee director is first elected or appointed to the Board. For purposes of this Section 4.3(b), a “non-employee director” is an individual who, on the grant date of the award, is a member of the Board who is not then an officer or employee of the Corporation or one of its Subsidiaries. For purposes of this Section 4.3(b), “grant date fair value” means the value of the award as of the date of grant of the award and as determined using the equity award valuation principles applied in the Corporation’s financial reporting. The limits of this Section 4.3(b) do not apply to, and shall be determined without taking into account, any award granted to an individual who, on the grant date of the award, is an officer or employee of the Corporation or one of its Subsidiaries. The limits of this Section 4.3(b) apply on an individual basis and not on an aggregate basis to all non-employee directors as a group.</w:t>
      </w:r>
    </w:p>
    <w:p>
      <w:pPr>
        <w:spacing w:after="0" w:line="180" w:lineRule="exact"/>
        <w:rPr>
          <w:rFonts w:ascii="Times New Roman" w:cs="Times New Roman" w:eastAsia="Times New Roman" w:hAnsi="Times New Roman"/>
          <w:sz w:val="17"/>
          <w:szCs w:val="17"/>
          <w:color w:val="auto"/>
        </w:rPr>
      </w:pPr>
    </w:p>
    <w:p>
      <w:pPr>
        <w:ind w:firstLine="1232"/>
        <w:spacing w:after="0" w:line="284" w:lineRule="auto"/>
        <w:tabs>
          <w:tab w:leader="none" w:pos="146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may not increase the Share Limit by repurchasing shares of Common Stock on the market (by using cash received through the exercise of stock options or otherwise).</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4.4 </w:t>
      </w:r>
      <w:r>
        <w:rPr>
          <w:rFonts w:ascii="Times New Roman" w:cs="Times New Roman" w:eastAsia="Times New Roman" w:hAnsi="Times New Roman"/>
          <w:sz w:val="17"/>
          <w:szCs w:val="17"/>
          <w:b w:val="1"/>
          <w:bCs w:val="1"/>
          <w:i w:val="1"/>
          <w:iCs w:val="1"/>
          <w:color w:val="auto"/>
        </w:rPr>
        <w:t>Share-Limit Counting Rules</w:t>
      </w:r>
      <w:r>
        <w:rPr>
          <w:rFonts w:ascii="Times New Roman" w:cs="Times New Roman" w:eastAsia="Times New Roman" w:hAnsi="Times New Roman"/>
          <w:sz w:val="17"/>
          <w:szCs w:val="17"/>
          <w:color w:val="auto"/>
        </w:rPr>
        <w:t>. The Share Limit shall be subject to the following provisions of this Section 4.4:</w:t>
      </w:r>
    </w:p>
    <w:p>
      <w:pPr>
        <w:spacing w:after="0" w:line="220" w:lineRule="exact"/>
        <w:rPr>
          <w:sz w:val="20"/>
          <w:szCs w:val="20"/>
          <w:color w:val="auto"/>
        </w:rPr>
      </w:pPr>
    </w:p>
    <w:p>
      <w:pPr>
        <w:jc w:val="both"/>
        <w:ind w:firstLine="1232"/>
        <w:spacing w:after="0" w:line="259" w:lineRule="auto"/>
        <w:tabs>
          <w:tab w:leader="none" w:pos="147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are subject to or underlie Full Value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 Shares that underlie SARS and stock options which expire or for any reason are cancelled or terminated, are forfeited, fail to vest, or for any other reason are not paid or delivered under this Plan shall be counted against the Share Limit and shall not be available for subsequent awards under this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jc w:val="both"/>
        <w:ind w:firstLine="1232"/>
        <w:spacing w:after="0" w:line="258" w:lineRule="auto"/>
        <w:tabs>
          <w:tab w:leader="none" w:pos="146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shares of Common Stock are delivered pursuant to the exercise of a stock option or SAR granted under this Plan, the number of shares as to which the portion of the stock option or SAR so exercised relates shall be counted against the Share Limit as opposed to only counting the net number of shares actually issued in connection with such exercise. (For purposes of clarity, if a stock option or SAR right relates to 100,000 shares and is exercised as to all 100,000 shares at a time when the net number of shares due to the participant in connection with such exercise is 15,000 shares (taking into account any shares withheld to satisfy any applicable exercise or base price of the award and any shares withheld to satisfy any tax withholding obligations in connection with such exercise), 100,000 shares shall be counted against the Share Limit with respect to such award.)</w:t>
      </w:r>
    </w:p>
    <w:p>
      <w:pPr>
        <w:spacing w:after="0" w:line="173" w:lineRule="exact"/>
        <w:rPr>
          <w:rFonts w:ascii="Times New Roman" w:cs="Times New Roman" w:eastAsia="Times New Roman" w:hAnsi="Times New Roman"/>
          <w:sz w:val="17"/>
          <w:szCs w:val="17"/>
          <w:color w:val="auto"/>
        </w:rPr>
      </w:pPr>
    </w:p>
    <w:p>
      <w:pPr>
        <w:jc w:val="both"/>
        <w:ind w:firstLine="1232"/>
        <w:spacing w:after="0" w:line="267" w:lineRule="auto"/>
        <w:tabs>
          <w:tab w:leader="none" w:pos="147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are exchanged by a participant or withheld by the Corporation as full or partial payment in connection with any stock option or SAR granted under this Plan, as well as any shares exchanged by a participant or withheld by the Corporation or one of its Subsidiaries to satisfy the tax withholding obligations related to any stock option or SAR granted under this Plan, shall not be available for subsequent awards under this Plan.</w:t>
      </w:r>
    </w:p>
    <w:p>
      <w:pPr>
        <w:spacing w:after="0" w:line="167"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7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are exchanged by a participant or withheld by the Corporation as full or partial payment in connection with any Full-Value Award granted under this Plan or the Legacy Plans, as well as any shares exchanged by a participant or withheld by the Corporation or one of its Subsidiaries to satisfy the tax withholding obligations related to any Full-Value Award granted under this Plan or the Legacy Plans, shall not be counted against the Share Limit and shall be available for subsequent awards under this Plan, provided that any one (1) share so exchanged or withheld in connection with any Full-Value Award shall be credited as 1.2 shares when determining the number of shares that shall again become available for subsequent awards under this Plan.</w:t>
      </w:r>
    </w:p>
    <w:p>
      <w:pPr>
        <w:spacing w:after="0" w:line="174" w:lineRule="exact"/>
        <w:rPr>
          <w:rFonts w:ascii="Times New Roman" w:cs="Times New Roman" w:eastAsia="Times New Roman" w:hAnsi="Times New Roman"/>
          <w:sz w:val="17"/>
          <w:szCs w:val="17"/>
          <w:color w:val="auto"/>
        </w:rPr>
      </w:pPr>
    </w:p>
    <w:p>
      <w:pPr>
        <w:jc w:val="both"/>
        <w:ind w:firstLine="1232"/>
        <w:spacing w:after="0" w:line="267" w:lineRule="auto"/>
        <w:tabs>
          <w:tab w:leader="none" w:pos="146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167"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47"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60 shares (after giving effect to the Full-Value Award premium counting rules)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175" w:lineRule="exact"/>
        <w:rPr>
          <w:sz w:val="20"/>
          <w:szCs w:val="20"/>
          <w:color w:val="auto"/>
        </w:rPr>
      </w:pPr>
    </w:p>
    <w:p>
      <w:pPr>
        <w:jc w:val="both"/>
        <w:ind w:firstLine="1229"/>
        <w:spacing w:after="0" w:line="262" w:lineRule="auto"/>
        <w:rPr>
          <w:sz w:val="20"/>
          <w:szCs w:val="20"/>
          <w:color w:val="auto"/>
        </w:rPr>
      </w:pPr>
      <w:r>
        <w:rPr>
          <w:rFonts w:ascii="Times New Roman" w:cs="Times New Roman" w:eastAsia="Times New Roman" w:hAnsi="Times New Roman"/>
          <w:sz w:val="17"/>
          <w:szCs w:val="17"/>
          <w:color w:val="auto"/>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 4.3, Section 7 and Section 8.10. The share limits of Section 4.3 shall be applied on a one-for-one basis without applying the Full-Value Award premium counting rule taken into account in determining the Share Limit.</w:t>
      </w:r>
    </w:p>
    <w:p>
      <w:pPr>
        <w:spacing w:after="0" w:line="165"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i w:val="1"/>
          <w:iCs w:val="1"/>
          <w:color w:val="auto"/>
        </w:rPr>
        <w:t>No Fractional Shares; Minimum Issue</w:t>
      </w:r>
      <w:r>
        <w:rPr>
          <w:rFonts w:ascii="Times New Roman" w:cs="Times New Roman" w:eastAsia="Times New Roman" w:hAnsi="Times New Roman"/>
          <w:sz w:val="17"/>
          <w:szCs w:val="17"/>
          <w:color w:val="auto"/>
        </w:rPr>
        <w:t>. Unless otherwise expressly provided by the Administrator, no fractional shares shall be delivered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166" w:lineRule="exact"/>
        <w:rPr>
          <w:sz w:val="20"/>
          <w:szCs w:val="20"/>
          <w:color w:val="auto"/>
        </w:rPr>
      </w:pPr>
    </w:p>
    <w:p>
      <w:pPr>
        <w:ind w:left="620" w:hanging="618"/>
        <w:spacing w:after="0"/>
        <w:tabs>
          <w:tab w:leader="none" w:pos="62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AWARDS</w:t>
      </w:r>
    </w:p>
    <w:p>
      <w:pPr>
        <w:spacing w:after="0" w:line="212"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i w:val="1"/>
          <w:iCs w:val="1"/>
          <w:color w:val="auto"/>
        </w:rPr>
        <w:t>Type and Form of Awards</w:t>
      </w:r>
      <w:r>
        <w:rPr>
          <w:rFonts w:ascii="Times New Roman" w:cs="Times New Roman" w:eastAsia="Times New Roman" w:hAnsi="Times New Roman"/>
          <w:sz w:val="17"/>
          <w:szCs w:val="17"/>
          <w:color w:val="auto"/>
        </w:rPr>
        <w:t>. The Administrator shall determine the type or types of award(s) to be made to each selected Eligible Person. Awards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both"/>
        <w:ind w:firstLine="122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5.1.1 </w:t>
      </w:r>
      <w:r>
        <w:rPr>
          <w:rFonts w:ascii="Times New Roman" w:cs="Times New Roman" w:eastAsia="Times New Roman" w:hAnsi="Times New Roman"/>
          <w:sz w:val="17"/>
          <w:szCs w:val="17"/>
          <w:b w:val="1"/>
          <w:bCs w:val="1"/>
          <w:i w:val="1"/>
          <w:iCs w:val="1"/>
          <w:color w:val="auto"/>
        </w:rPr>
        <w:t>Stock Options</w:t>
      </w:r>
      <w:r>
        <w:rPr>
          <w:rFonts w:ascii="Times New Roman" w:cs="Times New Roman" w:eastAsia="Times New Roman" w:hAnsi="Times New Roman"/>
          <w:sz w:val="17"/>
          <w:szCs w:val="17"/>
          <w:color w:val="auto"/>
        </w:rPr>
        <w:t>. A stock option is the grant of a right to purchase a specified number of shares of Common Stock during a specified period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Administrator. An option may be intended as an incentive stock option within the meaning of Section 422 of the Code (an “</w:t>
      </w:r>
      <w:r>
        <w:rPr>
          <w:rFonts w:ascii="Times New Roman" w:cs="Times New Roman" w:eastAsia="Times New Roman" w:hAnsi="Times New Roman"/>
          <w:sz w:val="17"/>
          <w:szCs w:val="17"/>
          <w:b w:val="1"/>
          <w:bCs w:val="1"/>
          <w:color w:val="auto"/>
        </w:rPr>
        <w:t>ISO</w:t>
      </w:r>
      <w:r>
        <w:rPr>
          <w:rFonts w:ascii="Times New Roman" w:cs="Times New Roman" w:eastAsia="Times New Roman" w:hAnsi="Times New Roman"/>
          <w:sz w:val="17"/>
          <w:szCs w:val="17"/>
          <w:color w:val="auto"/>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w:t>
      </w:r>
    </w:p>
    <w:p>
      <w:pPr>
        <w:spacing w:after="0" w:line="168" w:lineRule="exact"/>
        <w:rPr>
          <w:sz w:val="20"/>
          <w:szCs w:val="20"/>
          <w:color w:val="auto"/>
        </w:rPr>
      </w:pPr>
    </w:p>
    <w:p>
      <w:pPr>
        <w:jc w:val="both"/>
        <w:ind w:firstLine="1229"/>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5.1.2 </w:t>
      </w:r>
      <w:r>
        <w:rPr>
          <w:rFonts w:ascii="Times New Roman" w:cs="Times New Roman" w:eastAsia="Times New Roman" w:hAnsi="Times New Roman"/>
          <w:sz w:val="17"/>
          <w:szCs w:val="17"/>
          <w:b w:val="1"/>
          <w:bCs w:val="1"/>
          <w:i w:val="1"/>
          <w:iCs w:val="1"/>
          <w:color w:val="auto"/>
        </w:rPr>
        <w:t>Additional Rules Applicable to ISOs</w:t>
      </w:r>
      <w:r>
        <w:rPr>
          <w:rFonts w:ascii="Times New Roman" w:cs="Times New Roman" w:eastAsia="Times New Roman" w:hAnsi="Times New Roman"/>
          <w:sz w:val="17"/>
          <w:szCs w:val="17"/>
          <w:color w:val="auto"/>
        </w:rPr>
        <w:t>. To the extent that the aggregate fair market value (determined at the time of grant of the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177" w:lineRule="exact"/>
        <w:rPr>
          <w:sz w:val="20"/>
          <w:szCs w:val="20"/>
          <w:color w:val="auto"/>
        </w:rPr>
      </w:pPr>
    </w:p>
    <w:p>
      <w:pPr>
        <w:jc w:val="both"/>
        <w:ind w:firstLine="12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5.1.3 </w:t>
      </w:r>
      <w:r>
        <w:rPr>
          <w:rFonts w:ascii="Times New Roman" w:cs="Times New Roman" w:eastAsia="Times New Roman" w:hAnsi="Times New Roman"/>
          <w:sz w:val="17"/>
          <w:szCs w:val="17"/>
          <w:b w:val="1"/>
          <w:bCs w:val="1"/>
          <w:i w:val="1"/>
          <w:iCs w:val="1"/>
          <w:color w:val="auto"/>
        </w:rPr>
        <w:t>Stock Appreciation Rights</w:t>
      </w:r>
      <w:r>
        <w:rPr>
          <w:rFonts w:ascii="Times New Roman" w:cs="Times New Roman" w:eastAsia="Times New Roman" w:hAnsi="Times New Roman"/>
          <w:sz w:val="17"/>
          <w:szCs w:val="17"/>
          <w:color w:val="auto"/>
        </w:rPr>
        <w:t>. A stock appreciation right or “</w:t>
      </w:r>
      <w:r>
        <w:rPr>
          <w:rFonts w:ascii="Times New Roman" w:cs="Times New Roman" w:eastAsia="Times New Roman" w:hAnsi="Times New Roman"/>
          <w:sz w:val="17"/>
          <w:szCs w:val="17"/>
          <w:b w:val="1"/>
          <w:bCs w:val="1"/>
          <w:color w:val="auto"/>
        </w:rPr>
        <w:t>SAR</w:t>
      </w:r>
      <w:r>
        <w:rPr>
          <w:rFonts w:ascii="Times New Roman" w:cs="Times New Roman" w:eastAsia="Times New Roman" w:hAnsi="Times New Roman"/>
          <w:sz w:val="17"/>
          <w:szCs w:val="17"/>
          <w:color w:val="auto"/>
        </w:rPr>
        <w:t>” is a right to receive a payment, in cash and/or Common Stock, equal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excess of the fair market value of a specified number of shares of Common Stock on the date the SAR is exercised over the “</w:t>
      </w:r>
      <w:r>
        <w:rPr>
          <w:rFonts w:ascii="Times New Roman" w:cs="Times New Roman" w:eastAsia="Times New Roman" w:hAnsi="Times New Roman"/>
          <w:sz w:val="17"/>
          <w:szCs w:val="17"/>
          <w:b w:val="1"/>
          <w:bCs w:val="1"/>
          <w:color w:val="auto"/>
        </w:rPr>
        <w:t>base price</w:t>
      </w:r>
      <w:r>
        <w:rPr>
          <w:rFonts w:ascii="Times New Roman" w:cs="Times New Roman" w:eastAsia="Times New Roman" w:hAnsi="Times New Roman"/>
          <w:sz w:val="17"/>
          <w:szCs w:val="17"/>
          <w:color w:val="auto"/>
        </w:rPr>
        <w:t>” of the award, which base price shall be set forth in the applicable award agreement and shall be not less than 100% of the fair market value of a share of Common Stock on the date of grant of the SAR. The maximum term of a SAR shall be ten (10) years.</w:t>
      </w:r>
    </w:p>
    <w:p>
      <w:pPr>
        <w:spacing w:after="0" w:line="164" w:lineRule="exact"/>
        <w:rPr>
          <w:sz w:val="20"/>
          <w:szCs w:val="20"/>
          <w:color w:val="auto"/>
        </w:rPr>
      </w:pPr>
    </w:p>
    <w:p>
      <w:pPr>
        <w:jc w:val="both"/>
        <w:ind w:firstLine="122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5.1.4 </w:t>
      </w:r>
      <w:r>
        <w:rPr>
          <w:rFonts w:ascii="Times New Roman" w:cs="Times New Roman" w:eastAsia="Times New Roman" w:hAnsi="Times New Roman"/>
          <w:sz w:val="17"/>
          <w:szCs w:val="17"/>
          <w:b w:val="1"/>
          <w:bCs w:val="1"/>
          <w:i w:val="1"/>
          <w:iCs w:val="1"/>
          <w:color w:val="auto"/>
        </w:rPr>
        <w:t>Other Awards; Dividend Equivalent Rights</w:t>
      </w:r>
      <w:r>
        <w:rPr>
          <w:rFonts w:ascii="Times New Roman" w:cs="Times New Roman" w:eastAsia="Times New Roman" w:hAnsi="Times New Roman"/>
          <w:sz w:val="17"/>
          <w:szCs w:val="17"/>
          <w:color w:val="auto"/>
        </w:rPr>
        <w:t>. The other types of awards that may be granted under this Plan include: (a) stock bonuses,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restricted stock, performance stock, stock units, phantom stock or similar rights to purchase or acquire shares, whether at a fixed or variable price (or no price) or fixed or variable ratio related to the Common Stock, and any of which may (but need not) be fully vested at grant (except as provided below with respect to dividend equivalent rights) or vest upon the passage of time, the occurrence of one or more events, the satisfaction of performance criteria or other conditions, or any combination thereof; or (b) cash awards. Dividend equivalent rights may be granted as a separate award or in connection with another award under this Plan; provided, however, that dividend equivalent rights may not be granted as to a stock option or SAR granted under this Plan. The payment of dividends on any unvested award or portion thereof is expressly prohibited, except with respect to restricted stock, regarding which the applicable award agreement shall provide that in the event a dividend is paid on unvested shares which fail to vest, the dividend shall be repaid by the award holder. With respect to all other awards, dividend equivalents may accrue during the vesting period and payment may be made upon vesting.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7" w:name="page98"/>
    <w:bookmarkEnd w:id="97"/>
    <w:p>
      <w:pPr>
        <w:jc w:val="both"/>
        <w:ind w:firstLine="61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b w:val="1"/>
          <w:bCs w:val="1"/>
          <w:i w:val="1"/>
          <w:iCs w:val="1"/>
          <w:color w:val="auto"/>
        </w:rPr>
        <w:t>Minimum Vesting Requirement</w:t>
      </w:r>
      <w:r>
        <w:rPr>
          <w:rFonts w:ascii="Times New Roman" w:cs="Times New Roman" w:eastAsia="Times New Roman" w:hAnsi="Times New Roman"/>
          <w:sz w:val="17"/>
          <w:szCs w:val="17"/>
          <w:color w:val="auto"/>
        </w:rPr>
        <w:t>. Except for any accelerated vesting required pursuant to Section 7 or as provided in the next sentence, each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granted under this Plan shall be subject to a minimum vesting requirement of one year and no portion of any such award may provide that it will vest earlier than the first anniversary of the date of grant of the award other than due to the death, disability, or involuntary termination of the employment or services of the award holder, or in connection with a Change in Control (as such term is defined in Section 7.3) (the “</w:t>
      </w:r>
      <w:r>
        <w:rPr>
          <w:rFonts w:ascii="Times New Roman" w:cs="Times New Roman" w:eastAsia="Times New Roman" w:hAnsi="Times New Roman"/>
          <w:sz w:val="17"/>
          <w:szCs w:val="17"/>
          <w:b w:val="1"/>
          <w:bCs w:val="1"/>
          <w:color w:val="auto"/>
        </w:rPr>
        <w:t>Minimum Vesting Requirement</w:t>
      </w:r>
      <w:r>
        <w:rPr>
          <w:rFonts w:ascii="Times New Roman" w:cs="Times New Roman" w:eastAsia="Times New Roman" w:hAnsi="Times New Roman"/>
          <w:sz w:val="17"/>
          <w:szCs w:val="17"/>
          <w:color w:val="auto"/>
        </w:rPr>
        <w:t>”). Awards may be granted under this Plan with minimum vesting requirements of less than one year, or no vesting requirements, provided that the total number of shares of Common Stock subject to such awards shall not exceed 5% of the Share Limit.</w:t>
      </w:r>
    </w:p>
    <w:p>
      <w:pPr>
        <w:spacing w:after="0" w:line="168"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b w:val="1"/>
          <w:bCs w:val="1"/>
          <w:i w:val="1"/>
          <w:iCs w:val="1"/>
          <w:color w:val="auto"/>
        </w:rPr>
        <w:t>Award Agreements</w:t>
      </w:r>
      <w:r>
        <w:rPr>
          <w:rFonts w:ascii="Times New Roman" w:cs="Times New Roman" w:eastAsia="Times New Roman" w:hAnsi="Times New Roman"/>
          <w:sz w:val="17"/>
          <w:szCs w:val="17"/>
          <w:color w:val="auto"/>
        </w:rPr>
        <w:t>. Each award shall be evidenced by a written or electronic award agreement or notice in a form approved by the Administrator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agreement”),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66"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b w:val="1"/>
          <w:bCs w:val="1"/>
          <w:i w:val="1"/>
          <w:iCs w:val="1"/>
          <w:color w:val="auto"/>
        </w:rPr>
        <w:t>Deferrals and Settlements</w:t>
      </w:r>
      <w:r>
        <w:rPr>
          <w:rFonts w:ascii="Times New Roman" w:cs="Times New Roman" w:eastAsia="Times New Roman" w:hAnsi="Times New Roman"/>
          <w:sz w:val="17"/>
          <w:szCs w:val="17"/>
          <w:color w:val="auto"/>
        </w:rPr>
        <w:t>. Payment of awards may be in the form of cash, Common Stock, other awards or combinations thereof as the Administrator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determine, and with 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66" w:lineRule="exact"/>
        <w:rPr>
          <w:sz w:val="20"/>
          <w:szCs w:val="20"/>
          <w:color w:val="auto"/>
        </w:rPr>
      </w:pPr>
    </w:p>
    <w:p>
      <w:pPr>
        <w:jc w:val="both"/>
        <w:ind w:firstLine="61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5.5 </w:t>
      </w:r>
      <w:r>
        <w:rPr>
          <w:rFonts w:ascii="Times New Roman" w:cs="Times New Roman" w:eastAsia="Times New Roman" w:hAnsi="Times New Roman"/>
          <w:sz w:val="17"/>
          <w:szCs w:val="17"/>
          <w:b w:val="1"/>
          <w:bCs w:val="1"/>
          <w:i w:val="1"/>
          <w:iCs w:val="1"/>
          <w:color w:val="auto"/>
        </w:rPr>
        <w:t>Consideration for Common Stock or Awards</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purchase price (if any) for any award granted under this Plan or the Common Stock to be delivered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an award, as applicable, may be paid by means of any lawful consideration as determined by the Administrator, including, without limitation, one or a combination of the following methods:</w:t>
      </w:r>
    </w:p>
    <w:p>
      <w:pPr>
        <w:spacing w:after="0" w:line="163" w:lineRule="exact"/>
        <w:rPr>
          <w:sz w:val="20"/>
          <w:szCs w:val="20"/>
          <w:color w:val="auto"/>
        </w:rPr>
      </w:pPr>
    </w:p>
    <w:p>
      <w:pPr>
        <w:ind w:left="840" w:hanging="223"/>
        <w:spacing w:after="0"/>
        <w:tabs>
          <w:tab w:leader="none" w:pos="8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compensation otherwise payable to the recipient of such award or for services rendered by the recipient of such award;</w:t>
      </w:r>
    </w:p>
    <w:p>
      <w:pPr>
        <w:spacing w:after="0" w:line="214"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check payable to the order of the Corporation, or electronic funds transfer;</w:t>
      </w:r>
    </w:p>
    <w:p>
      <w:pPr>
        <w:spacing w:after="0" w:line="214" w:lineRule="exact"/>
        <w:rPr>
          <w:rFonts w:ascii="Times New Roman" w:cs="Times New Roman" w:eastAsia="Times New Roman" w:hAnsi="Times New Roman"/>
          <w:sz w:val="17"/>
          <w:szCs w:val="17"/>
          <w:color w:val="auto"/>
        </w:rPr>
      </w:pPr>
    </w:p>
    <w:p>
      <w:pPr>
        <w:ind w:left="840" w:hanging="223"/>
        <w:spacing w:after="0"/>
        <w:tabs>
          <w:tab w:leader="none" w:pos="8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and third-party payment in such manner as may be authorized by the Administrator;</w:t>
      </w:r>
    </w:p>
    <w:p>
      <w:pPr>
        <w:spacing w:after="0" w:line="214" w:lineRule="exact"/>
        <w:rPr>
          <w:rFonts w:ascii="Times New Roman" w:cs="Times New Roman" w:eastAsia="Times New Roman" w:hAnsi="Times New Roman"/>
          <w:sz w:val="17"/>
          <w:szCs w:val="17"/>
          <w:color w:val="auto"/>
        </w:rPr>
      </w:pPr>
    </w:p>
    <w:p>
      <w:pPr>
        <w:ind w:left="860" w:hanging="243"/>
        <w:spacing w:after="0"/>
        <w:tabs>
          <w:tab w:leader="none" w:pos="8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of previously owned shares of Common Stock;</w:t>
      </w:r>
    </w:p>
    <w:p>
      <w:pPr>
        <w:spacing w:after="0" w:line="214" w:lineRule="exact"/>
        <w:rPr>
          <w:rFonts w:ascii="Times New Roman" w:cs="Times New Roman" w:eastAsia="Times New Roman" w:hAnsi="Times New Roman"/>
          <w:sz w:val="17"/>
          <w:szCs w:val="17"/>
          <w:color w:val="auto"/>
        </w:rPr>
      </w:pPr>
    </w:p>
    <w:p>
      <w:pPr>
        <w:ind w:left="840" w:hanging="223"/>
        <w:spacing w:after="0"/>
        <w:tabs>
          <w:tab w:leader="none" w:pos="8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reduction in the number of shares otherwise deliverable pursuant to the award; or</w:t>
      </w:r>
    </w:p>
    <w:p>
      <w:pPr>
        <w:spacing w:after="0" w:line="214" w:lineRule="exact"/>
        <w:rPr>
          <w:rFonts w:ascii="Times New Roman" w:cs="Times New Roman" w:eastAsia="Times New Roman" w:hAnsi="Times New Roman"/>
          <w:sz w:val="17"/>
          <w:szCs w:val="17"/>
          <w:color w:val="auto"/>
        </w:rPr>
      </w:pPr>
    </w:p>
    <w:p>
      <w:pPr>
        <w:ind w:firstLine="617"/>
        <w:spacing w:after="0" w:line="284" w:lineRule="auto"/>
        <w:tabs>
          <w:tab w:leader="none" w:pos="83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such procedures as the Administrator may adopt, pursuant to a “cashless exercise” with a third party who provides financing for the purposes of (or who otherwise facilitates) the purchase or exercise of awards.</w:t>
      </w:r>
    </w:p>
    <w:p>
      <w:pPr>
        <w:spacing w:after="0" w:line="152" w:lineRule="exact"/>
        <w:rPr>
          <w:sz w:val="20"/>
          <w:szCs w:val="20"/>
          <w:color w:val="auto"/>
        </w:rPr>
      </w:pPr>
    </w:p>
    <w:p>
      <w:pPr>
        <w:jc w:val="both"/>
        <w:ind w:firstLine="1229"/>
        <w:spacing w:after="0" w:line="258" w:lineRule="auto"/>
        <w:rPr>
          <w:sz w:val="20"/>
          <w:szCs w:val="20"/>
          <w:color w:val="auto"/>
        </w:rPr>
      </w:pPr>
      <w:r>
        <w:rPr>
          <w:rFonts w:ascii="Times New Roman" w:cs="Times New Roman" w:eastAsia="Times New Roman" w:hAnsi="Times New Roman"/>
          <w:sz w:val="17"/>
          <w:szCs w:val="17"/>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8" w:name="page99"/>
    <w:bookmarkEnd w:id="98"/>
    <w:p>
      <w:pPr>
        <w:jc w:val="both"/>
        <w:ind w:firstLine="61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5.6 </w:t>
      </w:r>
      <w:r>
        <w:rPr>
          <w:rFonts w:ascii="Times New Roman" w:cs="Times New Roman" w:eastAsia="Times New Roman" w:hAnsi="Times New Roman"/>
          <w:sz w:val="17"/>
          <w:szCs w:val="17"/>
          <w:b w:val="1"/>
          <w:bCs w:val="1"/>
          <w:i w:val="1"/>
          <w:iCs w:val="1"/>
          <w:color w:val="auto"/>
        </w:rPr>
        <w:t>Definition of Fair Market Value</w:t>
      </w:r>
      <w:r>
        <w:rPr>
          <w:rFonts w:ascii="Times New Roman" w:cs="Times New Roman" w:eastAsia="Times New Roman" w:hAnsi="Times New Roman"/>
          <w:sz w:val="17"/>
          <w:szCs w:val="17"/>
          <w:color w:val="auto"/>
        </w:rPr>
        <w:t>. For purposes of this Plan, “fair market value” shall mean, unless otherwise determined or provided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Administrator in the circumstances, the closing price (in regular trading) for a share of Common Stock on the New York Stock Exchange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for the date in question or, if no sales of Common Stock were reported on the Exchange on that date, the closing price (in regular trading) for a share of Common Stock on the Exchange for the next preceding day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5.7 </w:t>
      </w:r>
      <w:r>
        <w:rPr>
          <w:rFonts w:ascii="Times New Roman" w:cs="Times New Roman" w:eastAsia="Times New Roman" w:hAnsi="Times New Roman"/>
          <w:sz w:val="17"/>
          <w:szCs w:val="17"/>
          <w:b w:val="1"/>
          <w:bCs w:val="1"/>
          <w:i w:val="1"/>
          <w:iCs w:val="1"/>
          <w:color w:val="auto"/>
        </w:rPr>
        <w:t>Transfer Restrictions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5.7.1 </w:t>
      </w:r>
      <w:r>
        <w:rPr>
          <w:rFonts w:ascii="Times New Roman" w:cs="Times New Roman" w:eastAsia="Times New Roman" w:hAnsi="Times New Roman"/>
          <w:sz w:val="17"/>
          <w:szCs w:val="17"/>
          <w:b w:val="1"/>
          <w:bCs w:val="1"/>
          <w:i w:val="1"/>
          <w:iCs w:val="1"/>
          <w:color w:val="auto"/>
        </w:rPr>
        <w:t>Limitations on Exercise and Transfer</w:t>
      </w:r>
      <w:r>
        <w:rPr>
          <w:rFonts w:ascii="Times New Roman" w:cs="Times New Roman" w:eastAsia="Times New Roman" w:hAnsi="Times New Roman"/>
          <w:sz w:val="17"/>
          <w:szCs w:val="17"/>
          <w:color w:val="auto"/>
        </w:rPr>
        <w:t>. Unless otherwise expressly provided in (or pursuant to) this Section 5.7 or required by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 or the award agreement: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64" w:lineRule="exact"/>
        <w:rPr>
          <w:sz w:val="20"/>
          <w:szCs w:val="20"/>
          <w:color w:val="auto"/>
        </w:rPr>
      </w:pPr>
    </w:p>
    <w:p>
      <w:pPr>
        <w:jc w:val="both"/>
        <w:ind w:firstLine="12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5.7.2 </w:t>
      </w:r>
      <w:r>
        <w:rPr>
          <w:rFonts w:ascii="Times New Roman" w:cs="Times New Roman" w:eastAsia="Times New Roman" w:hAnsi="Times New Roman"/>
          <w:sz w:val="17"/>
          <w:szCs w:val="17"/>
          <w:b w:val="1"/>
          <w:bCs w:val="1"/>
          <w:i w:val="1"/>
          <w:iCs w:val="1"/>
          <w:color w:val="auto"/>
        </w:rPr>
        <w:t>Exceptions</w:t>
      </w:r>
      <w:r>
        <w:rPr>
          <w:rFonts w:ascii="Times New Roman" w:cs="Times New Roman" w:eastAsia="Times New Roman" w:hAnsi="Times New Roman"/>
          <w:sz w:val="17"/>
          <w:szCs w:val="17"/>
          <w:color w:val="auto"/>
        </w:rPr>
        <w:t>. The Administrator may permit awards to be exercised by and paid to, or otherwise transferred to, other persons or entities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 xml:space="preserve">5.7.3 </w:t>
      </w:r>
      <w:r>
        <w:rPr>
          <w:rFonts w:ascii="Times New Roman" w:cs="Times New Roman" w:eastAsia="Times New Roman" w:hAnsi="Times New Roman"/>
          <w:sz w:val="17"/>
          <w:szCs w:val="17"/>
          <w:b w:val="1"/>
          <w:bCs w:val="1"/>
          <w:i w:val="1"/>
          <w:iCs w:val="1"/>
          <w:color w:val="auto"/>
        </w:rPr>
        <w:t>Further Exceptions to Limits on Transfer</w:t>
      </w:r>
      <w:r>
        <w:rPr>
          <w:rFonts w:ascii="Times New Roman" w:cs="Times New Roman" w:eastAsia="Times New Roman" w:hAnsi="Times New Roman"/>
          <w:sz w:val="17"/>
          <w:szCs w:val="17"/>
          <w:color w:val="auto"/>
        </w:rPr>
        <w:t>. The exercise and transfer restrictions in Section 5.7.1 shall not apply to:</w:t>
      </w:r>
    </w:p>
    <w:p>
      <w:pPr>
        <w:spacing w:after="0" w:line="220" w:lineRule="exact"/>
        <w:rPr>
          <w:sz w:val="20"/>
          <w:szCs w:val="20"/>
          <w:color w:val="auto"/>
        </w:rPr>
      </w:pPr>
    </w:p>
    <w:p>
      <w:pPr>
        <w:ind w:left="1460" w:hanging="228"/>
        <w:spacing w:after="0"/>
        <w:tabs>
          <w:tab w:leader="none" w:pos="14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to the Corporation (for example, in connection with the expiration or termination of the award),</w:t>
      </w:r>
    </w:p>
    <w:p>
      <w:pPr>
        <w:spacing w:after="0" w:line="214" w:lineRule="exact"/>
        <w:rPr>
          <w:rFonts w:ascii="Times New Roman" w:cs="Times New Roman" w:eastAsia="Times New Roman" w:hAnsi="Times New Roman"/>
          <w:sz w:val="17"/>
          <w:szCs w:val="17"/>
          <w:color w:val="auto"/>
        </w:rPr>
      </w:pPr>
    </w:p>
    <w:p>
      <w:pPr>
        <w:ind w:firstLine="1232"/>
        <w:spacing w:after="0" w:line="284" w:lineRule="auto"/>
        <w:tabs>
          <w:tab w:leader="none" w:pos="1476"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52" w:lineRule="exact"/>
        <w:rPr>
          <w:rFonts w:ascii="Times New Roman" w:cs="Times New Roman" w:eastAsia="Times New Roman" w:hAnsi="Times New Roman"/>
          <w:sz w:val="17"/>
          <w:szCs w:val="17"/>
          <w:color w:val="auto"/>
        </w:rPr>
      </w:pPr>
    </w:p>
    <w:p>
      <w:pPr>
        <w:ind w:firstLine="1232"/>
        <w:spacing w:after="0" w:line="284" w:lineRule="auto"/>
        <w:tabs>
          <w:tab w:leader="none" w:pos="147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applicable limitations on ISOs and to such procedures as the Administrator may prescribe, transfers to a family member (or former family member) pursuant to a domestic relations order if received by the Administrator,</w:t>
      </w:r>
    </w:p>
    <w:p>
      <w:pPr>
        <w:spacing w:after="0" w:line="152" w:lineRule="exact"/>
        <w:rPr>
          <w:rFonts w:ascii="Times New Roman" w:cs="Times New Roman" w:eastAsia="Times New Roman" w:hAnsi="Times New Roman"/>
          <w:sz w:val="17"/>
          <w:szCs w:val="17"/>
          <w:color w:val="auto"/>
        </w:rPr>
      </w:pPr>
    </w:p>
    <w:p>
      <w:pPr>
        <w:ind w:left="1480" w:hanging="248"/>
        <w:spacing w:after="0"/>
        <w:tabs>
          <w:tab w:leader="none" w:pos="14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has suffered a disability, permitted transfers or exercises on behalf of the participant by his or her legal representative, or</w:t>
      </w:r>
    </w:p>
    <w:p>
      <w:pPr>
        <w:spacing w:after="0" w:line="214" w:lineRule="exact"/>
        <w:rPr>
          <w:rFonts w:ascii="Times New Roman" w:cs="Times New Roman" w:eastAsia="Times New Roman" w:hAnsi="Times New Roman"/>
          <w:sz w:val="17"/>
          <w:szCs w:val="17"/>
          <w:color w:val="auto"/>
        </w:rPr>
      </w:pPr>
    </w:p>
    <w:p>
      <w:pPr>
        <w:ind w:firstLine="1232"/>
        <w:spacing w:after="0" w:line="284" w:lineRule="auto"/>
        <w:tabs>
          <w:tab w:leader="none" w:pos="147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9" w:name="page100"/>
    <w:bookmarkEnd w:id="99"/>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5.8 </w:t>
      </w:r>
      <w:r>
        <w:rPr>
          <w:rFonts w:ascii="Times New Roman" w:cs="Times New Roman" w:eastAsia="Times New Roman" w:hAnsi="Times New Roman"/>
          <w:sz w:val="17"/>
          <w:szCs w:val="17"/>
          <w:b w:val="1"/>
          <w:bCs w:val="1"/>
          <w:i w:val="1"/>
          <w:iCs w:val="1"/>
          <w:color w:val="auto"/>
        </w:rPr>
        <w:t>International Awards</w:t>
      </w:r>
      <w:r>
        <w:rPr>
          <w:rFonts w:ascii="Times New Roman" w:cs="Times New Roman" w:eastAsia="Times New Roman" w:hAnsi="Times New Roman"/>
          <w:sz w:val="17"/>
          <w:szCs w:val="17"/>
          <w:color w:val="auto"/>
        </w:rPr>
        <w:t>. One or more awards may be granted to Eligible Persons who provide services to the Corporation or one of its Subsidiaries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outside of the United States. Any awards granted to such persons may be granted pursuant to the terms and conditions of any applicable sub-plans, if any, appended to this Plan and approved by the Administrator from time to time. The awards so granted need not comply with other specific terms of this Plan, provided that stockholder approval of any deviation from the specific terms of this Plan is not required by applicable law or any applicable listing agency.</w:t>
      </w:r>
    </w:p>
    <w:p>
      <w:pPr>
        <w:spacing w:after="0" w:line="166" w:lineRule="exact"/>
        <w:rPr>
          <w:sz w:val="20"/>
          <w:szCs w:val="20"/>
          <w:color w:val="auto"/>
        </w:rPr>
      </w:pPr>
    </w:p>
    <w:p>
      <w:pPr>
        <w:ind w:left="620" w:hanging="618"/>
        <w:spacing w:after="0"/>
        <w:tabs>
          <w:tab w:leader="none" w:pos="62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 OF TERMINATION OF EMPLOYMENT OR SERVICE ON AWARDS</w:t>
      </w:r>
    </w:p>
    <w:p>
      <w:pPr>
        <w:spacing w:after="0" w:line="212"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b w:val="1"/>
          <w:bCs w:val="1"/>
          <w:i w:val="1"/>
          <w:iCs w:val="1"/>
          <w:color w:val="auto"/>
        </w:rPr>
        <w:t>General</w:t>
      </w:r>
      <w:r>
        <w:rPr>
          <w:rFonts w:ascii="Times New Roman" w:cs="Times New Roman" w:eastAsia="Times New Roman" w:hAnsi="Times New Roman"/>
          <w:sz w:val="17"/>
          <w:szCs w:val="17"/>
          <w:color w:val="auto"/>
        </w:rPr>
        <w:t>. The Administrator shall establish the effect (if any) of a termination of employment or service on the rights and benefits under each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66" w:lineRule="exact"/>
        <w:rPr>
          <w:sz w:val="20"/>
          <w:szCs w:val="20"/>
          <w:color w:val="auto"/>
        </w:rPr>
      </w:pPr>
    </w:p>
    <w:p>
      <w:pPr>
        <w:jc w:val="both"/>
        <w:ind w:firstLine="615"/>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b w:val="1"/>
          <w:bCs w:val="1"/>
          <w:i w:val="1"/>
          <w:iCs w:val="1"/>
          <w:color w:val="auto"/>
        </w:rPr>
        <w:t>Events Not Deemed Terminations of Employment</w:t>
      </w:r>
      <w:r>
        <w:rPr>
          <w:rFonts w:ascii="Times New Roman" w:cs="Times New Roman" w:eastAsia="Times New Roman" w:hAnsi="Times New Roman"/>
          <w:sz w:val="17"/>
          <w:szCs w:val="17"/>
          <w:color w:val="auto"/>
        </w:rPr>
        <w:t>. Unless the express policy of the Corporation or one of its Subsidiaries, or the Administrator,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provides, or except as otherwise required by applicable law, the employment relationship shall not be considered terminated in the case of (a) sick leave,</w:t>
      </w:r>
    </w:p>
    <w:p>
      <w:pPr>
        <w:spacing w:after="0" w:line="1" w:lineRule="exact"/>
        <w:rPr>
          <w:sz w:val="20"/>
          <w:szCs w:val="20"/>
          <w:color w:val="auto"/>
        </w:rPr>
      </w:pPr>
    </w:p>
    <w:p>
      <w:pPr>
        <w:jc w:val="both"/>
        <w:ind w:firstLine="2"/>
        <w:spacing w:after="0" w:line="254" w:lineRule="auto"/>
        <w:tabs>
          <w:tab w:leader="none" w:pos="2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pacing w:after="0" w:line="172"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b w:val="1"/>
          <w:bCs w:val="1"/>
          <w:i w:val="1"/>
          <w:iCs w:val="1"/>
          <w:color w:val="auto"/>
        </w:rPr>
        <w:t>Effect of Change of Subsidiary Status</w:t>
      </w:r>
      <w:r>
        <w:rPr>
          <w:rFonts w:ascii="Times New Roman" w:cs="Times New Roman" w:eastAsia="Times New Roman" w:hAnsi="Times New Roman"/>
          <w:sz w:val="17"/>
          <w:szCs w:val="17"/>
          <w:color w:val="auto"/>
        </w:rPr>
        <w:t>. For purposes of this Plan and any award, if an entity ceases to be a Subsidiary of the Corporation a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68" w:lineRule="exact"/>
        <w:rPr>
          <w:sz w:val="20"/>
          <w:szCs w:val="20"/>
          <w:color w:val="auto"/>
        </w:rPr>
      </w:pPr>
    </w:p>
    <w:p>
      <w:pPr>
        <w:ind w:left="620" w:right="7880" w:hanging="618"/>
        <w:spacing w:after="0" w:line="505" w:lineRule="auto"/>
        <w:tabs>
          <w:tab w:leader="none" w:pos="62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ADJUSTMENTS; ACCELERATION 7.1 </w:t>
      </w:r>
      <w:r>
        <w:rPr>
          <w:rFonts w:ascii="Times New Roman" w:cs="Times New Roman" w:eastAsia="Times New Roman" w:hAnsi="Times New Roman"/>
          <w:sz w:val="17"/>
          <w:szCs w:val="17"/>
          <w:b w:val="1"/>
          <w:bCs w:val="1"/>
          <w:i w:val="1"/>
          <w:iCs w:val="1"/>
          <w:color w:val="auto"/>
        </w:rPr>
        <w:t>Adjustments</w:t>
      </w:r>
      <w:r>
        <w:rPr>
          <w:rFonts w:ascii="Times New Roman" w:cs="Times New Roman" w:eastAsia="Times New Roman" w:hAnsi="Times New Roman"/>
          <w:sz w:val="17"/>
          <w:szCs w:val="17"/>
          <w:color w:val="auto"/>
        </w:rPr>
        <w:t>.</w:t>
      </w:r>
    </w:p>
    <w:p>
      <w:pPr>
        <w:jc w:val="both"/>
        <w:ind w:firstLine="1232"/>
        <w:spacing w:after="0" w:line="255" w:lineRule="auto"/>
        <w:tabs>
          <w:tab w:leader="none" w:pos="1479"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79" w:lineRule="exact"/>
        <w:rPr>
          <w:rFonts w:ascii="Times New Roman" w:cs="Times New Roman" w:eastAsia="Times New Roman" w:hAnsi="Times New Roman"/>
          <w:sz w:val="17"/>
          <w:szCs w:val="17"/>
          <w:color w:val="auto"/>
        </w:rPr>
      </w:pPr>
    </w:p>
    <w:p>
      <w:pPr>
        <w:jc w:val="both"/>
        <w:ind w:firstLine="1232"/>
        <w:spacing w:after="0" w:line="262" w:lineRule="auto"/>
        <w:tabs>
          <w:tab w:leader="none" w:pos="1479"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and/or period applicable to any then-outstanding performance-based awards to the extent necessary to preserve (but not increase) the level of incentives intended by this Plan and the then-outstanding performance-based awards.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00" w:name="page101"/>
    <w:bookmarkEnd w:id="100"/>
    <w:p>
      <w:pPr>
        <w:jc w:val="both"/>
        <w:ind w:firstLine="1232"/>
        <w:spacing w:after="0" w:line="262" w:lineRule="auto"/>
        <w:tabs>
          <w:tab w:leader="none" w:pos="147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intended that, if possible, any adjustments contemplated by the preceding two paragraphs be made in a manner that satisfies applicable U.S. legal, tax (including, without limitation and as applicable in the circumstances, Section 424 of the Code as to ISOs, Section 409A of the Code as to awards intended to comply therewith and not be subject to taxation thereunder, and Section 162(m) of the Code as to any Qualifying Option or SAR and any Qualified Performance-Based Award) and accounting (so as to not trigger any unintended charge to earnings with respect to such adjustment) requirements.</w:t>
      </w:r>
    </w:p>
    <w:p>
      <w:pPr>
        <w:spacing w:after="0" w:line="170" w:lineRule="exact"/>
        <w:rPr>
          <w:rFonts w:ascii="Times New Roman" w:cs="Times New Roman" w:eastAsia="Times New Roman" w:hAnsi="Times New Roman"/>
          <w:sz w:val="17"/>
          <w:szCs w:val="17"/>
          <w:color w:val="auto"/>
        </w:rPr>
      </w:pPr>
    </w:p>
    <w:p>
      <w:pPr>
        <w:ind w:firstLine="1232"/>
        <w:spacing w:after="0" w:line="284" w:lineRule="auto"/>
        <w:tabs>
          <w:tab w:leader="none" w:pos="147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b w:val="1"/>
          <w:bCs w:val="1"/>
          <w:i w:val="1"/>
          <w:iCs w:val="1"/>
          <w:color w:val="auto"/>
        </w:rPr>
        <w:t>Corporate Transactions - Assumption and Termination of Awards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1232"/>
        <w:spacing w:after="0" w:line="253" w:lineRule="auto"/>
        <w:tabs>
          <w:tab w:leader="none" w:pos="149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 Common Stock),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or the award otherwise would not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85"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8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award granted under this Plan shall provide that such award will automatically accelerate and become vested upon a Change in Control other than as provided in Section 7.2(a) (i.e., in connection with a termination or settlement of the award in connection with a transaction referenced in Section 7.2(a)). For clarity, the Administrator may provide, as to one or more awards granted under this Plan and subject to the minimum vesting provisions of Section 5.2, that the award will accelerate and become vested should the award holder’s employment or service terminate (including, but not limited to, in connection with a Change in Control) in such circumstances as the Administrator may provide.</w:t>
      </w:r>
    </w:p>
    <w:p>
      <w:pPr>
        <w:spacing w:after="0" w:line="174" w:lineRule="exact"/>
        <w:rPr>
          <w:rFonts w:ascii="Times New Roman" w:cs="Times New Roman" w:eastAsia="Times New Roman" w:hAnsi="Times New Roman"/>
          <w:sz w:val="17"/>
          <w:szCs w:val="17"/>
          <w:color w:val="auto"/>
        </w:rPr>
      </w:pPr>
    </w:p>
    <w:p>
      <w:pPr>
        <w:jc w:val="both"/>
        <w:ind w:firstLine="1232"/>
        <w:spacing w:after="0" w:line="255" w:lineRule="auto"/>
        <w:tabs>
          <w:tab w:leader="none" w:pos="146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jc w:val="both"/>
        <w:ind w:firstLine="1232"/>
        <w:spacing w:after="0" w:line="259" w:lineRule="auto"/>
        <w:tabs>
          <w:tab w:leader="none" w:pos="1477"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74"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62"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174" w:lineRule="exact"/>
        <w:rPr>
          <w:rFonts w:ascii="Times New Roman" w:cs="Times New Roman" w:eastAsia="Times New Roman" w:hAnsi="Times New Roman"/>
          <w:sz w:val="17"/>
          <w:szCs w:val="17"/>
          <w:color w:val="auto"/>
        </w:rPr>
      </w:pPr>
    </w:p>
    <w:p>
      <w:pPr>
        <w:ind w:firstLine="1232"/>
        <w:spacing w:after="0" w:line="284" w:lineRule="auto"/>
        <w:tabs>
          <w:tab w:leader="none" w:pos="145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Section 3.4, any good faith determination by the Administrator pursuant to its authority under this Section 7.2 shall be conclusive and binding on all persons.</w:t>
      </w:r>
    </w:p>
    <w:p>
      <w:pPr>
        <w:spacing w:after="0" w:line="152"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7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7.2(b), 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169" w:lineRule="exact"/>
        <w:rPr>
          <w:sz w:val="20"/>
          <w:szCs w:val="20"/>
          <w:color w:val="auto"/>
        </w:rPr>
      </w:pPr>
    </w:p>
    <w:p>
      <w:pPr>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i w:val="1"/>
          <w:iCs w:val="1"/>
          <w:color w:val="auto"/>
        </w:rPr>
        <w:t>Definition of Change in Control</w:t>
      </w:r>
      <w:r>
        <w:rPr>
          <w:rFonts w:ascii="Times New Roman" w:cs="Times New Roman" w:eastAsia="Times New Roman" w:hAnsi="Times New Roman"/>
          <w:sz w:val="17"/>
          <w:szCs w:val="17"/>
          <w:color w:val="auto"/>
        </w:rPr>
        <w:t>. As used in this Plan, “</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shall mean the occurrence, after the Effective Date, of any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w:t>
      </w:r>
    </w:p>
    <w:p>
      <w:pPr>
        <w:spacing w:after="0" w:line="143" w:lineRule="exact"/>
        <w:rPr>
          <w:sz w:val="20"/>
          <w:szCs w:val="20"/>
          <w:color w:val="auto"/>
        </w:rPr>
      </w:pPr>
    </w:p>
    <w:p>
      <w:pPr>
        <w:jc w:val="both"/>
        <w:ind w:firstLine="1232"/>
        <w:spacing w:after="0" w:line="255" w:lineRule="auto"/>
        <w:tabs>
          <w:tab w:leader="none" w:pos="146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(as such term is used in Sections 13(d) and 14(d) of the Exchange Act, a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Times New Roman" w:cs="Times New Roman" w:eastAsia="Times New Roman" w:hAnsi="Times New Roman"/>
          <w:sz w:val="17"/>
          <w:szCs w:val="17"/>
          <w:b w:val="1"/>
          <w:bCs w:val="1"/>
          <w:color w:val="auto"/>
        </w:rPr>
        <w:t>Beneficially Own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as the context may require) of thirty-three and one third percent or more of (i) the then outstanding shares of the Corporation’s common stock (“</w:t>
      </w:r>
      <w:r>
        <w:rPr>
          <w:rFonts w:ascii="Times New Roman" w:cs="Times New Roman" w:eastAsia="Times New Roman" w:hAnsi="Times New Roman"/>
          <w:sz w:val="17"/>
          <w:szCs w:val="17"/>
          <w:b w:val="1"/>
          <w:bCs w:val="1"/>
          <w:color w:val="auto"/>
        </w:rPr>
        <w:t>Outstanding Company Common Stock</w:t>
      </w:r>
      <w:r>
        <w:rPr>
          <w:rFonts w:ascii="Times New Roman" w:cs="Times New Roman" w:eastAsia="Times New Roman" w:hAnsi="Times New Roman"/>
          <w:sz w:val="17"/>
          <w:szCs w:val="17"/>
          <w:color w:val="auto"/>
        </w:rPr>
        <w:t>”) or (ii) securities representing thirty-three and one-third percent or more of the combined voting power of the Corporation’s then outstanding voting securities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180"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67"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“Incumbent Directors”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both"/>
        <w:ind w:firstLine="1232"/>
        <w:spacing w:after="0" w:line="258" w:lineRule="auto"/>
        <w:tabs>
          <w:tab w:leader="none" w:pos="1468"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reorganization, merger, statutory share exchange or consolidation or similar extraordinary corporate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in each case unless, following such Business Combination,</w:t>
      </w:r>
    </w:p>
    <w:p>
      <w:pPr>
        <w:spacing w:after="0" w:line="1" w:lineRule="exact"/>
        <w:rPr>
          <w:rFonts w:ascii="Times New Roman" w:cs="Times New Roman" w:eastAsia="Times New Roman" w:hAnsi="Times New Roman"/>
          <w:sz w:val="17"/>
          <w:szCs w:val="17"/>
          <w:color w:val="auto"/>
        </w:rPr>
      </w:pPr>
    </w:p>
    <w:p>
      <w:pPr>
        <w:jc w:val="both"/>
        <w:ind w:firstLine="2"/>
        <w:spacing w:after="0" w:line="252" w:lineRule="auto"/>
        <w:tabs>
          <w:tab w:leader="none" w:pos="24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388" w:lineRule="exact"/>
        <w:rPr>
          <w:rFonts w:ascii="Times New Roman" w:cs="Times New Roman" w:eastAsia="Times New Roman" w:hAnsi="Times New Roman"/>
          <w:sz w:val="17"/>
          <w:szCs w:val="17"/>
          <w:color w:val="auto"/>
        </w:rPr>
      </w:pPr>
    </w:p>
    <w:p>
      <w:pPr>
        <w:ind w:firstLine="1232"/>
        <w:spacing w:after="0" w:line="284" w:lineRule="auto"/>
        <w:tabs>
          <w:tab w:leader="none" w:pos="148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the stockholders of the Corporation of a complete liquidation or dissolution of the Corporation other than in the context of a transaction covered by, and that does not constitute a Change in Control under, clause (c) above.</w:t>
      </w:r>
    </w:p>
    <w:p>
      <w:pPr>
        <w:spacing w:after="0" w:line="148" w:lineRule="exact"/>
        <w:rPr>
          <w:sz w:val="20"/>
          <w:szCs w:val="20"/>
          <w:color w:val="auto"/>
        </w:rPr>
      </w:pPr>
    </w:p>
    <w:p>
      <w:pPr>
        <w:ind w:left="620" w:hanging="618"/>
        <w:spacing w:after="0"/>
        <w:tabs>
          <w:tab w:leader="none" w:pos="62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PROVISIONS</w:t>
      </w:r>
    </w:p>
    <w:p>
      <w:pPr>
        <w:spacing w:after="0" w:line="212"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8.1 </w:t>
      </w:r>
      <w:r>
        <w:rPr>
          <w:rFonts w:ascii="Times New Roman" w:cs="Times New Roman" w:eastAsia="Times New Roman" w:hAnsi="Times New Roman"/>
          <w:sz w:val="17"/>
          <w:szCs w:val="17"/>
          <w:b w:val="1"/>
          <w:bCs w:val="1"/>
          <w:i w:val="1"/>
          <w:iCs w:val="1"/>
          <w:color w:val="auto"/>
        </w:rPr>
        <w:t>Compliance with Laws</w:t>
      </w:r>
      <w:r>
        <w:rPr>
          <w:rFonts w:ascii="Times New Roman" w:cs="Times New Roman" w:eastAsia="Times New Roman" w:hAnsi="Times New Roman"/>
          <w:sz w:val="17"/>
          <w:szCs w:val="17"/>
          <w:color w:val="auto"/>
        </w:rPr>
        <w:t>. This Plan, the granting and vesting of awards under this Plan, the offer, issuance and delivery of shares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68" w:lineRule="exact"/>
        <w:rPr>
          <w:sz w:val="20"/>
          <w:szCs w:val="20"/>
          <w:color w:val="auto"/>
        </w:rPr>
      </w:pPr>
    </w:p>
    <w:p>
      <w:pPr>
        <w:jc w:val="both"/>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8.2 </w:t>
      </w:r>
      <w:r>
        <w:rPr>
          <w:rFonts w:ascii="Times New Roman" w:cs="Times New Roman" w:eastAsia="Times New Roman" w:hAnsi="Times New Roman"/>
          <w:sz w:val="17"/>
          <w:szCs w:val="17"/>
          <w:b w:val="1"/>
          <w:bCs w:val="1"/>
          <w:i w:val="1"/>
          <w:iCs w:val="1"/>
          <w:color w:val="auto"/>
        </w:rPr>
        <w:t>No Rights to Award</w:t>
      </w:r>
      <w:r>
        <w:rPr>
          <w:rFonts w:ascii="Times New Roman" w:cs="Times New Roman" w:eastAsia="Times New Roman" w:hAnsi="Times New Roman"/>
          <w:sz w:val="17"/>
          <w:szCs w:val="17"/>
          <w:color w:val="auto"/>
        </w:rPr>
        <w:t>. No person shall have any claim or rights to be granted an award (or additional awards, as the case may be) under this Plan,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any express contractual rights (set forth in a document other than this Plan) to the contrary.</w:t>
      </w:r>
    </w:p>
    <w:p>
      <w:pPr>
        <w:spacing w:after="0" w:line="141" w:lineRule="exact"/>
        <w:rPr>
          <w:sz w:val="20"/>
          <w:szCs w:val="20"/>
          <w:color w:val="auto"/>
        </w:rPr>
      </w:pPr>
    </w:p>
    <w:p>
      <w:pPr>
        <w:jc w:val="both"/>
        <w:ind w:firstLine="615"/>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8.3 </w:t>
      </w:r>
      <w:r>
        <w:rPr>
          <w:rFonts w:ascii="Times New Roman" w:cs="Times New Roman" w:eastAsia="Times New Roman" w:hAnsi="Times New Roman"/>
          <w:sz w:val="17"/>
          <w:szCs w:val="17"/>
          <w:b w:val="1"/>
          <w:bCs w:val="1"/>
          <w:i w:val="1"/>
          <w:iCs w:val="1"/>
          <w:color w:val="auto"/>
        </w:rPr>
        <w:t>No Employment/Service Contract</w:t>
      </w:r>
      <w:r>
        <w:rPr>
          <w:rFonts w:ascii="Times New Roman" w:cs="Times New Roman" w:eastAsia="Times New Roman" w:hAnsi="Times New Roman"/>
          <w:sz w:val="17"/>
          <w:szCs w:val="17"/>
          <w:color w:val="auto"/>
        </w:rPr>
        <w:t>. Nothing contained in this Plan (or in any other documents under this Plan or in any award) shall confer upon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both"/>
        <w:ind w:firstLine="615"/>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8.4 </w:t>
      </w:r>
      <w:r>
        <w:rPr>
          <w:rFonts w:ascii="Times New Roman" w:cs="Times New Roman" w:eastAsia="Times New Roman" w:hAnsi="Times New Roman"/>
          <w:sz w:val="17"/>
          <w:szCs w:val="17"/>
          <w:b w:val="1"/>
          <w:bCs w:val="1"/>
          <w:i w:val="1"/>
          <w:iCs w:val="1"/>
          <w:color w:val="auto"/>
        </w:rPr>
        <w:t>Plan Not Funded</w:t>
      </w:r>
      <w:r>
        <w:rPr>
          <w:rFonts w:ascii="Times New Roman" w:cs="Times New Roman" w:eastAsia="Times New Roman" w:hAnsi="Times New Roman"/>
          <w:sz w:val="17"/>
          <w:szCs w:val="17"/>
          <w:color w:val="auto"/>
        </w:rPr>
        <w:t>. Awards payable under this Plan shall be payable in shares or from the general assets of the Corporation, and no special or separate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68"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8.5 </w:t>
      </w:r>
      <w:r>
        <w:rPr>
          <w:rFonts w:ascii="Times New Roman" w:cs="Times New Roman" w:eastAsia="Times New Roman" w:hAnsi="Times New Roman"/>
          <w:sz w:val="17"/>
          <w:szCs w:val="17"/>
          <w:b w:val="1"/>
          <w:bCs w:val="1"/>
          <w:i w:val="1"/>
          <w:iCs w:val="1"/>
          <w:color w:val="auto"/>
        </w:rPr>
        <w:t>Tax Withholding</w:t>
      </w:r>
      <w:r>
        <w:rPr>
          <w:rFonts w:ascii="Times New Roman" w:cs="Times New Roman" w:eastAsia="Times New Roman" w:hAnsi="Times New Roman"/>
          <w:sz w:val="17"/>
          <w:szCs w:val="17"/>
          <w:color w:val="auto"/>
        </w:rPr>
        <w:t>. Upon any exercise, vesting, or payment of any award, or upon the disposition of shares of Common Stock acquired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to withhold with respect to such award event or payment. Such arrangements may include (but are not limited to) any one of (or a combination of) the following:</w:t>
      </w:r>
    </w:p>
    <w:p>
      <w:pPr>
        <w:spacing w:after="0" w:line="170" w:lineRule="exact"/>
        <w:rPr>
          <w:sz w:val="20"/>
          <w:szCs w:val="20"/>
          <w:color w:val="auto"/>
        </w:rPr>
      </w:pPr>
    </w:p>
    <w:p>
      <w:pPr>
        <w:jc w:val="both"/>
        <w:ind w:firstLine="1232"/>
        <w:spacing w:after="0" w:line="267" w:lineRule="auto"/>
        <w:tabs>
          <w:tab w:leader="none" w:pos="148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to withhold with respect to such award event or payment.</w:t>
      </w:r>
    </w:p>
    <w:p>
      <w:pPr>
        <w:spacing w:after="0" w:line="167" w:lineRule="exact"/>
        <w:rPr>
          <w:rFonts w:ascii="Times New Roman" w:cs="Times New Roman" w:eastAsia="Times New Roman" w:hAnsi="Times New Roman"/>
          <w:sz w:val="17"/>
          <w:szCs w:val="17"/>
          <w:color w:val="auto"/>
        </w:rPr>
      </w:pPr>
    </w:p>
    <w:p>
      <w:pPr>
        <w:jc w:val="both"/>
        <w:ind w:firstLine="1232"/>
        <w:spacing w:after="0" w:line="267" w:lineRule="auto"/>
        <w:tabs>
          <w:tab w:leader="none" w:pos="14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to withhold with respect to such award event or payment.</w:t>
      </w:r>
    </w:p>
    <w:p>
      <w:pPr>
        <w:spacing w:after="0" w:line="167" w:lineRule="exact"/>
        <w:rPr>
          <w:rFonts w:ascii="Times New Roman" w:cs="Times New Roman" w:eastAsia="Times New Roman" w:hAnsi="Times New Roman"/>
          <w:sz w:val="17"/>
          <w:szCs w:val="17"/>
          <w:color w:val="auto"/>
        </w:rPr>
      </w:pPr>
    </w:p>
    <w:p>
      <w:pPr>
        <w:jc w:val="both"/>
        <w:ind w:firstLine="1232"/>
        <w:spacing w:after="0" w:line="259" w:lineRule="auto"/>
        <w:tabs>
          <w:tab w:leader="none" w:pos="149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8.6 </w:t>
      </w:r>
      <w:r>
        <w:rPr>
          <w:rFonts w:ascii="Times New Roman" w:cs="Times New Roman" w:eastAsia="Times New Roman" w:hAnsi="Times New Roman"/>
          <w:sz w:val="17"/>
          <w:szCs w:val="17"/>
          <w:b w:val="1"/>
          <w:bCs w:val="1"/>
          <w:i w:val="1"/>
          <w:iCs w:val="1"/>
          <w:color w:val="auto"/>
        </w:rPr>
        <w:t>Effective Date, Termination and Suspension, Amendments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2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8.6.1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This Plan is effective as of April 14, 2021, the date of its approval by the Board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This Plan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submitted for and subject to stockholder approval no later than twelve months after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 xml:space="preserve">8.6.2 </w:t>
      </w:r>
      <w:r>
        <w:rPr>
          <w:rFonts w:ascii="Times New Roman" w:cs="Times New Roman" w:eastAsia="Times New Roman" w:hAnsi="Times New Roman"/>
          <w:sz w:val="17"/>
          <w:szCs w:val="17"/>
          <w:b w:val="1"/>
          <w:bCs w:val="1"/>
          <w:i w:val="1"/>
          <w:iCs w:val="1"/>
          <w:color w:val="auto"/>
        </w:rPr>
        <w:t>Board Authorization</w:t>
      </w:r>
      <w:r>
        <w:rPr>
          <w:rFonts w:ascii="Times New Roman" w:cs="Times New Roman" w:eastAsia="Times New Roman" w:hAnsi="Times New Roman"/>
          <w:sz w:val="17"/>
          <w:szCs w:val="17"/>
          <w:color w:val="auto"/>
        </w:rPr>
        <w:t>. The Board may, at any time, terminate or, from time to time, amend, modify or suspend this Plan, in whole or in part.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awards may be granted during any period that the Board suspends this Plan.</w:t>
      </w:r>
    </w:p>
    <w:p>
      <w:pPr>
        <w:spacing w:after="0" w:line="191" w:lineRule="exact"/>
        <w:rPr>
          <w:sz w:val="20"/>
          <w:szCs w:val="20"/>
          <w:color w:val="auto"/>
        </w:rPr>
      </w:pPr>
    </w:p>
    <w:p>
      <w:pPr>
        <w:jc w:val="both"/>
        <w:ind w:firstLine="12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8.6.3 </w:t>
      </w:r>
      <w:r>
        <w:rPr>
          <w:rFonts w:ascii="Times New Roman" w:cs="Times New Roman" w:eastAsia="Times New Roman" w:hAnsi="Times New Roman"/>
          <w:sz w:val="17"/>
          <w:szCs w:val="17"/>
          <w:b w:val="1"/>
          <w:bCs w:val="1"/>
          <w:i w:val="1"/>
          <w:iCs w:val="1"/>
          <w:color w:val="auto"/>
        </w:rPr>
        <w:t>Stockholder Approval</w:t>
      </w:r>
      <w:r>
        <w:rPr>
          <w:rFonts w:ascii="Times New Roman" w:cs="Times New Roman" w:eastAsia="Times New Roman" w:hAnsi="Times New Roman"/>
          <w:sz w:val="17"/>
          <w:szCs w:val="17"/>
          <w:color w:val="auto"/>
        </w:rPr>
        <w:t>. Only to the extent then required by applicable law or deemed necessary or advisable by the Board, any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this Plan shall be subject to stockholder approval.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04" w:name="page105"/>
    <w:bookmarkEnd w:id="104"/>
    <w:p>
      <w:pPr>
        <w:jc w:val="both"/>
        <w:ind w:firstLine="122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8.6.4 </w:t>
      </w:r>
      <w:r>
        <w:rPr>
          <w:rFonts w:ascii="Times New Roman" w:cs="Times New Roman" w:eastAsia="Times New Roman" w:hAnsi="Times New Roman"/>
          <w:sz w:val="17"/>
          <w:szCs w:val="17"/>
          <w:b w:val="1"/>
          <w:bCs w:val="1"/>
          <w:i w:val="1"/>
          <w:iCs w:val="1"/>
          <w:color w:val="auto"/>
        </w:rPr>
        <w:t>Amendments to Awards</w:t>
      </w:r>
      <w:r>
        <w:rPr>
          <w:rFonts w:ascii="Times New Roman" w:cs="Times New Roman" w:eastAsia="Times New Roman" w:hAnsi="Times New Roman"/>
          <w:sz w:val="17"/>
          <w:szCs w:val="17"/>
          <w:color w:val="auto"/>
        </w:rPr>
        <w:t>. Without limiting any other express authority of the Administrator under (but subject to) the express limits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no-repricing provision of Section 3.3.</w:t>
      </w:r>
    </w:p>
    <w:p>
      <w:pPr>
        <w:spacing w:after="0" w:line="164" w:lineRule="exact"/>
        <w:rPr>
          <w:sz w:val="20"/>
          <w:szCs w:val="20"/>
          <w:color w:val="auto"/>
        </w:rPr>
      </w:pPr>
    </w:p>
    <w:p>
      <w:pPr>
        <w:jc w:val="both"/>
        <w:ind w:firstLine="122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8.6.5 </w:t>
      </w:r>
      <w:r>
        <w:rPr>
          <w:rFonts w:ascii="Times New Roman" w:cs="Times New Roman" w:eastAsia="Times New Roman" w:hAnsi="Times New Roman"/>
          <w:sz w:val="17"/>
          <w:szCs w:val="17"/>
          <w:b w:val="1"/>
          <w:bCs w:val="1"/>
          <w:i w:val="1"/>
          <w:iCs w:val="1"/>
          <w:color w:val="auto"/>
        </w:rPr>
        <w:t>Limitations on Amendments to Plan and Awards</w:t>
      </w:r>
      <w:r>
        <w:rPr>
          <w:rFonts w:ascii="Times New Roman" w:cs="Times New Roman" w:eastAsia="Times New Roman" w:hAnsi="Times New Roman"/>
          <w:sz w:val="17"/>
          <w:szCs w:val="17"/>
          <w:color w:val="auto"/>
        </w:rPr>
        <w:t>. No amendment, suspension or termination of this Plan or amendment of any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66" w:lineRule="exact"/>
        <w:rPr>
          <w:sz w:val="20"/>
          <w:szCs w:val="20"/>
          <w:color w:val="auto"/>
        </w:rPr>
      </w:pPr>
    </w:p>
    <w:p>
      <w:pPr>
        <w:jc w:val="both"/>
        <w:ind w:firstLine="61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8.7 </w:t>
      </w:r>
      <w:r>
        <w:rPr>
          <w:rFonts w:ascii="Times New Roman" w:cs="Times New Roman" w:eastAsia="Times New Roman" w:hAnsi="Times New Roman"/>
          <w:sz w:val="17"/>
          <w:szCs w:val="17"/>
          <w:b w:val="1"/>
          <w:bCs w:val="1"/>
          <w:i w:val="1"/>
          <w:iCs w:val="1"/>
          <w:color w:val="auto"/>
        </w:rPr>
        <w:t>Privileges of Stock Ownership</w:t>
      </w:r>
      <w:r>
        <w:rPr>
          <w:rFonts w:ascii="Times New Roman" w:cs="Times New Roman" w:eastAsia="Times New Roman" w:hAnsi="Times New Roman"/>
          <w:sz w:val="17"/>
          <w:szCs w:val="17"/>
          <w:color w:val="auto"/>
        </w:rPr>
        <w:t>. Except as otherwise expressly authorized by the Administrator or this Plan, a participant shall not be entitled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8.8 </w:t>
      </w:r>
      <w:r>
        <w:rPr>
          <w:rFonts w:ascii="Times New Roman" w:cs="Times New Roman" w:eastAsia="Times New Roman" w:hAnsi="Times New Roman"/>
          <w:sz w:val="17"/>
          <w:szCs w:val="17"/>
          <w:b w:val="1"/>
          <w:bCs w:val="1"/>
          <w:i w:val="1"/>
          <w:iCs w:val="1"/>
          <w:color w:val="auto"/>
        </w:rPr>
        <w:t>Governing Law; Severability</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8.8.1 </w:t>
      </w:r>
      <w:r>
        <w:rPr>
          <w:rFonts w:ascii="Times New Roman" w:cs="Times New Roman" w:eastAsia="Times New Roman" w:hAnsi="Times New Roman"/>
          <w:sz w:val="17"/>
          <w:szCs w:val="17"/>
          <w:b w:val="1"/>
          <w:bCs w:val="1"/>
          <w:i w:val="1"/>
          <w:iCs w:val="1"/>
          <w:color w:val="auto"/>
        </w:rPr>
        <w:t>Choice of Law</w:t>
      </w:r>
      <w:r>
        <w:rPr>
          <w:rFonts w:ascii="Times New Roman" w:cs="Times New Roman" w:eastAsia="Times New Roman" w:hAnsi="Times New Roman"/>
          <w:sz w:val="17"/>
          <w:szCs w:val="17"/>
          <w:color w:val="auto"/>
        </w:rPr>
        <w:t>. This Plan, the awards, all documents evidencing awards and all other related documents shall be governed by, and construed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accordance with the laws of the State of Florida, notwithstanding any Florida or other conflict of law provision to the contrary.</w:t>
      </w:r>
    </w:p>
    <w:p>
      <w:pPr>
        <w:spacing w:after="0" w:line="141" w:lineRule="exact"/>
        <w:rPr>
          <w:sz w:val="20"/>
          <w:szCs w:val="20"/>
          <w:color w:val="auto"/>
        </w:rPr>
      </w:pPr>
    </w:p>
    <w:p>
      <w:pPr>
        <w:jc w:val="both"/>
        <w:ind w:firstLine="12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8.8.2 </w:t>
      </w:r>
      <w:r>
        <w:rPr>
          <w:rFonts w:ascii="Times New Roman" w:cs="Times New Roman" w:eastAsia="Times New Roman" w:hAnsi="Times New Roman"/>
          <w:sz w:val="17"/>
          <w:szCs w:val="17"/>
          <w:b w:val="1"/>
          <w:bCs w:val="1"/>
          <w:i w:val="1"/>
          <w:iCs w:val="1"/>
          <w:color w:val="auto"/>
        </w:rPr>
        <w:t>Severability</w:t>
      </w:r>
      <w:r>
        <w:rPr>
          <w:rFonts w:ascii="Times New Roman" w:cs="Times New Roman" w:eastAsia="Times New Roman" w:hAnsi="Times New Roman"/>
          <w:sz w:val="17"/>
          <w:szCs w:val="17"/>
          <w:color w:val="auto"/>
        </w:rPr>
        <w:t>. If a court of competent jurisdiction holds any provision invalid and unenforceable, the remaining provisions of this Plan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 in effect.</w:t>
      </w:r>
    </w:p>
    <w:p>
      <w:pPr>
        <w:spacing w:after="0" w:line="141" w:lineRule="exact"/>
        <w:rPr>
          <w:sz w:val="20"/>
          <w:szCs w:val="20"/>
          <w:color w:val="auto"/>
        </w:rPr>
      </w:pPr>
    </w:p>
    <w:p>
      <w:pPr>
        <w:jc w:val="both"/>
        <w:ind w:firstLine="122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8.8.3 </w:t>
      </w:r>
      <w:r>
        <w:rPr>
          <w:rFonts w:ascii="Times New Roman" w:cs="Times New Roman" w:eastAsia="Times New Roman" w:hAnsi="Times New Roman"/>
          <w:sz w:val="17"/>
          <w:szCs w:val="17"/>
          <w:b w:val="1"/>
          <w:bCs w:val="1"/>
          <w:i w:val="1"/>
          <w:iCs w:val="1"/>
          <w:color w:val="auto"/>
        </w:rPr>
        <w:t>Plan Construction</w:t>
      </w:r>
      <w:r>
        <w:rPr>
          <w:rFonts w:ascii="Times New Roman" w:cs="Times New Roman" w:eastAsia="Times New Roman" w:hAnsi="Times New Roman"/>
          <w:sz w:val="17"/>
          <w:szCs w:val="17"/>
          <w:color w:val="auto"/>
        </w:rPr>
        <w:t>. It is intended that this Plan, as well as awards granted under this Plan, comply with, and not result in any tax, penalty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under, Section 409A of the Code. This Plan, as well as awards granted under this Plan, shall be construed and interpreted accordingly.</w:t>
      </w:r>
    </w:p>
    <w:p>
      <w:pPr>
        <w:spacing w:after="0" w:line="141" w:lineRule="exact"/>
        <w:rPr>
          <w:sz w:val="20"/>
          <w:szCs w:val="20"/>
          <w:color w:val="auto"/>
        </w:rPr>
      </w:pPr>
    </w:p>
    <w:p>
      <w:pPr>
        <w:jc w:val="both"/>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8.9 </w:t>
      </w:r>
      <w:r>
        <w:rPr>
          <w:rFonts w:ascii="Times New Roman" w:cs="Times New Roman" w:eastAsia="Times New Roman" w:hAnsi="Times New Roman"/>
          <w:sz w:val="17"/>
          <w:szCs w:val="17"/>
          <w:b w:val="1"/>
          <w:bCs w:val="1"/>
          <w:i w:val="1"/>
          <w:iCs w:val="1"/>
          <w:color w:val="auto"/>
        </w:rPr>
        <w:t>Captions</w:t>
      </w:r>
      <w:r>
        <w:rPr>
          <w:rFonts w:ascii="Times New Roman" w:cs="Times New Roman" w:eastAsia="Times New Roman" w:hAnsi="Times New Roman"/>
          <w:sz w:val="17"/>
          <w:szCs w:val="17"/>
          <w:color w:val="auto"/>
        </w:rPr>
        <w:t>. Captions and headings are given to the sections and subsections of this Plan solely as a convenience to facilitate reference. Such headings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be deemed in any way material or relevant to the construction or interpretation of this Plan or any provision thereof.</w:t>
      </w:r>
    </w:p>
    <w:p>
      <w:pPr>
        <w:spacing w:after="0" w:line="141"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8.10 </w:t>
      </w:r>
      <w:r>
        <w:rPr>
          <w:rFonts w:ascii="Times New Roman" w:cs="Times New Roman" w:eastAsia="Times New Roman" w:hAnsi="Times New Roman"/>
          <w:sz w:val="17"/>
          <w:szCs w:val="17"/>
          <w:b w:val="1"/>
          <w:bCs w:val="1"/>
          <w:i w:val="1"/>
          <w:iCs w:val="1"/>
          <w:color w:val="auto"/>
        </w:rPr>
        <w:t>Stock-Based Awards in Substitution for Stock Options or Awards Granted by Other Corporation</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Awards may be granted to Eligible Persons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05" w:name="page106"/>
    <w:bookmarkEnd w:id="105"/>
    <w:p>
      <w:pPr>
        <w:jc w:val="both"/>
        <w:ind w:firstLine="61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8.11 </w:t>
      </w:r>
      <w:r>
        <w:rPr>
          <w:rFonts w:ascii="Times New Roman" w:cs="Times New Roman" w:eastAsia="Times New Roman" w:hAnsi="Times New Roman"/>
          <w:sz w:val="17"/>
          <w:szCs w:val="17"/>
          <w:b w:val="1"/>
          <w:bCs w:val="1"/>
          <w:i w:val="1"/>
          <w:iCs w:val="1"/>
          <w:color w:val="auto"/>
        </w:rPr>
        <w:t>Non-Exclusivity of Plan</w:t>
      </w:r>
      <w:r>
        <w:rPr>
          <w:rFonts w:ascii="Times New Roman" w:cs="Times New Roman" w:eastAsia="Times New Roman" w:hAnsi="Times New Roman"/>
          <w:sz w:val="17"/>
          <w:szCs w:val="17"/>
          <w:color w:val="auto"/>
        </w:rPr>
        <w:t>. Nothing in this Plan shall limit or be deemed to limit the authority of the Board or the Administrator to grant awards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 any other compensation, with or without reference to the Common Stock, under any other plan or authority.</w:t>
      </w:r>
    </w:p>
    <w:p>
      <w:pPr>
        <w:spacing w:after="0" w:line="141" w:lineRule="exact"/>
        <w:rPr>
          <w:sz w:val="20"/>
          <w:szCs w:val="20"/>
          <w:color w:val="auto"/>
        </w:rPr>
      </w:pPr>
    </w:p>
    <w:p>
      <w:pPr>
        <w:jc w:val="both"/>
        <w:ind w:firstLine="61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8.12 </w:t>
      </w:r>
      <w:r>
        <w:rPr>
          <w:rFonts w:ascii="Times New Roman" w:cs="Times New Roman" w:eastAsia="Times New Roman" w:hAnsi="Times New Roman"/>
          <w:sz w:val="17"/>
          <w:szCs w:val="17"/>
          <w:b w:val="1"/>
          <w:bCs w:val="1"/>
          <w:i w:val="1"/>
          <w:iCs w:val="1"/>
          <w:color w:val="auto"/>
        </w:rPr>
        <w:t>No Corporate Action Restriction</w:t>
      </w:r>
      <w:r>
        <w:rPr>
          <w:rFonts w:ascii="Times New Roman" w:cs="Times New Roman" w:eastAsia="Times New Roman" w:hAnsi="Times New Roman"/>
          <w:sz w:val="17"/>
          <w:szCs w:val="17"/>
          <w:color w:val="auto"/>
        </w:rPr>
        <w:t>. The existence of this Plan, the award agreements and the awards granted hereunder shall not limit, affect, or restrict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spacing w:after="0" w:line="177" w:lineRule="exact"/>
        <w:rPr>
          <w:sz w:val="20"/>
          <w:szCs w:val="20"/>
          <w:color w:val="auto"/>
        </w:rPr>
      </w:pPr>
    </w:p>
    <w:p>
      <w:pPr>
        <w:jc w:val="both"/>
        <w:ind w:firstLine="615"/>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8.13 </w:t>
      </w:r>
      <w:r>
        <w:rPr>
          <w:rFonts w:ascii="Times New Roman" w:cs="Times New Roman" w:eastAsia="Times New Roman" w:hAnsi="Times New Roman"/>
          <w:sz w:val="17"/>
          <w:szCs w:val="17"/>
          <w:b w:val="1"/>
          <w:bCs w:val="1"/>
          <w:i w:val="1"/>
          <w:iCs w:val="1"/>
          <w:color w:val="auto"/>
        </w:rPr>
        <w:t>Other Company Benefit and Compensation Programs</w:t>
      </w:r>
      <w:r>
        <w:rPr>
          <w:rFonts w:ascii="Times New Roman" w:cs="Times New Roman" w:eastAsia="Times New Roman" w:hAnsi="Times New Roman"/>
          <w:sz w:val="17"/>
          <w:szCs w:val="17"/>
          <w:color w:val="auto"/>
        </w:rPr>
        <w:t>. Payments and other benefits received by a participant under an award made pursuant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8.14 </w:t>
      </w:r>
      <w:r>
        <w:rPr>
          <w:rFonts w:ascii="Times New Roman" w:cs="Times New Roman" w:eastAsia="Times New Roman" w:hAnsi="Times New Roman"/>
          <w:sz w:val="17"/>
          <w:szCs w:val="17"/>
          <w:b w:val="1"/>
          <w:bCs w:val="1"/>
          <w:i w:val="1"/>
          <w:iCs w:val="1"/>
          <w:color w:val="auto"/>
        </w:rPr>
        <w:t>Clawback Policy and Forfeiture Provisions</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jc w:val="both"/>
        <w:ind w:firstLine="122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8.14.1 </w:t>
      </w:r>
      <w:r>
        <w:rPr>
          <w:rFonts w:ascii="Times New Roman" w:cs="Times New Roman" w:eastAsia="Times New Roman" w:hAnsi="Times New Roman"/>
          <w:sz w:val="17"/>
          <w:szCs w:val="17"/>
          <w:color w:val="auto"/>
        </w:rPr>
        <w:t>All awards granted under this Plan (including any proceeds, gains or other economic benefit actually or constructively received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holder upon any receipt, vesting, payment or exercise of any award or upon the receipt or resale of any shares of Common Stock underlying the award) are subject to the terms and provisions of the Corporation’s recoupment, clawback or similar policy as it may be in effect from time to time, as well as any similar provisions of applicable law, such as the Dodd-Frank Wall Street Reform and Consumer Protection Act and any rules or regulations promulgated thereunder,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430530</wp:posOffset>
            </wp:positionV>
            <wp:extent cx="7139305" cy="68465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305" cy="684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430530</wp:posOffset>
            </wp:positionV>
            <wp:extent cx="7139305" cy="60496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305" cy="60496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amp;"/>
      <w:numFmt w:val="bullet"/>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1)"/>
      <w:numFmt w:val="decimal"/>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decimal"/>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1)"/>
      <w:numFmt w:val="decimal"/>
      <w:start w:val="2"/>
    </w:lvl>
  </w:abstractNum>
  <w:abstractNum w:abstractNumId="22">
    <w:nsid w:val="310C50B3"/>
    <w:multiLevelType w:val="hybridMultilevel"/>
    <w:lvl w:ilvl="0">
      <w:lvlJc w:val="left"/>
      <w:lvlText w:val="(%1)"/>
      <w:numFmt w:val="decimal"/>
      <w:start w:val="5"/>
    </w:lvl>
  </w:abstractNum>
  <w:abstractNum w:abstractNumId="23">
    <w:nsid w:val="5FF87E05"/>
    <w:multiLevelType w:val="hybridMultilevel"/>
    <w:lvl w:ilvl="0">
      <w:lvlJc w:val="left"/>
      <w:lvlText w:val="(%1)"/>
      <w:numFmt w:val="decimal"/>
      <w:start w:val="13"/>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1)"/>
      <w:numFmt w:val="decimal"/>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1)"/>
      <w:numFmt w:val="lowerLetter"/>
      <w:start w:val="1"/>
    </w:lvl>
  </w:abstractNum>
  <w:abstractNum w:abstractNumId="32">
    <w:nsid w:val="6590700B"/>
    <w:multiLevelType w:val="hybridMultilevel"/>
    <w:lvl w:ilvl="0">
      <w:lvlJc w:val="left"/>
      <w:lvlText w:val="(%1)"/>
      <w:numFmt w:val="decimal"/>
      <w:start w:val="1"/>
    </w:lvl>
  </w:abstractNum>
  <w:abstractNum w:abstractNumId="33">
    <w:nsid w:val="15014ACB"/>
    <w:multiLevelType w:val="hybridMultilevel"/>
    <w:lvl w:ilvl="0">
      <w:lvlJc w:val="left"/>
      <w:lvlText w:val="(%1)"/>
      <w:numFmt w:val="decimal"/>
      <w:start w:val="1"/>
    </w:lvl>
  </w:abstractNum>
  <w:abstractNum w:abstractNumId="34">
    <w:nsid w:val="5F5E7FD0"/>
    <w:multiLevelType w:val="hybridMultilevel"/>
    <w:lvl w:ilvl="0">
      <w:lvlJc w:val="left"/>
      <w:lvlText w:val="(%1)"/>
      <w:numFmt w:val="decimal"/>
      <w:start w:val="2"/>
    </w:lvl>
  </w:abstractNum>
  <w:abstractNum w:abstractNumId="35">
    <w:nsid w:val="98A3148"/>
    <w:multiLevelType w:val="hybridMultilevel"/>
    <w:lvl w:ilvl="0">
      <w:lvlJc w:val="left"/>
      <w:lvlText w:val="(%1)"/>
      <w:numFmt w:val="lowerLetter"/>
      <w:start w:val="1"/>
    </w:lvl>
  </w:abstractNum>
  <w:abstractNum w:abstractNumId="36">
    <w:nsid w:val="799D0247"/>
    <w:multiLevelType w:val="hybridMultilevel"/>
    <w:lvl w:ilvl="0">
      <w:lvlJc w:val="left"/>
      <w:lvlText w:val="(%1)"/>
      <w:numFmt w:val="decimal"/>
      <w:start w:val="3"/>
    </w:lvl>
  </w:abstractNum>
  <w:abstractNum w:abstractNumId="37">
    <w:nsid w:val="6B94764"/>
    <w:multiLevelType w:val="hybridMultilevel"/>
    <w:lvl w:ilvl="0">
      <w:lvlJc w:val="left"/>
      <w:lvlText w:val="(%1)"/>
      <w:numFmt w:val="decimal"/>
      <w:start w:val="5"/>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bullet"/>
      <w:start w:val="1"/>
    </w:lvl>
  </w:abstractNum>
  <w:abstractNum w:abstractNumId="63">
    <w:nsid w:val="7FB7E0AA"/>
    <w:multiLevelType w:val="hybridMultilevel"/>
    <w:lvl w:ilvl="0">
      <w:lvlJc w:val="left"/>
      <w:lvlText w:val="2"/>
      <w:numFmt w:val="bullet"/>
      <w:start w:val="1"/>
    </w:lvl>
  </w:abstractNum>
  <w:abstractNum w:abstractNumId="64">
    <w:nsid w:val="6EB5BD4"/>
    <w:multiLevelType w:val="hybridMultilevel"/>
    <w:lvl w:ilvl="0">
      <w:lvlJc w:val="left"/>
      <w:lvlText w:val="(%1)"/>
      <w:numFmt w:val="decimal"/>
      <w:start w:val="1"/>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6"/>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1)"/>
      <w:numFmt w:val="lowerRoman"/>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1)"/>
      <w:numFmt w:val="decimal"/>
      <w:start w:val="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2"/>
    </w:lvl>
  </w:abstractNum>
  <w:abstractNum w:abstractNumId="84">
    <w:nsid w:val="7F01579B"/>
    <w:multiLevelType w:val="hybridMultilevel"/>
    <w:lvl w:ilvl="0">
      <w:lvlJc w:val="left"/>
      <w:lvlText w:val="%1."/>
      <w:numFmt w:val="decimal"/>
      <w:start w:val="3"/>
    </w:lvl>
  </w:abstractNum>
  <w:abstractNum w:abstractNumId="85">
    <w:nsid w:val="49DA307D"/>
    <w:multiLevelType w:val="hybridMultilevel"/>
    <w:lvl w:ilvl="0">
      <w:lvlJc w:val="left"/>
      <w:lvlText w:val="(%1)"/>
      <w:numFmt w:val="lowerLetter"/>
      <w:start w:val="1"/>
    </w:lvl>
  </w:abstractNum>
  <w:abstractNum w:abstractNumId="86">
    <w:nsid w:val="7055A5F5"/>
    <w:multiLevelType w:val="hybridMultilevel"/>
    <w:lvl w:ilvl="0">
      <w:lvlJc w:val="left"/>
      <w:lvlText w:val="%1."/>
      <w:numFmt w:val="decimal"/>
      <w:start w:val="4"/>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lowerLetter"/>
      <w:start w:val="2"/>
    </w:lvl>
  </w:abstractNum>
  <w:abstractNum w:abstractNumId="91">
    <w:nsid w:val="6AA78F7F"/>
    <w:multiLevelType w:val="hybridMultilevel"/>
    <w:lvl w:ilvl="0">
      <w:lvlJc w:val="left"/>
      <w:lvlText w:val="%1."/>
      <w:numFmt w:val="decimal"/>
      <w:start w:val="5"/>
    </w:lvl>
  </w:abstractNum>
  <w:abstractNum w:abstractNumId="92">
    <w:nsid w:val="7672BD23"/>
    <w:multiLevelType w:val="hybridMultilevel"/>
    <w:lvl w:ilvl="0">
      <w:lvlJc w:val="left"/>
      <w:lvlText w:val="(%1)"/>
      <w:numFmt w:val="lowerLetter"/>
      <w:start w:val="1"/>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decimal"/>
      <w:start w:val="6"/>
    </w:lvl>
  </w:abstractNum>
  <w:abstractNum w:abstractNumId="95">
    <w:nsid w:val="7D5E18F8"/>
    <w:multiLevelType w:val="hybridMultilevel"/>
    <w:lvl w:ilvl="0">
      <w:lvlJc w:val="left"/>
      <w:lvlText w:val="(%1)"/>
      <w:numFmt w:val="lowerLetter"/>
      <w:start w:val="2"/>
    </w:lvl>
  </w:abstractNum>
  <w:abstractNum w:abstractNumId="96">
    <w:nsid w:val="5F3534A4"/>
    <w:multiLevelType w:val="hybridMultilevel"/>
    <w:lvl w:ilvl="0">
      <w:lvlJc w:val="left"/>
      <w:lvlText w:val="%1."/>
      <w:numFmt w:val="decimal"/>
      <w:start w:val="7"/>
    </w:lvl>
    <w:lvl w:ilvl="1">
      <w:lvlJc w:val="left"/>
      <w:lvlText w:val="(%2)"/>
      <w:numFmt w:val="lowerLetter"/>
      <w:start w:val="1"/>
    </w:lvl>
  </w:abstractNum>
  <w:abstractNum w:abstractNumId="97">
    <w:nsid w:val="73A1821B"/>
    <w:multiLevelType w:val="hybridMultilevel"/>
    <w:lvl w:ilvl="0">
      <w:lvlJc w:val="left"/>
      <w:lvlText w:val="(%1)"/>
      <w:numFmt w:val="lowerLetter"/>
      <w:start w:val="3"/>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lowerLetter"/>
      <w:start w:val="4"/>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3"/>
    </w:lvl>
  </w:abstractNum>
  <w:abstractNum w:abstractNumId="102">
    <w:nsid w:val="6A3DD3E8"/>
    <w:multiLevelType w:val="hybridMultilevel"/>
    <w:lvl w:ilvl="0">
      <w:lvlJc w:val="left"/>
      <w:lvlText w:val="(%1)"/>
      <w:numFmt w:val="decimal"/>
      <w:start w:val="1"/>
    </w:lvl>
    <w:lvl w:ilvl="1">
      <w:lvlJc w:val="left"/>
      <w:lvlText w:val="(%2)"/>
      <w:numFmt w:val="lowerLetter"/>
      <w:start w:val="4"/>
    </w:lvl>
  </w:abstractNum>
  <w:abstractNum w:abstractNumId="103">
    <w:nsid w:val="71C91298"/>
    <w:multiLevelType w:val="hybridMultilevel"/>
    <w:lvl w:ilvl="0">
      <w:lvlJc w:val="left"/>
      <w:lvlText w:val="%1."/>
      <w:numFmt w:val="decimal"/>
      <w:start w:val="8"/>
    </w:lvl>
  </w:abstractNum>
  <w:abstractNum w:abstractNumId="104">
    <w:nsid w:val="9DAF6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2024-04-23T05:20:43Z</dcterms:created>
  <dcterms:modified xsi:type="dcterms:W3CDTF">2024-04-23T05:20:43Z</dcterms:modified>
</cp:coreProperties>
</file>