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71"/>
        <w:spacing w:after="0"/>
        <w:rPr>
          <w:sz w:val="20"/>
          <w:szCs w:val="20"/>
          <w:color w:val="auto"/>
        </w:rPr>
      </w:pPr>
      <w:r>
        <w:rPr>
          <w:rFonts w:ascii="Courier New" w:cs="Courier New" w:eastAsia="Courier New" w:hAnsi="Courier New"/>
          <w:sz w:val="15"/>
          <w:szCs w:val="15"/>
          <w:color w:val="auto"/>
        </w:rPr>
        <w:t>SCHEDULE 14A</w:t>
      </w:r>
    </w:p>
    <w:p>
      <w:pPr>
        <w:spacing w:after="0" w:line="174"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Proxy Statement Pursuant to Section 14(a) of the</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Securities Exchange Act of 1934</w:t>
      </w:r>
    </w:p>
    <w:p>
      <w:pPr>
        <w:spacing w:after="0" w:line="174" w:lineRule="exact"/>
        <w:rPr>
          <w:sz w:val="24"/>
          <w:szCs w:val="24"/>
          <w:color w:val="auto"/>
        </w:rPr>
      </w:pPr>
    </w:p>
    <w:p>
      <w:pPr>
        <w:ind w:left="8"/>
        <w:spacing w:after="0"/>
        <w:tabs>
          <w:tab w:leader="none" w:pos="4008"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2" w:lineRule="exact"/>
        <w:rPr>
          <w:sz w:val="24"/>
          <w:szCs w:val="24"/>
          <w:color w:val="auto"/>
        </w:rPr>
      </w:pPr>
    </w:p>
    <w:p>
      <w:pPr>
        <w:ind w:left="8"/>
        <w:spacing w:after="0"/>
        <w:tabs>
          <w:tab w:leader="none" w:pos="4008" w:val="left"/>
        </w:tabs>
        <w:rPr>
          <w:sz w:val="20"/>
          <w:szCs w:val="20"/>
          <w:color w:val="auto"/>
        </w:rPr>
      </w:pPr>
      <w:r>
        <w:rPr>
          <w:rFonts w:ascii="Courier New" w:cs="Courier New" w:eastAsia="Courier New" w:hAnsi="Courier New"/>
          <w:sz w:val="15"/>
          <w:szCs w:val="15"/>
          <w:color w:val="auto"/>
        </w:rPr>
        <w:t>Filed by a Party other than the Registrant</w:t>
      </w:r>
      <w:r>
        <w:rPr>
          <w:sz w:val="20"/>
          <w:szCs w:val="20"/>
          <w:color w:val="auto"/>
        </w:rPr>
        <w:tab/>
      </w:r>
      <w:r>
        <w:rPr>
          <w:rFonts w:ascii="Courier New" w:cs="Courier New" w:eastAsia="Courier New" w:hAnsi="Courier New"/>
          <w:sz w:val="14"/>
          <w:szCs w:val="14"/>
          <w:color w:val="auto"/>
        </w:rPr>
        <w:t>[ ]</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Check the appropriate box:</w:t>
      </w:r>
    </w:p>
    <w:p>
      <w:pPr>
        <w:spacing w:after="0" w:line="174"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4" w:lineRule="exact"/>
        <w:rPr>
          <w:sz w:val="24"/>
          <w:szCs w:val="24"/>
          <w:color w:val="auto"/>
        </w:rPr>
      </w:pPr>
    </w:p>
    <w:p>
      <w:pPr>
        <w:ind w:left="448" w:right="3879" w:hanging="448"/>
        <w:spacing w:after="0"/>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2" w:lineRule="exact"/>
        <w:rPr>
          <w:sz w:val="24"/>
          <w:szCs w:val="24"/>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Definitive Proxy Statement</w:t>
      </w:r>
    </w:p>
    <w:p>
      <w:pPr>
        <w:spacing w:after="0" w:line="2"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spacing w:after="0" w:line="2"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Soliciting Material Pursuant to ss.240.14a-12</w:t>
      </w:r>
    </w:p>
    <w:p>
      <w:pPr>
        <w:spacing w:after="0" w:line="346"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OCWEN FINANCIAL CORPORATION</w:t>
      </w:r>
    </w:p>
    <w:p>
      <w:pPr>
        <w:spacing w:after="0" w:line="2"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428"/>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346" w:lineRule="exact"/>
        <w:rPr>
          <w:sz w:val="24"/>
          <w:szCs w:val="24"/>
          <w:color w:val="auto"/>
        </w:rPr>
      </w:pPr>
    </w:p>
    <w:p>
      <w:pPr>
        <w:jc w:val="center"/>
        <w:ind w:right="2991"/>
        <w:spacing w:after="0"/>
        <w:rPr>
          <w:sz w:val="20"/>
          <w:szCs w:val="20"/>
          <w:color w:val="auto"/>
        </w:rPr>
      </w:pPr>
      <w:r>
        <w:rPr>
          <w:rFonts w:ascii="Courier New" w:cs="Courier New" w:eastAsia="Courier New" w:hAnsi="Courier New"/>
          <w:sz w:val="15"/>
          <w:szCs w:val="15"/>
          <w:color w:val="auto"/>
        </w:rPr>
        <w:t>N/A</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 w:lineRule="exact"/>
        <w:rPr>
          <w:sz w:val="24"/>
          <w:szCs w:val="24"/>
          <w:color w:val="auto"/>
        </w:rPr>
      </w:pPr>
    </w:p>
    <w:p>
      <w:pPr>
        <w:ind w:left="448"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2" w:lineRule="exact"/>
        <w:rPr>
          <w:sz w:val="24"/>
          <w:szCs w:val="24"/>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computed on table below per Exchange Act Rules 14a-6(i)(1) and 0-11</w:t>
      </w:r>
    </w:p>
    <w:p>
      <w:pPr>
        <w:spacing w:after="0" w:line="174" w:lineRule="exact"/>
        <w:rPr>
          <w:sz w:val="24"/>
          <w:szCs w:val="24"/>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 N/A</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the transaction applies: N/A</w:t>
      </w:r>
    </w:p>
    <w:p>
      <w:pPr>
        <w:spacing w:after="0" w:line="175"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 N/A</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 N/A</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3" w:lineRule="exact"/>
        <w:rPr>
          <w:rFonts w:ascii="Courier New" w:cs="Courier New" w:eastAsia="Courier New" w:hAnsi="Courier New"/>
          <w:sz w:val="15"/>
          <w:szCs w:val="15"/>
          <w:color w:val="auto"/>
        </w:rPr>
      </w:pPr>
    </w:p>
    <w:p>
      <w:pPr>
        <w:ind w:left="888" w:right="3159" w:hanging="447"/>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N/A</w:t>
      </w:r>
    </w:p>
    <w:p>
      <w:pPr>
        <w:spacing w:after="0" w:line="174"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 N/A</w:t>
      </w:r>
    </w:p>
    <w:p>
      <w:pPr>
        <w:spacing w:after="0" w:line="174"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N/A</w:t>
      </w:r>
    </w:p>
    <w:p>
      <w:pPr>
        <w:spacing w:after="0" w:line="174"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N/A</w:t>
      </w:r>
    </w:p>
    <w:p>
      <w:pPr>
        <w:spacing w:after="0" w:line="200" w:lineRule="exact"/>
        <w:rPr>
          <w:sz w:val="24"/>
          <w:szCs w:val="24"/>
          <w:color w:val="auto"/>
        </w:rPr>
      </w:pPr>
    </w:p>
    <w:p>
      <w:pPr>
        <w:spacing w:after="0" w:line="295"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[LOGO OMITTED]</w:t>
      </w:r>
    </w:p>
    <w:p>
      <w:pPr>
        <w:spacing w:after="0" w:line="2"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O C W E N</w:t>
      </w:r>
    </w:p>
    <w:p>
      <w:pPr>
        <w:spacing w:after="0" w:line="174"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March 29, 2004</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Dear Fellow Shareholder:</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On behalf of the Board of Directors I cordially invite you to attend the Annual Meeting of Shareholders of Ocwen Financial Corporation, which will be held at the offices of the Company located at 1675 Palm Beach Lakes Boulevard, West Palm Beach, Florida 33401, on Tuesday, May 18, 2004 at 9:00 a.m., Eastern Standard Time. The matters to be considered by shareholders at the Annual Meeting are described in detail in the accompanying materials.</w:t>
      </w:r>
    </w:p>
    <w:p>
      <w:pPr>
        <w:spacing w:after="0" w:line="176" w:lineRule="exact"/>
        <w:rPr>
          <w:sz w:val="24"/>
          <w:szCs w:val="24"/>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76" w:lineRule="exact"/>
        <w:rPr>
          <w:sz w:val="24"/>
          <w:szCs w:val="24"/>
          <w:color w:val="auto"/>
        </w:rPr>
      </w:pPr>
    </w:p>
    <w:p>
      <w:pPr>
        <w:ind w:left="8" w:right="3699"/>
        <w:spacing w:after="0"/>
        <w:rPr>
          <w:sz w:val="20"/>
          <w:szCs w:val="20"/>
          <w:color w:val="auto"/>
        </w:rPr>
      </w:pPr>
      <w:r>
        <w:rPr>
          <w:rFonts w:ascii="Courier New" w:cs="Courier New" w:eastAsia="Courier New" w:hAnsi="Courier New"/>
          <w:sz w:val="15"/>
          <w:szCs w:val="15"/>
          <w:color w:val="auto"/>
        </w:rPr>
        <w:t>Your continued support of and interest in Ocwen Financial Corporation are sincerely appreciated.</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4"/>
          <w:szCs w:val="24"/>
          <w:color w:val="auto"/>
        </w:rPr>
      </w:pPr>
    </w:p>
    <w:p>
      <w:pPr>
        <w:spacing w:after="0" w:line="318"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/s/ William C. Erbey</w:t>
      </w:r>
    </w:p>
    <w:p>
      <w:pPr>
        <w:spacing w:after="0" w:line="2" w:lineRule="exact"/>
        <w:rPr>
          <w:sz w:val="24"/>
          <w:szCs w:val="24"/>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C. Erbey</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and Chief Executive Officer</w:t>
      </w:r>
    </w:p>
    <w:p>
      <w:pPr>
        <w:sectPr>
          <w:pgSz w:w="11900" w:h="16838" w:orient="portrait"/>
          <w:cols w:equalWidth="0" w:num="1">
            <w:col w:w="10227"/>
          </w:cols>
          <w:pgMar w:left="232" w:top="231" w:right="1440" w:bottom="263" w:gutter="0" w:footer="0" w:header="0"/>
        </w:sectPr>
      </w:pPr>
    </w:p>
    <w:p>
      <w:pPr>
        <w:spacing w:after="0" w:line="176" w:lineRule="exact"/>
        <w:rPr>
          <w:sz w:val="24"/>
          <w:szCs w:val="24"/>
          <w:color w:val="auto"/>
        </w:rPr>
      </w:pPr>
    </w:p>
    <w:p>
      <w:pPr>
        <w:ind w:left="3488"/>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27"/>
          </w:cols>
          <w:pgMar w:left="232" w:top="231" w:right="1440" w:bottom="263" w:gutter="0" w:footer="0" w:header="0"/>
          <w:type w:val="continuous"/>
        </w:sectPr>
      </w:pPr>
    </w:p>
    <w:bookmarkStart w:id="1" w:name="page2"/>
    <w:bookmarkEnd w:id="1"/>
    <w:p>
      <w:pPr>
        <w:ind w:left="2408"/>
        <w:spacing w:after="0"/>
        <w:rPr>
          <w:sz w:val="20"/>
          <w:szCs w:val="20"/>
          <w:color w:val="auto"/>
        </w:rPr>
      </w:pPr>
      <w:r>
        <w:rPr>
          <w:rFonts w:ascii="Courier New" w:cs="Courier New" w:eastAsia="Courier New" w:hAnsi="Courier New"/>
          <w:sz w:val="15"/>
          <w:szCs w:val="15"/>
          <w:color w:val="auto"/>
        </w:rPr>
        <w:t>OCWEN FINANCIAL CORPORATION</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1675 Palm Beach Lakes Boulevard</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West Palm Beach, Florida 33401</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 Be Held On May 18, 2004</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NOTICE IS HEREBY GIVEN, that the Annual Meeting of Shareholders of Ocwen Financial Corporation (the "Company") will be held at the offices of the Company located at 1675 Palm Beach Lakes Boulevard, West Palm Beach, Florida 33401 on Tuesday, May 18, 2004 at 9:00 a.m., Eastern Standard Time, for the following purposes:</w:t>
      </w:r>
    </w:p>
    <w:p>
      <w:pPr>
        <w:spacing w:after="0" w:line="175" w:lineRule="exact"/>
        <w:rPr>
          <w:sz w:val="20"/>
          <w:szCs w:val="20"/>
          <w:color w:val="auto"/>
        </w:rPr>
      </w:pPr>
    </w:p>
    <w:p>
      <w:pPr>
        <w:ind w:left="528" w:right="3339" w:hanging="528"/>
        <w:spacing w:after="0"/>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seven directors for a one-year term and until their successors are elected and qualified;</w:t>
      </w:r>
    </w:p>
    <w:p>
      <w:pPr>
        <w:spacing w:after="0" w:line="176" w:lineRule="exact"/>
        <w:rPr>
          <w:rFonts w:ascii="Courier New" w:cs="Courier New" w:eastAsia="Courier New" w:hAnsi="Courier New"/>
          <w:sz w:val="15"/>
          <w:szCs w:val="15"/>
          <w:color w:val="auto"/>
        </w:rPr>
      </w:pPr>
    </w:p>
    <w:p>
      <w:pPr>
        <w:ind w:left="528" w:right="3079" w:hanging="528"/>
        <w:spacing w:after="0" w:line="241" w:lineRule="auto"/>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by the Audit Committee of the Board of Directors of PricewaterhouseCoopers LLP as the independent auditor of the Company for the fiscal year ending December 31, 2004; and</w:t>
      </w:r>
    </w:p>
    <w:p>
      <w:pPr>
        <w:spacing w:after="0" w:line="176" w:lineRule="exact"/>
        <w:rPr>
          <w:rFonts w:ascii="Courier New" w:cs="Courier New" w:eastAsia="Courier New" w:hAnsi="Courier New"/>
          <w:sz w:val="15"/>
          <w:szCs w:val="15"/>
          <w:color w:val="auto"/>
        </w:rPr>
      </w:pPr>
    </w:p>
    <w:p>
      <w:pPr>
        <w:ind w:left="528" w:right="3339" w:hanging="528"/>
        <w:spacing w:after="0" w:line="241" w:lineRule="auto"/>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and any adjournment thereof. Management is not aware of any such other business at this time.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Board of Directors has fixed March 18, 2004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John R. Erbey</w:t>
      </w:r>
    </w:p>
    <w:p>
      <w:pPr>
        <w:spacing w:after="0" w:line="2"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905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John R. Erbey Secretary</w:t>
      </w:r>
    </w:p>
    <w:p>
      <w:pPr>
        <w:spacing w:after="0" w:line="200" w:lineRule="exact"/>
        <w:rPr>
          <w:sz w:val="20"/>
          <w:szCs w:val="20"/>
          <w:color w:val="auto"/>
        </w:rPr>
      </w:pPr>
    </w:p>
    <w:p>
      <w:pPr>
        <w:spacing w:after="0" w:line="29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West Palm Beach, Florida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March 29, 2004</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2" w:name="page3"/>
    <w:bookmarkEnd w:id="2"/>
    <w:p>
      <w:pPr>
        <w:jc w:val="center"/>
        <w:ind w:right="2991"/>
        <w:spacing w:after="0"/>
        <w:rPr>
          <w:sz w:val="20"/>
          <w:szCs w:val="20"/>
          <w:color w:val="auto"/>
        </w:rPr>
      </w:pPr>
      <w:r>
        <w:rPr>
          <w:rFonts w:ascii="Courier New" w:cs="Courier New" w:eastAsia="Courier New" w:hAnsi="Courier New"/>
          <w:sz w:val="15"/>
          <w:szCs w:val="15"/>
          <w:color w:val="auto"/>
        </w:rPr>
        <w:t>OCWEN FINANCIAL CORPORATION</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PROXY STATEMENT</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ANNUAL MEETING OF SHAREHOLDERS</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at 1675 Palm Beach Lakes Boulevard, West Palm Beach, Florida 33401, on Tuesday, May 18, 2004 at 9:00 a.m., Eastern Standard Time, and at any adjournment thereof, for the purposes set forth in the Notice of Annual Meeting of Shareholders.</w:t>
      </w:r>
    </w:p>
    <w:p>
      <w:pPr>
        <w:spacing w:after="0" w:line="177"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This Proxy Statement and the accompanying proxy card (the "Proxy") are first being mailed to the shareholders of Ocwen on or about March 29, 2004.</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73" w:lineRule="exact"/>
        <w:rPr>
          <w:sz w:val="20"/>
          <w:szCs w:val="20"/>
          <w:color w:val="auto"/>
        </w:rPr>
      </w:pPr>
    </w:p>
    <w:p>
      <w:pPr>
        <w:ind w:left="528" w:hanging="528"/>
        <w:spacing w:after="0"/>
        <w:tabs>
          <w:tab w:leader="none" w:pos="5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of the nominees for director described herein;</w:t>
      </w:r>
    </w:p>
    <w:p>
      <w:pPr>
        <w:spacing w:after="0" w:line="3" w:lineRule="exact"/>
        <w:rPr>
          <w:rFonts w:ascii="Courier New" w:cs="Courier New" w:eastAsia="Courier New" w:hAnsi="Courier New"/>
          <w:sz w:val="15"/>
          <w:szCs w:val="15"/>
          <w:color w:val="auto"/>
        </w:rPr>
      </w:pPr>
    </w:p>
    <w:p>
      <w:pPr>
        <w:ind w:left="528" w:right="3259" w:hanging="528"/>
        <w:spacing w:after="0"/>
        <w:tabs>
          <w:tab w:leader="none" w:pos="5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ratification of the appointment of PricewaterhouseCoopers LLP as our independent auditor for 2004; and</w:t>
      </w:r>
    </w:p>
    <w:p>
      <w:pPr>
        <w:spacing w:after="0" w:line="4" w:lineRule="exact"/>
        <w:rPr>
          <w:rFonts w:ascii="Courier New" w:cs="Courier New" w:eastAsia="Courier New" w:hAnsi="Courier New"/>
          <w:sz w:val="15"/>
          <w:szCs w:val="15"/>
          <w:color w:val="auto"/>
        </w:rPr>
      </w:pPr>
    </w:p>
    <w:p>
      <w:pPr>
        <w:ind w:left="528" w:right="3079" w:hanging="528"/>
        <w:spacing w:after="0" w:line="241" w:lineRule="auto"/>
        <w:tabs>
          <w:tab w:leader="none" w:pos="52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transaction of such other business as may properly come before the meeting, in accordance with the best judgment of the persons appointed as proxies.</w:t>
      </w:r>
    </w:p>
    <w:p>
      <w:pPr>
        <w:spacing w:after="0" w:line="176" w:lineRule="exact"/>
        <w:rPr>
          <w:sz w:val="20"/>
          <w:szCs w:val="20"/>
          <w:color w:val="auto"/>
        </w:rPr>
      </w:pPr>
    </w:p>
    <w:p>
      <w:pPr>
        <w:ind w:left="8" w:right="3079"/>
        <w:spacing w:after="0" w:line="267" w:lineRule="auto"/>
        <w:rPr>
          <w:sz w:val="20"/>
          <w:szCs w:val="20"/>
          <w:color w:val="auto"/>
        </w:rPr>
      </w:pPr>
      <w:r>
        <w:rPr>
          <w:rFonts w:ascii="Courier New" w:cs="Courier New" w:eastAsia="Courier New" w:hAnsi="Courier New"/>
          <w:sz w:val="14"/>
          <w:szCs w:val="14"/>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59" w:lineRule="exact"/>
        <w:rPr>
          <w:sz w:val="20"/>
          <w:szCs w:val="20"/>
          <w:color w:val="auto"/>
        </w:rPr>
      </w:pPr>
    </w:p>
    <w:p>
      <w:pPr>
        <w:ind w:left="528" w:hanging="528"/>
        <w:spacing w:after="0"/>
        <w:tabs>
          <w:tab w:leader="none" w:pos="528"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written notice thereof with our Secretary at the following address:</w:t>
      </w:r>
    </w:p>
    <w:p>
      <w:pPr>
        <w:spacing w:after="0" w:line="185" w:lineRule="exact"/>
        <w:rPr>
          <w:rFonts w:ascii="Courier New" w:cs="Courier New" w:eastAsia="Courier New" w:hAnsi="Courier New"/>
          <w:sz w:val="14"/>
          <w:szCs w:val="14"/>
          <w:color w:val="auto"/>
        </w:rPr>
      </w:pPr>
    </w:p>
    <w:p>
      <w:pPr>
        <w:ind w:left="528" w:right="691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John R. Erbey, Secretary Ocwen Financial Corporation 1675 Palm Beach Lakes Boulevard West Palm Beach, Florida 33401</w:t>
      </w:r>
    </w:p>
    <w:p>
      <w:pPr>
        <w:spacing w:after="0" w:line="172" w:lineRule="exact"/>
        <w:rPr>
          <w:rFonts w:ascii="Courier New" w:cs="Courier New" w:eastAsia="Courier New" w:hAnsi="Courier New"/>
          <w:sz w:val="14"/>
          <w:szCs w:val="14"/>
          <w:color w:val="auto"/>
        </w:rPr>
      </w:pPr>
    </w:p>
    <w:p>
      <w:pPr>
        <w:ind w:left="528" w:hanging="528"/>
        <w:spacing w:after="0"/>
        <w:tabs>
          <w:tab w:leader="none" w:pos="52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submitting a properly executed Proxy bearing a later date; or</w:t>
      </w:r>
    </w:p>
    <w:p>
      <w:pPr>
        <w:spacing w:after="0" w:line="3" w:lineRule="exact"/>
        <w:rPr>
          <w:rFonts w:ascii="Courier New" w:cs="Courier New" w:eastAsia="Courier New" w:hAnsi="Courier New"/>
          <w:sz w:val="15"/>
          <w:szCs w:val="15"/>
          <w:color w:val="auto"/>
        </w:rPr>
      </w:pPr>
    </w:p>
    <w:p>
      <w:pPr>
        <w:ind w:left="8" w:right="3159" w:hanging="8"/>
        <w:spacing w:after="0"/>
        <w:tabs>
          <w:tab w:leader="none" w:pos="54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appearing at the Annual Meeting and giving the Secretary notice of his or her intention to vote in person.</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VOTING</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Only holders of record of Common Stock at the close of business on March 18, 2004 will be entitled to vote at the Annual Meeting or any adjournment thereof. On March 18, 2004, there were 68,196,050 shares of Common Stock issued and outstanding, and we had no other class of equity securities outstanding. Each share of Common Stock is entitled to one vote at the Annual Meeting on all matters properly presented.</w:t>
      </w:r>
    </w:p>
    <w:p>
      <w:pPr>
        <w:spacing w:after="0" w:line="176" w:lineRule="exact"/>
        <w:rPr>
          <w:sz w:val="20"/>
          <w:szCs w:val="20"/>
          <w:color w:val="auto"/>
        </w:rPr>
      </w:pPr>
    </w:p>
    <w:p>
      <w:pPr>
        <w:ind w:left="8" w:right="3439"/>
        <w:spacing w:after="0" w:line="241" w:lineRule="auto"/>
        <w:rPr>
          <w:sz w:val="20"/>
          <w:szCs w:val="20"/>
          <w:color w:val="auto"/>
        </w:rPr>
      </w:pPr>
      <w:r>
        <w:rPr>
          <w:rFonts w:ascii="Courier New" w:cs="Courier New" w:eastAsia="Courier New" w:hAnsi="Courier New"/>
          <w:sz w:val="15"/>
          <w:szCs w:val="15"/>
          <w:color w:val="auto"/>
        </w:rPr>
        <w:t>The presence at the Annual Meeting of a majority of the votes entitled to be cast, represented in person or by proxy, will constitute a quorum for the transaction of business at the Annual Meeting.</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Assuming the presence of a quorum, the seven persons receiving the greatest number of votes of the Common Stock cast at the Annual Meeting by the holders of stock entitled to vote shall be elected as directors of Ocwen. 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w:t>
      </w:r>
    </w:p>
    <w:p>
      <w:pPr>
        <w:spacing w:after="0" w:line="1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461" w:right="1440" w:bottom="1440" w:gutter="0" w:footer="0" w:header="0"/>
        </w:sectPr>
      </w:pPr>
    </w:p>
    <w:bookmarkStart w:id="3" w:name="page4"/>
    <w:bookmarkEnd w:id="3"/>
    <w:p>
      <w:pPr>
        <w:ind w:right="4380"/>
        <w:spacing w:after="0" w:line="262" w:lineRule="auto"/>
        <w:rPr>
          <w:sz w:val="20"/>
          <w:szCs w:val="20"/>
          <w:color w:val="auto"/>
        </w:rPr>
      </w:pPr>
      <w:r>
        <w:rPr>
          <w:rFonts w:ascii="Courier New" w:cs="Courier New" w:eastAsia="Courier New" w:hAnsi="Courier New"/>
          <w:sz w:val="14"/>
          <w:szCs w:val="14"/>
          <w:color w:val="auto"/>
        </w:rPr>
        <w:t>Assuming the presence of a quorum, the proposal to ratify the appointment of PricewaterhouseCoopers LLP as Ocwen's independent auditor for 2004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 Abstentions and broker non-votes will not be counted in determining the votes cast in connection with the proposal to ratify the appointment of Ocwen's independent auditor and thus will have no effect on such proposals.</w:t>
      </w:r>
    </w:p>
    <w:p>
      <w:pPr>
        <w:spacing w:after="0" w:line="160"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COMPARISON OF CUMULATIVE TOTAL RETURN</w:t>
      </w:r>
    </w:p>
    <w:p>
      <w:pPr>
        <w:spacing w:after="0" w:line="176" w:lineRule="exact"/>
        <w:rPr>
          <w:sz w:val="20"/>
          <w:szCs w:val="20"/>
          <w:color w:val="auto"/>
        </w:rPr>
      </w:pPr>
    </w:p>
    <w:p>
      <w:pPr>
        <w:ind w:right="4460"/>
        <w:spacing w:after="0" w:line="242" w:lineRule="auto"/>
        <w:rPr>
          <w:sz w:val="20"/>
          <w:szCs w:val="20"/>
          <w:color w:val="auto"/>
        </w:rPr>
      </w:pPr>
      <w:r>
        <w:rPr>
          <w:rFonts w:ascii="Courier New" w:cs="Courier New" w:eastAsia="Courier New" w:hAnsi="Courier New"/>
          <w:sz w:val="15"/>
          <w:szCs w:val="15"/>
          <w:color w:val="auto"/>
        </w:rPr>
        <w:t>The following graph compares the cumulative total return on the Common Stock of Ocwen since December 31, 1998 with the cumulative total return on the stocks included in the Standard &amp; Poor's 500 Market Index and the Standard &amp; Poor's Financial (Diversified) 500 Market Index.</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Total Return Performance</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[GRAPHIC CHART OMITTED]</w:t>
      </w:r>
    </w:p>
    <w:p>
      <w:pPr>
        <w:spacing w:after="0" w:line="200" w:lineRule="exact"/>
        <w:rPr>
          <w:sz w:val="20"/>
          <w:szCs w:val="20"/>
          <w:color w:val="auto"/>
        </w:rPr>
      </w:pPr>
    </w:p>
    <w:p>
      <w:pPr>
        <w:spacing w:after="0" w:line="318"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PERIOD ENDING</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2920" w:val="left"/>
          <w:tab w:leader="none" w:pos="4440" w:val="left"/>
          <w:tab w:leader="none" w:pos="5960" w:val="left"/>
          <w:tab w:leader="none" w:pos="7480" w:val="left"/>
          <w:tab w:leader="none" w:pos="9000" w:val="left"/>
          <w:tab w:leader="none" w:pos="10520" w:val="left"/>
        </w:tabs>
        <w:rPr>
          <w:sz w:val="20"/>
          <w:szCs w:val="20"/>
          <w:color w:val="auto"/>
        </w:rPr>
      </w:pPr>
      <w:r>
        <w:rPr>
          <w:rFonts w:ascii="Courier New" w:cs="Courier New" w:eastAsia="Courier New" w:hAnsi="Courier New"/>
          <w:sz w:val="15"/>
          <w:szCs w:val="15"/>
          <w:color w:val="auto"/>
        </w:rPr>
        <w:t>INDEX</w:t>
      </w:r>
      <w:r>
        <w:rPr>
          <w:sz w:val="20"/>
          <w:szCs w:val="20"/>
          <w:color w:val="auto"/>
        </w:rPr>
        <w:tab/>
      </w:r>
      <w:r>
        <w:rPr>
          <w:rFonts w:ascii="Courier New" w:cs="Courier New" w:eastAsia="Courier New" w:hAnsi="Courier New"/>
          <w:sz w:val="15"/>
          <w:szCs w:val="15"/>
          <w:color w:val="auto"/>
        </w:rPr>
        <w:t>12/31/98</w:t>
      </w:r>
      <w:r>
        <w:rPr>
          <w:sz w:val="20"/>
          <w:szCs w:val="20"/>
          <w:color w:val="auto"/>
        </w:rPr>
        <w:tab/>
      </w:r>
      <w:r>
        <w:rPr>
          <w:rFonts w:ascii="Courier New" w:cs="Courier New" w:eastAsia="Courier New" w:hAnsi="Courier New"/>
          <w:sz w:val="15"/>
          <w:szCs w:val="15"/>
          <w:color w:val="auto"/>
        </w:rPr>
        <w:t>12/31/99</w:t>
      </w:r>
      <w:r>
        <w:rPr>
          <w:sz w:val="20"/>
          <w:szCs w:val="20"/>
          <w:color w:val="auto"/>
        </w:rPr>
        <w:tab/>
      </w:r>
      <w:r>
        <w:rPr>
          <w:rFonts w:ascii="Courier New" w:cs="Courier New" w:eastAsia="Courier New" w:hAnsi="Courier New"/>
          <w:sz w:val="15"/>
          <w:szCs w:val="15"/>
          <w:color w:val="auto"/>
        </w:rPr>
        <w:t>12/31/00</w:t>
      </w:r>
      <w:r>
        <w:rPr>
          <w:sz w:val="20"/>
          <w:szCs w:val="20"/>
          <w:color w:val="auto"/>
        </w:rPr>
        <w:tab/>
      </w:r>
      <w:r>
        <w:rPr>
          <w:rFonts w:ascii="Courier New" w:cs="Courier New" w:eastAsia="Courier New" w:hAnsi="Courier New"/>
          <w:sz w:val="15"/>
          <w:szCs w:val="15"/>
          <w:color w:val="auto"/>
        </w:rPr>
        <w:t>12/31/01</w:t>
      </w:r>
      <w:r>
        <w:rPr>
          <w:sz w:val="20"/>
          <w:szCs w:val="20"/>
          <w:color w:val="auto"/>
        </w:rPr>
        <w:tab/>
      </w:r>
      <w:r>
        <w:rPr>
          <w:rFonts w:ascii="Courier New" w:cs="Courier New" w:eastAsia="Courier New" w:hAnsi="Courier New"/>
          <w:sz w:val="15"/>
          <w:szCs w:val="15"/>
          <w:color w:val="auto"/>
        </w:rPr>
        <w:t>12/31/02</w:t>
      </w:r>
      <w:r>
        <w:rPr>
          <w:sz w:val="20"/>
          <w:szCs w:val="20"/>
          <w:color w:val="auto"/>
        </w:rPr>
        <w:tab/>
      </w:r>
      <w:r>
        <w:rPr>
          <w:rFonts w:ascii="Courier New" w:cs="Courier New" w:eastAsia="Courier New" w:hAnsi="Courier New"/>
          <w:sz w:val="15"/>
          <w:szCs w:val="15"/>
          <w:color w:val="auto"/>
        </w:rPr>
        <w:t>12/31/03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Ocwen Financial Corporation</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50.77</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51.83</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68.89</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22.75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71.97</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500</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119.53</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107.41</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93.40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71.57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90.39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Diversified Financials</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127.34</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161.41</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138.29</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106.40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148.75</w:t>
            </w:r>
          </w:p>
        </w:tc>
      </w:tr>
    </w:tbl>
    <w:p>
      <w:pPr>
        <w:spacing w:after="0" w:line="348" w:lineRule="exact"/>
        <w:rPr>
          <w:sz w:val="20"/>
          <w:szCs w:val="20"/>
          <w:color w:val="auto"/>
        </w:rPr>
      </w:pPr>
    </w:p>
    <w:p>
      <w:pPr>
        <w:ind w:right="4380"/>
        <w:spacing w:after="0" w:line="242" w:lineRule="auto"/>
        <w:rPr>
          <w:sz w:val="20"/>
          <w:szCs w:val="20"/>
          <w:color w:val="auto"/>
        </w:rPr>
      </w:pPr>
      <w:r>
        <w:rPr>
          <w:rFonts w:ascii="Courier New" w:cs="Courier New" w:eastAsia="Courier New" w:hAnsi="Courier New"/>
          <w:sz w:val="15"/>
          <w:szCs w:val="15"/>
          <w:color w:val="auto"/>
        </w:rPr>
        <w:t>The above graph represents $100 invested in Common Stock on December 31, 1998 at the closing price of $12.31 per share on that date and in each index on such date. The Common Stock has been listed on the New York Stock Exchange since August 1, 1997.</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20"/>
          </w:cols>
          <w:pgMar w:left="240" w:top="463" w:right="139" w:bottom="1440" w:gutter="0" w:footer="0" w:header="0"/>
        </w:sectPr>
      </w:pPr>
    </w:p>
    <w:bookmarkStart w:id="4" w:name="page5"/>
    <w:bookmarkEnd w:id="4"/>
    <w:p>
      <w:pPr>
        <w:ind w:left="2688"/>
        <w:spacing w:after="0"/>
        <w:rPr>
          <w:sz w:val="20"/>
          <w:szCs w:val="20"/>
          <w:color w:val="auto"/>
        </w:rPr>
      </w:pPr>
      <w:r>
        <w:rPr>
          <w:rFonts w:ascii="Courier New" w:cs="Courier New" w:eastAsia="Courier New" w:hAnsi="Courier New"/>
          <w:sz w:val="15"/>
          <w:szCs w:val="15"/>
          <w:color w:val="auto"/>
        </w:rPr>
        <w:t>ELECTION OF DIRECTORS</w:t>
      </w:r>
    </w:p>
    <w:p>
      <w:pPr>
        <w:spacing w:after="0" w:line="2"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(Proposal One)</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Ocwen's Bylaws provide that the Board of Directors of Ocwen shall be comprised of between three and eight members, with the exact number to be fixed by the Board of Directors. Pursuant to the Bylaws of Ocwen, on March 16, 2004, the Board of Directors voted to reduce the number of directors to seven effective immediately following the Annual Meeting. Directors are elected annually and hold office until the earlier of the election and qualification of their successors or their resignation and removal.</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Accordingly, Ocwen will propose seven directors for election at the Annual Meeting. All seven of the persons standing for election at the Annual Meeting are currently directors of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NOMINEES FOR DIRECTOR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following table sets forth certain information concerning the directors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Ocwen: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7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Age (1)</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Director Since</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Executive Committee</w:t>
            </w:r>
          </w:p>
        </w:tc>
      </w:tr>
      <w:tr>
        <w:trPr>
          <w:trHeight w:val="172"/>
        </w:trPr>
        <w:tc>
          <w:tcPr>
            <w:tcW w:w="8320" w:type="dxa"/>
            <w:vAlign w:val="bottom"/>
            <w:gridSpan w:val="4"/>
          </w:tcPr>
          <w:p>
            <w:pPr>
              <w:spacing w:after="0"/>
              <w:rPr>
                <w:sz w:val="20"/>
                <w:szCs w:val="20"/>
                <w:color w:val="auto"/>
              </w:rPr>
            </w:pPr>
            <w:r>
              <w:rPr>
                <w:rFonts w:ascii="Courier New" w:cs="Courier New" w:eastAsia="Courier New" w:hAnsi="Courier New"/>
                <w:sz w:val="15"/>
                <w:szCs w:val="15"/>
                <w:color w:val="auto"/>
                <w:w w:val="99"/>
              </w:rPr>
              <w:t>- ----------------------------------- -------------- ----------------- ----------------------</w:t>
            </w: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1988</w:t>
            </w:r>
          </w:p>
        </w:tc>
        <w:tc>
          <w:tcPr>
            <w:tcW w:w="2240" w:type="dxa"/>
            <w:vAlign w:val="bottom"/>
          </w:tcPr>
          <w:p>
            <w:pPr>
              <w:ind w:left="620"/>
              <w:spacing w:after="0"/>
              <w:rPr>
                <w:sz w:val="20"/>
                <w:szCs w:val="20"/>
                <w:color w:val="auto"/>
              </w:rPr>
            </w:pPr>
            <w:r>
              <w:rPr>
                <w:rFonts w:ascii="Courier New" w:cs="Courier New" w:eastAsia="Courier New" w:hAnsi="Courier New"/>
                <w:sz w:val="15"/>
                <w:szCs w:val="15"/>
                <w:color w:val="auto"/>
              </w:rPr>
              <w:t>X (2)</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41</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2003</w:t>
            </w:r>
          </w:p>
        </w:tc>
        <w:tc>
          <w:tcPr>
            <w:tcW w:w="22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Ronald J. Korn</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64</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2003</w:t>
            </w:r>
          </w:p>
        </w:tc>
        <w:tc>
          <w:tcPr>
            <w:tcW w:w="22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59</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2002</w:t>
            </w:r>
          </w:p>
        </w:tc>
        <w:tc>
          <w:tcPr>
            <w:tcW w:w="22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2002</w:t>
            </w:r>
          </w:p>
        </w:tc>
        <w:tc>
          <w:tcPr>
            <w:tcW w:w="22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1996</w:t>
            </w:r>
          </w:p>
        </w:tc>
        <w:tc>
          <w:tcPr>
            <w:tcW w:w="22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Herbert B. Tasker (5)</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67</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2002</w:t>
            </w:r>
          </w:p>
        </w:tc>
        <w:tc>
          <w:tcPr>
            <w:tcW w:w="22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17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w:t>
            </w:r>
          </w:p>
        </w:tc>
        <w:tc>
          <w:tcPr>
            <w:tcW w:w="1700" w:type="dxa"/>
            <w:vAlign w:val="bottom"/>
          </w:tcPr>
          <w:p>
            <w:pPr>
              <w:jc w:val="center"/>
              <w:ind w:left="5"/>
              <w:spacing w:after="0"/>
              <w:rPr>
                <w:sz w:val="20"/>
                <w:szCs w:val="20"/>
                <w:color w:val="auto"/>
              </w:rPr>
            </w:pPr>
            <w:r>
              <w:rPr>
                <w:rFonts w:ascii="Courier New" w:cs="Courier New" w:eastAsia="Courier New" w:hAnsi="Courier New"/>
                <w:sz w:val="15"/>
                <w:szCs w:val="15"/>
                <w:color w:val="auto"/>
                <w:w w:val="94"/>
              </w:rPr>
              <w:t>1988</w:t>
            </w:r>
          </w:p>
        </w:tc>
        <w:tc>
          <w:tcPr>
            <w:tcW w:w="2240" w:type="dxa"/>
            <w:vAlign w:val="bottom"/>
          </w:tcPr>
          <w:p>
            <w:pPr>
              <w:ind w:left="620"/>
              <w:spacing w:after="0"/>
              <w:rPr>
                <w:sz w:val="20"/>
                <w:szCs w:val="20"/>
                <w:color w:val="auto"/>
              </w:rPr>
            </w:pPr>
            <w:r>
              <w:rPr>
                <w:rFonts w:ascii="Courier New" w:cs="Courier New" w:eastAsia="Courier New" w:hAnsi="Courier New"/>
                <w:sz w:val="15"/>
                <w:szCs w:val="15"/>
                <w:color w:val="auto"/>
              </w:rPr>
              <w:t>X</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[Cont'd]</w:t>
      </w:r>
    </w:p>
    <w:p>
      <w:pPr>
        <w:spacing w:after="0" w:line="2" w:lineRule="exact"/>
        <w:rPr>
          <w:sz w:val="20"/>
          <w:szCs w:val="20"/>
          <w:color w:val="auto"/>
        </w:rPr>
      </w:pPr>
    </w:p>
    <w:p>
      <w:pPr>
        <w:ind w:left="7328"/>
        <w:spacing w:after="0"/>
        <w:rPr>
          <w:sz w:val="20"/>
          <w:szCs w:val="20"/>
          <w:color w:val="auto"/>
        </w:rPr>
      </w:pPr>
      <w:r>
        <w:rPr>
          <w:rFonts w:ascii="Courier New" w:cs="Courier New" w:eastAsia="Courier New" w:hAnsi="Courier New"/>
          <w:sz w:val="15"/>
          <w:szCs w:val="15"/>
          <w:color w:val="auto"/>
        </w:rPr>
        <w:t>Nomination/ Governance</w:t>
      </w:r>
    </w:p>
    <w:p>
      <w:pPr>
        <w:spacing w:after="0" w:line="2" w:lineRule="exact"/>
        <w:rPr>
          <w:sz w:val="20"/>
          <w:szCs w:val="20"/>
          <w:color w:val="auto"/>
        </w:rPr>
      </w:pPr>
    </w:p>
    <w:p>
      <w:pPr>
        <w:ind w:left="8"/>
        <w:spacing w:after="0"/>
        <w:tabs>
          <w:tab w:leader="none" w:pos="3388" w:val="left"/>
          <w:tab w:leader="none" w:pos="5088" w:val="left"/>
          <w:tab w:leader="none" w:pos="7848"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Audit Committee</w:t>
      </w:r>
      <w:r>
        <w:rPr>
          <w:sz w:val="20"/>
          <w:szCs w:val="20"/>
          <w:color w:val="auto"/>
        </w:rPr>
        <w:tab/>
      </w:r>
      <w:r>
        <w:rPr>
          <w:rFonts w:ascii="Courier New" w:cs="Courier New" w:eastAsia="Courier New" w:hAnsi="Courier New"/>
          <w:sz w:val="15"/>
          <w:szCs w:val="15"/>
          <w:color w:val="auto"/>
        </w:rPr>
        <w:t>Compensation Committee</w:t>
      </w:r>
      <w:r>
        <w:rPr>
          <w:sz w:val="20"/>
          <w:szCs w:val="20"/>
          <w:color w:val="auto"/>
        </w:rPr>
        <w:tab/>
      </w:r>
      <w:r>
        <w:rPr>
          <w:rFonts w:ascii="Courier New" w:cs="Courier New" w:eastAsia="Courier New" w:hAnsi="Courier New"/>
          <w:sz w:val="14"/>
          <w:szCs w:val="14"/>
          <w:color w:val="auto"/>
        </w:rPr>
        <w:t>Committee</w:t>
      </w:r>
    </w:p>
    <w:p>
      <w:pPr>
        <w:spacing w:after="0" w:line="4"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3" w:lineRule="exact"/>
        <w:rPr>
          <w:rFonts w:ascii="Courier New" w:cs="Courier New" w:eastAsia="Courier New" w:hAnsi="Courier New"/>
          <w:sz w:val="14"/>
          <w:szCs w:val="14"/>
          <w:color w:val="auto"/>
        </w:rPr>
      </w:pPr>
    </w:p>
    <w:p>
      <w:pPr>
        <w:ind w:left="8" w:right="879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William C. Erbey Ronald M. Faris</w:t>
      </w:r>
    </w:p>
    <w:tbl>
      <w:tblPr>
        <w:tblLayout w:type="fixed"/>
        <w:tblInd w:w="8" w:type="dxa"/>
        <w:tblCellMar>
          <w:top w:w="0" w:type="dxa"/>
          <w:left w:w="0" w:type="dxa"/>
          <w:bottom w:w="0" w:type="dxa"/>
          <w:right w:w="0" w:type="dxa"/>
        </w:tblCellMar>
      </w:tblPr>
      <w:tr>
        <w:trPr>
          <w:trHeight w:val="169"/>
        </w:trPr>
        <w:tc>
          <w:tcPr>
            <w:tcW w:w="2720" w:type="dxa"/>
            <w:vAlign w:val="bottom"/>
          </w:tcPr>
          <w:p>
            <w:pPr>
              <w:spacing w:after="0" w:line="169" w:lineRule="exact"/>
              <w:rPr>
                <w:sz w:val="20"/>
                <w:szCs w:val="20"/>
                <w:color w:val="auto"/>
              </w:rPr>
            </w:pPr>
            <w:r>
              <w:rPr>
                <w:rFonts w:ascii="Courier New" w:cs="Courier New" w:eastAsia="Courier New" w:hAnsi="Courier New"/>
                <w:sz w:val="15"/>
                <w:szCs w:val="15"/>
                <w:color w:val="auto"/>
              </w:rPr>
              <w:t>Ronald J. Korn</w:t>
            </w:r>
          </w:p>
        </w:tc>
        <w:tc>
          <w:tcPr>
            <w:tcW w:w="2140" w:type="dxa"/>
            <w:vAlign w:val="bottom"/>
          </w:tcPr>
          <w:p>
            <w:pPr>
              <w:ind w:left="840"/>
              <w:spacing w:after="0" w:line="169" w:lineRule="exact"/>
              <w:rPr>
                <w:sz w:val="20"/>
                <w:szCs w:val="20"/>
                <w:color w:val="auto"/>
              </w:rPr>
            </w:pPr>
            <w:r>
              <w:rPr>
                <w:rFonts w:ascii="Courier New" w:cs="Courier New" w:eastAsia="Courier New" w:hAnsi="Courier New"/>
                <w:sz w:val="15"/>
                <w:szCs w:val="15"/>
                <w:color w:val="auto"/>
              </w:rPr>
              <w:t>X (2)</w:t>
            </w: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William H. Lacy</w:t>
            </w:r>
          </w:p>
        </w:tc>
        <w:tc>
          <w:tcPr>
            <w:tcW w:w="2140" w:type="dxa"/>
            <w:vAlign w:val="bottom"/>
          </w:tcPr>
          <w:p>
            <w:pPr>
              <w:ind w:left="840"/>
              <w:spacing w:after="0"/>
              <w:rPr>
                <w:sz w:val="20"/>
                <w:szCs w:val="20"/>
                <w:color w:val="auto"/>
              </w:rPr>
            </w:pPr>
            <w:r>
              <w:rPr>
                <w:rFonts w:ascii="Courier New" w:cs="Courier New" w:eastAsia="Courier New" w:hAnsi="Courier New"/>
                <w:sz w:val="15"/>
                <w:szCs w:val="15"/>
                <w:color w:val="auto"/>
              </w:rPr>
              <w:t>X</w:t>
            </w:r>
          </w:p>
        </w:tc>
        <w:tc>
          <w:tcPr>
            <w:tcW w:w="2200" w:type="dxa"/>
            <w:vAlign w:val="bottom"/>
          </w:tcPr>
          <w:p>
            <w:pPr>
              <w:spacing w:after="0"/>
              <w:rPr>
                <w:sz w:val="14"/>
                <w:szCs w:val="14"/>
                <w:color w:val="auto"/>
              </w:rPr>
            </w:pPr>
          </w:p>
        </w:tc>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rPr>
              <w:t>X</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W. Michael Linn</w:t>
            </w:r>
          </w:p>
        </w:tc>
        <w:tc>
          <w:tcPr>
            <w:tcW w:w="2140" w:type="dxa"/>
            <w:vAlign w:val="bottom"/>
          </w:tcPr>
          <w:p>
            <w:pPr>
              <w:spacing w:after="0"/>
              <w:rPr>
                <w:sz w:val="14"/>
                <w:szCs w:val="14"/>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5"/>
                <w:szCs w:val="15"/>
                <w:color w:val="auto"/>
              </w:rPr>
              <w:t>X (3)</w:t>
            </w:r>
          </w:p>
        </w:tc>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w w:val="93"/>
              </w:rPr>
              <w:t>X (4)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2140" w:type="dxa"/>
            <w:vAlign w:val="bottom"/>
          </w:tcPr>
          <w:p>
            <w:pPr>
              <w:ind w:left="840"/>
              <w:spacing w:after="0"/>
              <w:rPr>
                <w:sz w:val="20"/>
                <w:szCs w:val="20"/>
                <w:color w:val="auto"/>
              </w:rPr>
            </w:pPr>
            <w:r>
              <w:rPr>
                <w:rFonts w:ascii="Courier New" w:cs="Courier New" w:eastAsia="Courier New" w:hAnsi="Courier New"/>
                <w:sz w:val="15"/>
                <w:szCs w:val="15"/>
                <w:color w:val="auto"/>
              </w:rPr>
              <w:t>X</w:t>
            </w:r>
          </w:p>
        </w:tc>
        <w:tc>
          <w:tcPr>
            <w:tcW w:w="2200" w:type="dxa"/>
            <w:vAlign w:val="bottom"/>
          </w:tcPr>
          <w:p>
            <w:pPr>
              <w:ind w:left="860"/>
              <w:spacing w:after="0"/>
              <w:rPr>
                <w:sz w:val="20"/>
                <w:szCs w:val="20"/>
                <w:color w:val="auto"/>
              </w:rPr>
            </w:pPr>
            <w:r>
              <w:rPr>
                <w:rFonts w:ascii="Courier New" w:cs="Courier New" w:eastAsia="Courier New" w:hAnsi="Courier New"/>
                <w:sz w:val="15"/>
                <w:szCs w:val="15"/>
                <w:color w:val="auto"/>
              </w:rPr>
              <w:t>X (2)</w:t>
            </w:r>
          </w:p>
        </w:tc>
        <w:tc>
          <w:tcPr>
            <w:tcW w:w="134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Herbert B. Tasker (5)</w:t>
            </w:r>
          </w:p>
        </w:tc>
        <w:tc>
          <w:tcPr>
            <w:tcW w:w="2140" w:type="dxa"/>
            <w:vAlign w:val="bottom"/>
          </w:tcPr>
          <w:p>
            <w:pPr>
              <w:spacing w:after="0"/>
              <w:rPr>
                <w:sz w:val="14"/>
                <w:szCs w:val="14"/>
                <w:color w:val="auto"/>
              </w:rPr>
            </w:pPr>
          </w:p>
        </w:tc>
        <w:tc>
          <w:tcPr>
            <w:tcW w:w="2200" w:type="dxa"/>
            <w:vAlign w:val="bottom"/>
          </w:tcPr>
          <w:p>
            <w:pPr>
              <w:ind w:left="860"/>
              <w:spacing w:after="0"/>
              <w:rPr>
                <w:sz w:val="20"/>
                <w:szCs w:val="20"/>
                <w:color w:val="auto"/>
              </w:rPr>
            </w:pPr>
            <w:r>
              <w:rPr>
                <w:rFonts w:ascii="Courier New" w:cs="Courier New" w:eastAsia="Courier New" w:hAnsi="Courier New"/>
                <w:sz w:val="15"/>
                <w:szCs w:val="15"/>
                <w:color w:val="auto"/>
              </w:rPr>
              <w:t>X</w:t>
            </w:r>
          </w:p>
        </w:tc>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rPr>
              <w:t>X</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Barry N. Wish</w:t>
            </w:r>
          </w:p>
        </w:tc>
        <w:tc>
          <w:tcPr>
            <w:tcW w:w="2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w w:val="93"/>
              </w:rPr>
              <w:t>X (6)</w:t>
            </w:r>
          </w:p>
        </w:tc>
      </w:tr>
    </w:tbl>
    <w:p>
      <w:pPr>
        <w:spacing w:after="0" w:line="346" w:lineRule="exact"/>
        <w:rPr>
          <w:sz w:val="20"/>
          <w:szCs w:val="20"/>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18, 2004</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Chairman</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member until February 17, 2004.</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member and Chairman until February 17, 2004.</w:t>
      </w:r>
    </w:p>
    <w:p>
      <w:pPr>
        <w:spacing w:after="0" w:line="3" w:lineRule="exact"/>
        <w:rPr>
          <w:rFonts w:ascii="Courier New" w:cs="Courier New" w:eastAsia="Courier New" w:hAnsi="Courier New"/>
          <w:sz w:val="15"/>
          <w:szCs w:val="15"/>
          <w:color w:val="auto"/>
        </w:rPr>
      </w:pPr>
    </w:p>
    <w:p>
      <w:pPr>
        <w:ind w:left="448" w:right="3439"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Herbert B. Tasker is not seeking reelection, as he is retiring from his position as a director of Ocwen.</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Chairman as of February 17, 2004.</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The principal occupation for the last five years of each director of Ocwen, as well as some other information, is set forth below.</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William C. Erbey. Mr. Erbey has served as the Chairman of the Board of Directors of Ocwen since September 1996, as the Chief Executive Officer of Ocwen since January 1988, as the Chief Investment Officer of Ocwen from January 1992 to August 1999 and as the President of Ocwen from January 1988 to May 1998. Mr. Erbey has served as the Chairman of the Board of Directors of Ocwen Federal Bank FSB, a subsidiary of Ocwen, since February 1988 and as the Chief Executive Officer of the Bank since June 1990. He also serves as a director and officer of many other subsidiaries of Ocwen. From 1983 to 1995, Mr. Erbey served as a Managing General Partner of The Oxford Financial Group,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 Manager of GECC's Commercial Financial Services Department and as the President</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1" w:right="1440" w:bottom="850" w:gutter="0" w:footer="0" w:header="0"/>
        </w:sectPr>
      </w:pPr>
    </w:p>
    <w:bookmarkStart w:id="5" w:name="page6"/>
    <w:bookmarkEnd w:id="5"/>
    <w:p>
      <w:pPr>
        <w:jc w:val="both"/>
        <w:ind w:right="3439"/>
        <w:spacing w:after="0" w:line="241" w:lineRule="auto"/>
        <w:rPr>
          <w:sz w:val="20"/>
          <w:szCs w:val="20"/>
          <w:color w:val="auto"/>
        </w:rPr>
      </w:pPr>
      <w:r>
        <w:rPr>
          <w:rFonts w:ascii="Courier New" w:cs="Courier New" w:eastAsia="Courier New" w:hAnsi="Courier New"/>
          <w:sz w:val="15"/>
          <w:szCs w:val="15"/>
          <w:color w:val="auto"/>
        </w:rPr>
        <w:t>of Acquisition Funding Corporation. He holds a Bachelor of Arts in Economics from Allegheny College and received a Master of Business Administration from Harvard University.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Ronald M. Faris. Mr. Faris has served as a Director of Ocwen since May 2003, on the Board of Directors of Ocwen Federal Bank FSB since March 2001 and as the President of Ocwen and the Bank since March 2001. Mr. Faris served as Executive Vice President of Ocwen and the Bank from May 1998 to March 2001, as a Senior Vice President of the Bank from May 1997 to May 1998 and Vice President and Chief Accounting Officer of Ocwen from June 1995 to May 1997 and of the Bank from July 1994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from Pennsylvania State University.</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Ronald J. Korn. Mr. Korn has served as a director of Ocwen since May 2003 and of Ocwen Federal Bank FSB since May 2003. Mr. Korn is currently the President of Ronald Korn Consulting, which provides business and marketing services to a limited number of clients. He is a Founding Director, Chairman of the Audit Committee, and member of the Loan Committee of Horizon Bank FSB. He is also a Director of Horizon Financial Corporation, the parent holding company of Horizon Bank FSB. Mr. Korn has been Director and Chairman of the Audit Committee of PetMed Express, Inc. (OTC: PETS) since 2002. He was a partner and employee of KPMG, LLP, from 1961 to 1991, where his client responsibilities included a number of large financial institutions and various public corporations. Previously, he has also served as a Director and Audit Committee Chairman for various public companies. Mr. Korn graduated from the University of Pennsylvania, Wharton School in 1961 and New York University Law School in 1965. He is admitted as Certified Public Accountant in New York, Michigan and Florida, with licenses currently inactive. He was also admitted to the New York Bar in 1966, but has never practiced law.</w:t>
      </w:r>
    </w:p>
    <w:p>
      <w:pPr>
        <w:spacing w:after="0" w:line="18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William H. Lacy. Mr. Lacy has served as a Director of Ocwen since May 2002 and Ocwen Federal Bank FSB since May 2003. Mr. Lacy was formerly Chairman of Mortgage Guaranty Insurance Corporation and Chairman and Chief Executive Officer of MGIC Investment Corporation, Milwaukee, Wisconsin. Both corporations are providers of private mortgage guaranty insurance and other mortgage related services. Mr. Lacy is also a Director of C-2 Inc. and of Johnson Controls, Inc., both New York Stock Exchange public corporations. Mr. Lacy is Chairman of Johnson Controls' Pension and Investment Committee and serves on Johnson Controls' Compensation Committee. He is also Chairman of C-2's Compensation Committee and serves on C-2's Audit Committee. Mr. Lacy is a graduate of the University of Wisconsin with a Bachelor of Arts from the School of Business.</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 Michael Linn. Mr. Linn has served as a Director of Ocwen since August 2002, Ocwen Federal Bank FSB since May 2003, and became employed by the company as Executive Vice President of Sales &amp; Marketing on February 17, 2004. Mr. Linn was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and earned a Masters of Business Administration from Harvard Business School in 1973.</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W.C. Martin. Mr. Martin has served as a Director of Ocwen since July 1996 and of Ocwen Federal Bank FSB since August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3" w:right="1440" w:bottom="1440" w:gutter="0" w:footer="0" w:header="0"/>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Barry N. Wish. Mr. Wish has served as Chairman Emeritus of the Board of Directors of Ocwen since September 1996, and he previously served as Chairman of the Board of Ocwen from January 1988 to September 1996. Mr. Wish has served as a Director of Ocwen Federal Bank FSB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78"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Board of Directors unanimously recommends that shareholders vote FOR each of the nominees for director.</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BOARD OF DIRECTORS AND CORPORATE GOVERNANCE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Board of Directors of Ocwen held six meetings during 2003. No director of Ocwen attended fewer than 75% of the aggregate of the number of meetings of the Board of Directors held during 2003 and the number of meetings held by all committees thereof on which he served during the period. Although Ocwen does not have a formal policy regarding director attendance at the Annual Meeting, directors are encouraged to attend. All seven members of the Board of Directors attended the 2003 Annual Meeting.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Independence of Directors</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Ocwen's Corporate Governance Guidelines provide that the Board of Directors must be comprised of a majority of directors who qualify as independent directors under the listing standards of the New York Stock Exchange and applicable law.</w:t>
      </w:r>
    </w:p>
    <w:p>
      <w:pPr>
        <w:spacing w:after="0" w:line="15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The Board reviews annually the relationships that each director has with the Company (either directly or as a partner, shareholder or officer of an organization that has a relationship with the Company). Following such review, only those directors who the Board affirmatively determines have no material relationship with the Company are considered independent directors, subject to additional qualifications prescribed under the listing standards of the New York Stock Exchange or applicable law. Our current Board of Directors has determined that Messrs. Korn, Lacy, Martin, Tasker and Wish are independent in accordance with applicable laws and the New York Stock Exchange listing standards.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Board of Directors of Ocwen has established an Executive Committee, an Audit Committee, a Compensation Committee and a Nomination/Governance Committee. A brief description of these Committees is set forth below.</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Executive Committee. The Executive Committee is generally responsible to act on behalf of the Board of Directors during the intervals between meetings of the Board of Directors. This Committee did not meet during 2003.</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Audit Committee. The Audit Committee of the Board of Directors manages Ocwen's independent auditors, reviews and advises the Board of Directors with respect to reports by Ocwen's independent auditor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auditor. Each member of the Audit Committee is independent as defined in regulations adopted by the Securities and Exchange Commission and the listing standards of the New York Stock Exchange. The Board of Directors has determined that Ronald J. Korn qualifies as an audit committee financial expert, as that term is defined in recently adopted Securities and Exchange Commission rules implementing requirements of the Sarbanes-Oxley Act of 2002. The Audit Committee operates under a written charter, a copy of which is included as Exhibit A hereto and is available on Ocwen's website at www.ocwen.com. This Committee met five times during 2003.</w:t>
      </w:r>
    </w:p>
    <w:p>
      <w:pPr>
        <w:spacing w:after="0" w:line="165"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Compensation Committee. The Compensation Committee of the Board of Directors oversees Ocwen's compensation and employee benefit plans and practices. The Compensation Committee also evaluates and makes recommendations to the Board of</w:t>
      </w: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3" w:right="1440" w:bottom="1440" w:gutter="0" w:footer="0" w:header="0"/>
        </w:sectPr>
      </w:pPr>
    </w:p>
    <w:bookmarkStart w:id="7" w:name="page8"/>
    <w:bookmarkEnd w:id="7"/>
    <w:p>
      <w:pPr>
        <w:ind w:right="3159"/>
        <w:spacing w:after="0" w:line="242" w:lineRule="auto"/>
        <w:rPr>
          <w:sz w:val="20"/>
          <w:szCs w:val="20"/>
          <w:color w:val="auto"/>
        </w:rPr>
      </w:pPr>
      <w:r>
        <w:rPr>
          <w:rFonts w:ascii="Courier New" w:cs="Courier New" w:eastAsia="Courier New" w:hAnsi="Courier New"/>
          <w:sz w:val="15"/>
          <w:szCs w:val="15"/>
          <w:color w:val="auto"/>
        </w:rPr>
        <w:t>Directors for human resource and compensation matters relating to the executive officers of Ocwen. Each member of the Compensation Committee is independent as defined in the listing standards of the New York Stock Exchange. The Compensation Committee operates under a written charter approved by the whole Board of Directors, a copy of which is available on Ocwen's website at www.ocwen.com. This Committee met four times during 2003.</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Nomination/Governance Committee. 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Each member of the Nomination/Governance Committee is independent as defined in the listing standards of the New York Stock Exchange. The Nomination/Governance Committee operates under a written charter, a copy of which is available on Ocwen's website as www.ocwen.com. This Committee met four times during 2003.</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It is the policy of the Nomination/Governance Committee to consider candidates for director recommended by shareholders. In evaluating nominees for director, the Nomination/Governance Committee takes into account the applicable requirements for directors under the Securities Exchange Act of 1934, as amended and the listing standards of the New York Stock Exchange. In addition, the Nomination/Governance Committee takes into account the needs of the company, as well as such factors as knowledge, experience, skills, expertise and diversity. Should a shareholder recommend a candidate for director, the Nomination/Governance Committee would evaluate such candidate in the same way as it evaluates any other nominee.</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Shareholders wishing to recommend persons for consideration by the Nomination/Governance Committee as nominees for election to the Board of Directors can do so by writing to the Secretary of Ocwen Financial Corporation, 1675 Palm Beach Lakes Boulevard, West Palm Beach, Florida 33401, giving each proposed nominee's name, biographical data and qualifications. The recommendation should also include a written statement from the proposed nominee consenting to be named as a nominee and, if nominated and elected, to serve as a director. For consideration, Ocwen must receive such recommendations by November 30, 2004.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Governance Guidelines</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The Corporate Governance Guidelines adopted by the Board of Directors provide guidelines for Ocwen and the Board of Directors to ensure effective corporate governance. The Corporate Governance Guidelines cover topics including, but not limited to, director qualification standards, Board and committee composition, director responsibilities, director access to management and independent advisors, director compensation, director orientation and continuing education, management succession and annual performance evaluation of the Board.</w:t>
      </w:r>
    </w:p>
    <w:p>
      <w:pPr>
        <w:spacing w:after="0" w:line="16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Nomination/Governance Committee will review Ocwen's Governance Guidelines at least once a year and, if necessary, recommend changes to the Board. The Governance Guidelines are available on our web site at www.ocwen.com.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Sessions of Non-Management Directors</w:t>
      </w:r>
    </w:p>
    <w:p>
      <w:pPr>
        <w:spacing w:after="0" w:line="176" w:lineRule="exact"/>
        <w:rPr>
          <w:sz w:val="20"/>
          <w:szCs w:val="20"/>
          <w:color w:val="auto"/>
        </w:rPr>
      </w:pPr>
    </w:p>
    <w:p>
      <w:pPr>
        <w:jc w:val="both"/>
        <w:ind w:right="3599"/>
        <w:spacing w:after="0" w:line="242" w:lineRule="auto"/>
        <w:rPr>
          <w:sz w:val="20"/>
          <w:szCs w:val="20"/>
          <w:color w:val="auto"/>
        </w:rPr>
      </w:pPr>
      <w:r>
        <w:rPr>
          <w:rFonts w:ascii="Courier New" w:cs="Courier New" w:eastAsia="Courier New" w:hAnsi="Courier New"/>
          <w:sz w:val="15"/>
          <w:szCs w:val="15"/>
          <w:color w:val="auto"/>
        </w:rPr>
        <w:t>Non-management directors meet in executive session without management on a regularly scheduled basis at least four times each year. A non-management director presides on a rotational basis as determined by the Board at each executive session.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with Directors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shareholder or other interested party who desires to contact the Board of Directors or any individual director regarding Ocwen may do so by mail addressed to the Secretary of Ocwen at 1675 Palm Beach Lakes Boulevard, West Palm Beach, Florida 33401. Communications received in writing are distributed to the Board or to individual directors as appropriate depending on the facts and circumstances outlined in the communication received.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8" w:name="page9"/>
    <w:bookmarkEnd w:id="8"/>
    <w:p>
      <w:pPr>
        <w:ind w:left="8"/>
        <w:spacing w:after="0"/>
        <w:rPr>
          <w:sz w:val="20"/>
          <w:szCs w:val="20"/>
          <w:color w:val="auto"/>
        </w:rPr>
      </w:pPr>
      <w:r>
        <w:rPr>
          <w:rFonts w:ascii="Courier New" w:cs="Courier New" w:eastAsia="Courier New" w:hAnsi="Courier New"/>
          <w:sz w:val="15"/>
          <w:szCs w:val="15"/>
          <w:color w:val="auto"/>
        </w:rPr>
        <w:t>Code of Ethics</w:t>
      </w:r>
    </w:p>
    <w:p>
      <w:pPr>
        <w:spacing w:after="0" w:line="176" w:lineRule="exact"/>
        <w:rPr>
          <w:sz w:val="20"/>
          <w:szCs w:val="20"/>
          <w:color w:val="auto"/>
        </w:rPr>
      </w:pPr>
    </w:p>
    <w:p>
      <w:pPr>
        <w:ind w:left="8" w:right="3480"/>
        <w:spacing w:after="0" w:line="242" w:lineRule="auto"/>
        <w:rPr>
          <w:sz w:val="20"/>
          <w:szCs w:val="20"/>
          <w:color w:val="auto"/>
        </w:rPr>
      </w:pPr>
      <w:r>
        <w:rPr>
          <w:rFonts w:ascii="Courier New" w:cs="Courier New" w:eastAsia="Courier New" w:hAnsi="Courier New"/>
          <w:sz w:val="15"/>
          <w:szCs w:val="15"/>
          <w:color w:val="auto"/>
        </w:rPr>
        <w:t>Ocwen has adopted a Code of Ethics that applies to directors, officers and employees of the Company, as required by the New York Stock Exchange rules. Any waivers from the Code of Ethics must be approved by the Board of Directors or a Board committee and must be promptly disclosed to shareholders. This Code of Ethics is available on www.ocwen.com.</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BOARD OF DIRECTORS COMPENSATION</w:t>
      </w:r>
    </w:p>
    <w:p>
      <w:pPr>
        <w:spacing w:after="0" w:line="176" w:lineRule="exact"/>
        <w:rPr>
          <w:sz w:val="20"/>
          <w:szCs w:val="20"/>
          <w:color w:val="auto"/>
        </w:rPr>
      </w:pPr>
    </w:p>
    <w:p>
      <w:pPr>
        <w:ind w:left="8" w:right="3400"/>
        <w:spacing w:after="0" w:line="242" w:lineRule="auto"/>
        <w:rPr>
          <w:sz w:val="20"/>
          <w:szCs w:val="20"/>
          <w:color w:val="auto"/>
        </w:rPr>
      </w:pPr>
      <w:r>
        <w:rPr>
          <w:rFonts w:ascii="Courier New" w:cs="Courier New" w:eastAsia="Courier New" w:hAnsi="Courier New"/>
          <w:sz w:val="15"/>
          <w:szCs w:val="15"/>
          <w:color w:val="auto"/>
        </w:rPr>
        <w:t>The Directors of Ocwen are currently compensated by delivering to each a total annual value of $30,000, which is payable $15,000 in shares of Common Stock pursuant to a Directors Stock Plan adopted by the Board of Directors and shareholders of Ocwen in July 1996 and $15,000 cash. (which may be prorated for a director serving less than a full one-year term, as in the case of a director joining the Board of Directors after an Annual Meeting of shareholders), subject to review and adjustment by the Board of Directors from time to time. Directors serving as committee chairpersons receive an additional $5,000 in cash compensation. Such payment is made after the annual organizational meeting of the Board of Directors, which follows the Annual Meeting of shareholders of Ocwen During 2003, an aggregate of 30,536 shares of Common Stock was granted to the eight directors of Ocwen.</w:t>
      </w:r>
    </w:p>
    <w:p>
      <w:pPr>
        <w:spacing w:after="0" w:line="180" w:lineRule="exact"/>
        <w:rPr>
          <w:sz w:val="20"/>
          <w:szCs w:val="20"/>
          <w:color w:val="auto"/>
        </w:rPr>
      </w:pPr>
    </w:p>
    <w:p>
      <w:pPr>
        <w:ind w:left="8" w:right="3400"/>
        <w:spacing w:after="0" w:line="242" w:lineRule="auto"/>
        <w:rPr>
          <w:sz w:val="20"/>
          <w:szCs w:val="20"/>
          <w:color w:val="auto"/>
        </w:rPr>
      </w:pPr>
      <w:r>
        <w:rPr>
          <w:rFonts w:ascii="Courier New" w:cs="Courier New" w:eastAsia="Courier New" w:hAnsi="Courier New"/>
          <w:sz w:val="15"/>
          <w:szCs w:val="15"/>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 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the director is a member during such period.</w:t>
      </w:r>
    </w:p>
    <w:p>
      <w:pPr>
        <w:spacing w:after="0" w:line="179" w:lineRule="exact"/>
        <w:rPr>
          <w:sz w:val="20"/>
          <w:szCs w:val="20"/>
          <w:color w:val="auto"/>
        </w:rPr>
      </w:pPr>
    </w:p>
    <w:p>
      <w:pPr>
        <w:ind w:left="8" w:right="3400"/>
        <w:spacing w:after="0" w:line="242" w:lineRule="auto"/>
        <w:rPr>
          <w:sz w:val="20"/>
          <w:szCs w:val="20"/>
          <w:color w:val="auto"/>
        </w:rPr>
      </w:pPr>
      <w:r>
        <w:rPr>
          <w:rFonts w:ascii="Courier New" w:cs="Courier New" w:eastAsia="Courier New" w:hAnsi="Courier New"/>
          <w:sz w:val="15"/>
          <w:szCs w:val="15"/>
          <w:color w:val="auto"/>
        </w:rPr>
        <w:t>All of the directors for Ocwen also serve on the Board of Directors of Ocwen Federal Bank FSB. During 2003, the Bank compensated its non-management directors by delivering to each a total annual value of $10,000 in cash, paid in equal quarterly installments in arrears, in respect of their service on the Bank's Board of Directors. During 2003, an aggregate of $44,000 in cash was paid to five directors of Ocwen in respect of their service as members of the Board of Directors of the Bank, including as chairman of the committees of the Bank's Board of Directors.</w:t>
      </w:r>
    </w:p>
    <w:p>
      <w:pPr>
        <w:spacing w:after="0" w:line="176" w:lineRule="exact"/>
        <w:rPr>
          <w:sz w:val="20"/>
          <w:szCs w:val="20"/>
          <w:color w:val="auto"/>
        </w:rPr>
      </w:pPr>
    </w:p>
    <w:p>
      <w:pPr>
        <w:jc w:val="center"/>
        <w:ind w:right="3392"/>
        <w:spacing w:after="0"/>
        <w:rPr>
          <w:sz w:val="20"/>
          <w:szCs w:val="20"/>
          <w:color w:val="auto"/>
        </w:rPr>
      </w:pPr>
      <w:r>
        <w:rPr>
          <w:rFonts w:ascii="Courier New" w:cs="Courier New" w:eastAsia="Courier New" w:hAnsi="Courier New"/>
          <w:sz w:val="15"/>
          <w:szCs w:val="15"/>
          <w:color w:val="auto"/>
        </w:rPr>
        <w:t>EXECUTIVE OFFICERS WHO ARE NOT DIRECTORS</w:t>
      </w:r>
    </w:p>
    <w:p>
      <w:pPr>
        <w:spacing w:after="0" w:line="176" w:lineRule="exact"/>
        <w:rPr>
          <w:sz w:val="20"/>
          <w:szCs w:val="20"/>
          <w:color w:val="auto"/>
        </w:rPr>
      </w:pPr>
    </w:p>
    <w:p>
      <w:pPr>
        <w:ind w:left="8" w:right="3400"/>
        <w:spacing w:after="0" w:line="242" w:lineRule="auto"/>
        <w:rPr>
          <w:sz w:val="20"/>
          <w:szCs w:val="20"/>
          <w:color w:val="auto"/>
        </w:rPr>
      </w:pPr>
      <w:r>
        <w:rPr>
          <w:rFonts w:ascii="Courier New" w:cs="Courier New" w:eastAsia="Courier New" w:hAnsi="Courier New"/>
          <w:sz w:val="15"/>
          <w:szCs w:val="15"/>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 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200" w:lineRule="exact"/>
        <w:rPr>
          <w:sz w:val="20"/>
          <w:szCs w:val="20"/>
          <w:color w:val="auto"/>
        </w:rPr>
      </w:pPr>
    </w:p>
    <w:p>
      <w:pPr>
        <w:spacing w:after="0" w:line="320" w:lineRule="exact"/>
        <w:rPr>
          <w:sz w:val="20"/>
          <w:szCs w:val="20"/>
          <w:color w:val="auto"/>
        </w:rPr>
      </w:pPr>
    </w:p>
    <w:p>
      <w:pPr>
        <w:ind w:left="8"/>
        <w:spacing w:after="0"/>
        <w:tabs>
          <w:tab w:leader="none" w:pos="3108" w:val="left"/>
          <w:tab w:leader="none" w:pos="4188"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 (1)</w:t>
      </w:r>
      <w:r>
        <w:rPr>
          <w:sz w:val="20"/>
          <w:szCs w:val="20"/>
          <w:color w:val="auto"/>
        </w:rPr>
        <w:tab/>
      </w:r>
      <w:r>
        <w:rPr>
          <w:rFonts w:ascii="Courier New" w:cs="Courier New" w:eastAsia="Courier New" w:hAnsi="Courier New"/>
          <w:sz w:val="15"/>
          <w:szCs w:val="15"/>
          <w:color w:val="auto"/>
        </w:rPr>
        <w:t>Position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Robert J. Leist, Jr.</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 and Chief Accounting Officer</w:t>
            </w:r>
          </w:p>
        </w:tc>
        <w:tc>
          <w:tcPr>
            <w:tcW w:w="2280" w:type="dxa"/>
            <w:vAlign w:val="bottom"/>
          </w:tcPr>
          <w:p>
            <w:pPr>
              <w:spacing w:after="0"/>
              <w:rPr>
                <w:sz w:val="14"/>
                <w:szCs w:val="14"/>
                <w:color w:val="auto"/>
              </w:rPr>
            </w:pP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William</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R. Shepro (2)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w:t>
            </w:r>
          </w:p>
        </w:tc>
        <w:tc>
          <w:tcPr>
            <w:tcW w:w="4280" w:type="dxa"/>
            <w:vAlign w:val="bottom"/>
          </w:tcPr>
          <w:p>
            <w:pPr>
              <w:ind w:left="400"/>
              <w:spacing w:after="0"/>
              <w:rPr>
                <w:sz w:val="20"/>
                <w:szCs w:val="20"/>
                <w:color w:val="auto"/>
              </w:rPr>
            </w:pPr>
            <w:r>
              <w:rPr>
                <w:rFonts w:ascii="Courier New" w:cs="Courier New" w:eastAsia="Courier New" w:hAnsi="Courier New"/>
                <w:sz w:val="15"/>
                <w:szCs w:val="15"/>
                <w:color w:val="auto"/>
                <w:w w:val="99"/>
              </w:rPr>
              <w:t>President of Global Servicing Solutions LLC</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w w:val="97"/>
              </w:rPr>
              <w:t>and Senior Vice President</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Mark 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Zeidman</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w:t>
            </w:r>
          </w:p>
        </w:tc>
        <w:tc>
          <w:tcPr>
            <w:tcW w:w="65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Senior Vice President and Chief Financial Officer</w:t>
            </w:r>
          </w:p>
        </w:tc>
      </w:tr>
    </w:tbl>
    <w:p>
      <w:pPr>
        <w:spacing w:after="0" w:line="346" w:lineRule="exact"/>
        <w:rPr>
          <w:sz w:val="20"/>
          <w:szCs w:val="20"/>
          <w:color w:val="auto"/>
        </w:rPr>
      </w:pP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18, 2004.</w:t>
      </w:r>
    </w:p>
    <w:p>
      <w:pPr>
        <w:spacing w:after="0" w:line="2"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after the May 18, 2004 shareholders meeting.</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548"/>
          </w:cols>
          <w:pgMar w:left="232" w:top="461" w:right="1119" w:bottom="1440" w:gutter="0" w:footer="0" w:header="0"/>
        </w:sectPr>
      </w:pPr>
    </w:p>
    <w:bookmarkStart w:id="9" w:name="page10"/>
    <w:bookmarkEnd w:id="9"/>
    <w:p>
      <w:pPr>
        <w:ind w:right="3079"/>
        <w:spacing w:after="0"/>
        <w:rPr>
          <w:sz w:val="20"/>
          <w:szCs w:val="20"/>
          <w:color w:val="auto"/>
        </w:rPr>
      </w:pPr>
      <w:r>
        <w:rPr>
          <w:rFonts w:ascii="Courier New" w:cs="Courier New" w:eastAsia="Courier New" w:hAnsi="Courier New"/>
          <w:sz w:val="15"/>
          <w:szCs w:val="15"/>
          <w:color w:val="auto"/>
        </w:rPr>
        <w:t>The background for the last five years of each executive officer of Ocwen who is not a director, as well as certain other information, is set forth below.</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Robert J. Leist, Jr. Mr. Leist has served as Vice President and Chief Accounting Officer of Ocwen and the Bank since his employment began with the Company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William B. Shepro. Mr. Shepro is the President of Global Servicing Solutions LLC, a joint venture between Ocwen Financial Corporation and Merrill Lynch. In addition to Mr. Shepro's role at GSS, he is Senior Vice President of Ocwen's Commercial Finance and Affordable Housing segments. Prior to joining the Commercial Finance segment in August 1998, Mr. Shepro was Counsel in the Ocwen Law Department. Before joining Ocwen in August 1997, Mr. Shepro was an Attorney with Willinger, Shepro, Tower and Bucci, P.C. He holds a Bachelor of Science in Business from Skidmore College and a Juris Doctorate from the Florida State University College of Law.</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Mark S. Zeidman. Mr. Zeidman has served as Senior Vice President and Chief Financial Officer of Ocwen and the Bank since May 1997 and as Chief Investment Officer of Ocwen since August 1999. He also serves as an officer of many subsidiaries of Ocwen. From 1986 until May 1997, Mr. Zeidman was employed by Nomura Securities International, Inc., most recently as Managing Director. Prior to 1986, he held positions with Shearson Lehman Brothers and Coopers &amp; Lybrand. He holds a Bachelor of Arts from the University of Pennsylvania and received a Master of International Affairs from Columbia University and a Master of Business Administration from the Wharton School of Business at the University of Pennsylvania. Mr. Zeidman is also a Certified Public Accountant.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3" w:right="1440" w:bottom="1440" w:gutter="0" w:footer="0" w:header="0"/>
        </w:sectPr>
      </w:pPr>
    </w:p>
    <w:bookmarkStart w:id="10" w:name="page11"/>
    <w:bookmarkEnd w:id="10"/>
    <w:p>
      <w:pPr>
        <w:jc w:val="center"/>
        <w:ind w:right="4272"/>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2" w:lineRule="exact"/>
        <w:rPr>
          <w:sz w:val="20"/>
          <w:szCs w:val="20"/>
          <w:color w:val="auto"/>
        </w:rPr>
      </w:pPr>
    </w:p>
    <w:p>
      <w:pPr>
        <w:jc w:val="center"/>
        <w:ind w:right="4272"/>
        <w:spacing w:after="0"/>
        <w:rPr>
          <w:sz w:val="20"/>
          <w:szCs w:val="20"/>
          <w:color w:val="auto"/>
        </w:rPr>
      </w:pPr>
      <w:r>
        <w:rPr>
          <w:rFonts w:ascii="Courier New" w:cs="Courier New" w:eastAsia="Courier New" w:hAnsi="Courier New"/>
          <w:sz w:val="15"/>
          <w:szCs w:val="15"/>
          <w:color w:val="auto"/>
        </w:rPr>
        <w:t>AND RELATED STOCKHOLDER MATTERS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Beneficial Ownership of Common Stock</w:t>
      </w:r>
    </w:p>
    <w:p>
      <w:pPr>
        <w:spacing w:after="0" w:line="176" w:lineRule="exact"/>
        <w:rPr>
          <w:sz w:val="20"/>
          <w:szCs w:val="20"/>
          <w:color w:val="auto"/>
        </w:rPr>
      </w:pPr>
    </w:p>
    <w:p>
      <w:pPr>
        <w:ind w:left="8" w:right="4820"/>
        <w:spacing w:after="0"/>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the Common Stock as of the date indicated by:</w:t>
      </w:r>
    </w:p>
    <w:p>
      <w:pPr>
        <w:spacing w:after="0" w:line="174" w:lineRule="exact"/>
        <w:rPr>
          <w:sz w:val="20"/>
          <w:szCs w:val="20"/>
          <w:color w:val="auto"/>
        </w:rPr>
      </w:pPr>
    </w:p>
    <w:p>
      <w:pPr>
        <w:ind w:left="528" w:hanging="528"/>
        <w:spacing w:after="0"/>
        <w:tabs>
          <w:tab w:leader="none" w:pos="5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of Ocwen,</w:t>
      </w:r>
    </w:p>
    <w:p>
      <w:pPr>
        <w:spacing w:after="0" w:line="2"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of Ocwen as a group, and</w:t>
      </w:r>
    </w:p>
    <w:p>
      <w:pPr>
        <w:spacing w:after="0" w:line="3" w:lineRule="exact"/>
        <w:rPr>
          <w:rFonts w:ascii="Courier New" w:cs="Courier New" w:eastAsia="Courier New" w:hAnsi="Courier New"/>
          <w:sz w:val="15"/>
          <w:szCs w:val="15"/>
          <w:color w:val="auto"/>
        </w:rPr>
      </w:pPr>
    </w:p>
    <w:p>
      <w:pPr>
        <w:jc w:val="both"/>
        <w:ind w:left="528" w:right="5260" w:hanging="528"/>
        <w:spacing w:after="0" w:line="241" w:lineRule="auto"/>
        <w:tabs>
          <w:tab w:leader="none" w:pos="5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persons known by Ocwen to own beneficially 5% or more of the outstanding Common Stock or have a Schedule 13G on file with the Securities and Exchange Commission.</w:t>
      </w:r>
    </w:p>
    <w:p>
      <w:pPr>
        <w:spacing w:after="0" w:line="176" w:lineRule="exact"/>
        <w:rPr>
          <w:sz w:val="20"/>
          <w:szCs w:val="20"/>
          <w:color w:val="auto"/>
        </w:rPr>
      </w:pPr>
    </w:p>
    <w:p>
      <w:pPr>
        <w:jc w:val="both"/>
        <w:ind w:left="8" w:right="4380"/>
        <w:spacing w:after="0" w:line="241" w:lineRule="auto"/>
        <w:rPr>
          <w:sz w:val="20"/>
          <w:szCs w:val="20"/>
          <w:color w:val="auto"/>
        </w:rPr>
      </w:pPr>
      <w:r>
        <w:rPr>
          <w:rFonts w:ascii="Courier New" w:cs="Courier New" w:eastAsia="Courier New" w:hAnsi="Courier New"/>
          <w:sz w:val="15"/>
          <w:szCs w:val="15"/>
          <w:color w:val="auto"/>
        </w:rPr>
        <w:t>The table is based upon information supplied to Ocwen by directors, officers and principal shareholders and filings under the Securities Exchange Act of 1934, as amended.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760" w:type="dxa"/>
            <w:vAlign w:val="bottom"/>
            <w:gridSpan w:val="3"/>
          </w:tcPr>
          <w:p>
            <w:pPr>
              <w:jc w:val="right"/>
              <w:ind w:right="1345"/>
              <w:spacing w:after="0"/>
              <w:rPr>
                <w:sz w:val="20"/>
                <w:szCs w:val="20"/>
                <w:color w:val="auto"/>
              </w:rPr>
            </w:pPr>
            <w:r>
              <w:rPr>
                <w:rFonts w:ascii="Courier New" w:cs="Courier New" w:eastAsia="Courier New" w:hAnsi="Courier New"/>
                <w:sz w:val="15"/>
                <w:szCs w:val="15"/>
                <w:color w:val="auto"/>
              </w:rPr>
              <w:t>Shares Beneficially Owned as of</w:t>
            </w:r>
          </w:p>
        </w:tc>
      </w:tr>
      <w:tr>
        <w:trPr>
          <w:trHeight w:val="172"/>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760" w:type="dxa"/>
            <w:vAlign w:val="bottom"/>
            <w:gridSpan w:val="3"/>
          </w:tcPr>
          <w:p>
            <w:pPr>
              <w:jc w:val="right"/>
              <w:ind w:right="1885"/>
              <w:spacing w:after="0"/>
              <w:rPr>
                <w:sz w:val="20"/>
                <w:szCs w:val="20"/>
                <w:color w:val="auto"/>
              </w:rPr>
            </w:pPr>
            <w:r>
              <w:rPr>
                <w:rFonts w:ascii="Courier New" w:cs="Courier New" w:eastAsia="Courier New" w:hAnsi="Courier New"/>
                <w:sz w:val="15"/>
                <w:szCs w:val="15"/>
                <w:color w:val="auto"/>
              </w:rPr>
              <w:t>March 11, 2004 (1)</w:t>
            </w:r>
          </w:p>
        </w:tc>
      </w:tr>
      <w:tr>
        <w:trPr>
          <w:trHeight w:val="172"/>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spacing w:after="0"/>
              <w:rPr>
                <w:sz w:val="14"/>
                <w:szCs w:val="14"/>
                <w:color w:val="auto"/>
              </w:rPr>
            </w:pPr>
          </w:p>
        </w:tc>
        <w:tc>
          <w:tcPr>
            <w:tcW w:w="26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Percent</w:t>
            </w:r>
          </w:p>
        </w:tc>
      </w:tr>
      <w:tr>
        <w:trPr>
          <w:trHeight w:val="172"/>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Name of Beneficial Owner:</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44"/>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Becker Capital Management, Inc.</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1211 SW Fifth Avenue, Suite 2185</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3,474,900</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c>
          <w:tcPr>
            <w:tcW w:w="26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5.17%</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Portland, OR</w:t>
            </w:r>
          </w:p>
        </w:tc>
        <w:tc>
          <w:tcPr>
            <w:tcW w:w="4600" w:type="dxa"/>
            <w:vAlign w:val="bottom"/>
          </w:tcPr>
          <w:p>
            <w:pPr>
              <w:jc w:val="right"/>
              <w:ind w:right="3905"/>
              <w:spacing w:after="0"/>
              <w:rPr>
                <w:sz w:val="20"/>
                <w:szCs w:val="20"/>
                <w:color w:val="auto"/>
              </w:rPr>
            </w:pPr>
            <w:r>
              <w:rPr>
                <w:rFonts w:ascii="Courier New" w:cs="Courier New" w:eastAsia="Courier New" w:hAnsi="Courier New"/>
                <w:sz w:val="15"/>
                <w:szCs w:val="15"/>
                <w:color w:val="auto"/>
              </w:rPr>
              <w:t>97204</w:t>
            </w: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44"/>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Dimensional Fund Advisors Inc.</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1299 Ocean Avenue, 11th Floor</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3,385,500</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26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5.04%</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Santa Monica, CA  90401</w:t>
            </w: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44"/>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NewSouth Capital Management, Inc.</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1100 Ridgeway Loop Rd., Suite 444</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3,321,578</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w:t>
            </w:r>
          </w:p>
        </w:tc>
        <w:tc>
          <w:tcPr>
            <w:tcW w:w="26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4.9%</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Memphis, TN</w:t>
            </w:r>
          </w:p>
        </w:tc>
        <w:tc>
          <w:tcPr>
            <w:tcW w:w="4600" w:type="dxa"/>
            <w:vAlign w:val="bottom"/>
          </w:tcPr>
          <w:p>
            <w:pPr>
              <w:jc w:val="right"/>
              <w:ind w:right="4085"/>
              <w:spacing w:after="0"/>
              <w:rPr>
                <w:sz w:val="20"/>
                <w:szCs w:val="20"/>
                <w:color w:val="auto"/>
              </w:rPr>
            </w:pPr>
            <w:r>
              <w:rPr>
                <w:rFonts w:ascii="Courier New" w:cs="Courier New" w:eastAsia="Courier New" w:hAnsi="Courier New"/>
                <w:sz w:val="15"/>
                <w:szCs w:val="15"/>
                <w:color w:val="auto"/>
                <w:w w:val="93"/>
              </w:rPr>
              <w:t>38120</w:t>
            </w: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80" w:type="dxa"/>
            <w:vAlign w:val="bottom"/>
          </w:tcPr>
          <w:p>
            <w:pPr>
              <w:spacing w:after="0"/>
              <w:rPr>
                <w:sz w:val="14"/>
                <w:szCs w:val="14"/>
                <w:color w:val="auto"/>
              </w:rPr>
            </w:pPr>
          </w:p>
        </w:tc>
      </w:tr>
      <w:tr>
        <w:trPr>
          <w:trHeight w:val="344"/>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Directors and Named Executive Officers:</w:t>
            </w:r>
          </w:p>
        </w:tc>
        <w:tc>
          <w:tcPr>
            <w:tcW w:w="2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William C. Erbey</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19,430,189</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26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28.18%</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Ronald M. Faris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420,982</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w:t>
            </w: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Ronald J. Korn</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3,817</w:t>
            </w:r>
          </w:p>
        </w:tc>
        <w:tc>
          <w:tcPr>
            <w:tcW w:w="660" w:type="dxa"/>
            <w:vAlign w:val="bottom"/>
          </w:tcPr>
          <w:p>
            <w:pPr>
              <w:spacing w:after="0"/>
              <w:rPr>
                <w:sz w:val="14"/>
                <w:szCs w:val="14"/>
                <w:color w:val="auto"/>
              </w:rPr>
            </w:pP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William H. Lacy</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11,283</w:t>
            </w:r>
          </w:p>
        </w:tc>
        <w:tc>
          <w:tcPr>
            <w:tcW w:w="660" w:type="dxa"/>
            <w:vAlign w:val="bottom"/>
          </w:tcPr>
          <w:p>
            <w:pPr>
              <w:spacing w:after="0"/>
              <w:rPr>
                <w:sz w:val="14"/>
                <w:szCs w:val="14"/>
                <w:color w:val="auto"/>
              </w:rPr>
            </w:pP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W. Michael Linn</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61,314</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w:t>
            </w: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W.C. Martin</w:t>
            </w:r>
          </w:p>
        </w:tc>
        <w:tc>
          <w:tcPr>
            <w:tcW w:w="46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19,307</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w:t>
            </w: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Herbert A. Tasker</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12,322</w:t>
            </w:r>
          </w:p>
        </w:tc>
        <w:tc>
          <w:tcPr>
            <w:tcW w:w="660" w:type="dxa"/>
            <w:vAlign w:val="bottom"/>
          </w:tcPr>
          <w:p>
            <w:pPr>
              <w:spacing w:after="0"/>
              <w:rPr>
                <w:sz w:val="14"/>
                <w:szCs w:val="14"/>
                <w:color w:val="auto"/>
              </w:rPr>
            </w:pP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w w:val="97"/>
              </w:rPr>
              <w:t>Barry N. Wish</w:t>
            </w:r>
          </w:p>
        </w:tc>
        <w:tc>
          <w:tcPr>
            <w:tcW w:w="460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8,710,649</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w:t>
            </w:r>
          </w:p>
        </w:tc>
        <w:tc>
          <w:tcPr>
            <w:tcW w:w="26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12.78%</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Robert J. Leist, Jr.</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31,945</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w:t>
            </w: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Arthur D. Ringwald</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14,635</w:t>
            </w:r>
          </w:p>
        </w:tc>
        <w:tc>
          <w:tcPr>
            <w:tcW w:w="660" w:type="dxa"/>
            <w:vAlign w:val="bottom"/>
          </w:tcPr>
          <w:p>
            <w:pPr>
              <w:spacing w:after="0"/>
              <w:rPr>
                <w:sz w:val="14"/>
                <w:szCs w:val="14"/>
                <w:color w:val="auto"/>
              </w:rPr>
            </w:pP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Mark S. Zeidman</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171,615</w:t>
            </w:r>
          </w:p>
        </w:tc>
        <w:tc>
          <w:tcPr>
            <w:tcW w:w="6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268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w:t>
            </w:r>
          </w:p>
        </w:tc>
      </w:tr>
      <w:tr>
        <w:trPr>
          <w:trHeight w:val="344"/>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 as a Group (11 persons)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28,888,057</w:t>
            </w:r>
          </w:p>
        </w:tc>
        <w:tc>
          <w:tcPr>
            <w:tcW w:w="660" w:type="dxa"/>
            <w:vAlign w:val="bottom"/>
          </w:tcPr>
          <w:p>
            <w:pPr>
              <w:spacing w:after="0"/>
              <w:rPr>
                <w:sz w:val="24"/>
                <w:szCs w:val="24"/>
                <w:color w:val="auto"/>
              </w:rPr>
            </w:pPr>
          </w:p>
        </w:tc>
        <w:tc>
          <w:tcPr>
            <w:tcW w:w="268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41.59%</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w:t>
      </w:r>
    </w:p>
    <w:p>
      <w:pPr>
        <w:spacing w:after="0" w:line="176" w:lineRule="exact"/>
        <w:rPr>
          <w:sz w:val="20"/>
          <w:szCs w:val="20"/>
          <w:color w:val="auto"/>
        </w:rPr>
      </w:pPr>
    </w:p>
    <w:p>
      <w:pPr>
        <w:ind w:left="448" w:right="4460" w:hanging="448"/>
        <w:spacing w:after="0" w:line="242" w:lineRule="auto"/>
        <w:tabs>
          <w:tab w:leader="none" w:pos="4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table, an individual is considered the beneficial owner of shares of Common Stock if he or she directly or indirectly has or shares voting power or investment power, as defined in the rules promulgated under the Securities Exchange Act of 1934, as amended. Unless otherwise indicated, an individual has sole voting power and sole investment power with respect to the indicated shares.</w:t>
      </w:r>
    </w:p>
    <w:p>
      <w:pPr>
        <w:spacing w:after="0" w:line="176" w:lineRule="exact"/>
        <w:rPr>
          <w:rFonts w:ascii="Courier New" w:cs="Courier New" w:eastAsia="Courier New" w:hAnsi="Courier New"/>
          <w:sz w:val="15"/>
          <w:szCs w:val="15"/>
          <w:color w:val="auto"/>
        </w:rPr>
      </w:pPr>
    </w:p>
    <w:p>
      <w:pPr>
        <w:ind w:left="448" w:right="4460" w:hanging="448"/>
        <w:spacing w:after="0" w:line="267" w:lineRule="auto"/>
        <w:tabs>
          <w:tab w:leader="none" w:pos="4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filed with the Commission on February 2, 2004 by Becker Capital Management, Inc., an investment advisor registered under Section 203 of the Investment Advisors Act of</w:t>
      </w: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8"/>
          </w:cols>
          <w:pgMar w:left="232" w:top="461" w:right="139" w:bottom="1440" w:gutter="0" w:footer="0" w:header="0"/>
        </w:sectPr>
      </w:pPr>
    </w:p>
    <w:bookmarkStart w:id="11" w:name="page12"/>
    <w:bookmarkEnd w:id="11"/>
    <w:p>
      <w:pPr>
        <w:ind w:left="448" w:right="4120"/>
        <w:spacing w:after="0" w:line="274" w:lineRule="auto"/>
        <w:rPr>
          <w:sz w:val="20"/>
          <w:szCs w:val="20"/>
          <w:color w:val="auto"/>
        </w:rPr>
      </w:pPr>
      <w:r>
        <w:rPr>
          <w:rFonts w:ascii="Courier New" w:cs="Courier New" w:eastAsia="Courier New" w:hAnsi="Courier New"/>
          <w:sz w:val="14"/>
          <w:szCs w:val="14"/>
          <w:color w:val="auto"/>
        </w:rPr>
        <w:t>1940. Includes 3,090,400 shares as to which sole voting power is claimed, and 3,474,900 shares as to which sole dispositive power is claimed.</w:t>
      </w:r>
    </w:p>
    <w:p>
      <w:pPr>
        <w:spacing w:after="0" w:line="154" w:lineRule="exact"/>
        <w:rPr>
          <w:sz w:val="20"/>
          <w:szCs w:val="20"/>
          <w:color w:val="auto"/>
        </w:rPr>
      </w:pPr>
    </w:p>
    <w:p>
      <w:pPr>
        <w:ind w:left="448" w:right="3940"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a Schedule 13G/A filed with the Commission on February 6, 2004 by Dimensional Fund Advisors Inc., an investment advisor that acquired the shares on behalf of its clients. As to the 3,385,500 shares held, sole voting power and sole dispositive power is claimed on the entire amount.</w:t>
      </w:r>
    </w:p>
    <w:p>
      <w:pPr>
        <w:spacing w:after="0" w:line="175" w:lineRule="exact"/>
        <w:rPr>
          <w:rFonts w:ascii="Courier New" w:cs="Courier New" w:eastAsia="Courier New" w:hAnsi="Courier New"/>
          <w:sz w:val="15"/>
          <w:szCs w:val="15"/>
          <w:color w:val="auto"/>
        </w:rPr>
      </w:pPr>
    </w:p>
    <w:p>
      <w:pPr>
        <w:ind w:left="448" w:right="4020" w:hanging="448"/>
        <w:spacing w:after="0" w:line="263" w:lineRule="auto"/>
        <w:tabs>
          <w:tab w:leader="none" w:pos="4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13G/A filed with the Commission on February 9, 2004 by NewSouth Capital Management, Inc., an investment advisor registered under Section 203 of the Investment Advisors Act of 1940. Includes 3,283,078 shares as to which sole voting power is claimed, 27,000 shares as to which shared voting power is claimed, and 3,321,578 shares as to which sole dispositive power is claimed.</w:t>
      </w:r>
    </w:p>
    <w:p>
      <w:pPr>
        <w:spacing w:after="0" w:line="161" w:lineRule="exact"/>
        <w:rPr>
          <w:rFonts w:ascii="Courier New" w:cs="Courier New" w:eastAsia="Courier New" w:hAnsi="Courier New"/>
          <w:sz w:val="14"/>
          <w:szCs w:val="14"/>
          <w:color w:val="auto"/>
        </w:rPr>
      </w:pPr>
    </w:p>
    <w:p>
      <w:pPr>
        <w:ind w:left="448" w:right="3940" w:hanging="448"/>
        <w:spacing w:after="0" w:line="242"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13,138,351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805,554 shares, which are exercisable at or within 60 days after March 18, 2004.</w:t>
      </w:r>
    </w:p>
    <w:p>
      <w:pPr>
        <w:spacing w:after="0" w:line="178" w:lineRule="exact"/>
        <w:rPr>
          <w:rFonts w:ascii="Courier New" w:cs="Courier New" w:eastAsia="Courier New" w:hAnsi="Courier New"/>
          <w:sz w:val="15"/>
          <w:szCs w:val="15"/>
          <w:color w:val="auto"/>
        </w:rPr>
      </w:pPr>
    </w:p>
    <w:p>
      <w:pPr>
        <w:ind w:left="448" w:right="4120" w:hanging="448"/>
        <w:spacing w:after="0" w:line="241" w:lineRule="auto"/>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25,680 shares held jointly with spouse. Also includes options to acquire 341,140 shares, which are exercisable at or within 60 days after March 18, 2004.</w:t>
      </w:r>
    </w:p>
    <w:p>
      <w:pPr>
        <w:spacing w:after="0" w:line="176" w:lineRule="exact"/>
        <w:rPr>
          <w:rFonts w:ascii="Courier New" w:cs="Courier New" w:eastAsia="Courier New" w:hAnsi="Courier New"/>
          <w:sz w:val="15"/>
          <w:szCs w:val="15"/>
          <w:color w:val="auto"/>
        </w:rPr>
      </w:pPr>
    </w:p>
    <w:p>
      <w:pPr>
        <w:ind w:left="448" w:right="3940" w:hanging="448"/>
        <w:spacing w:after="0"/>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 shares held by William M. Linn, II Et Al Trust, of which Mr. Linn is the custodian for his minor children.</w:t>
      </w:r>
    </w:p>
    <w:p>
      <w:pPr>
        <w:spacing w:after="0" w:line="176" w:lineRule="exact"/>
        <w:rPr>
          <w:rFonts w:ascii="Courier New" w:cs="Courier New" w:eastAsia="Courier New" w:hAnsi="Courier New"/>
          <w:sz w:val="15"/>
          <w:szCs w:val="15"/>
          <w:color w:val="auto"/>
        </w:rPr>
      </w:pPr>
    </w:p>
    <w:p>
      <w:pPr>
        <w:ind w:left="448" w:right="4920" w:hanging="448"/>
        <w:spacing w:after="0" w:line="274" w:lineRule="auto"/>
        <w:tabs>
          <w:tab w:leader="none" w:pos="4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5,110 shares held by the Martin &amp; Associates Management Consultants, Inc. Defined Contribution Pension Plan &amp; Trust.</w:t>
      </w:r>
    </w:p>
    <w:p>
      <w:pPr>
        <w:spacing w:after="0" w:line="153" w:lineRule="exact"/>
        <w:rPr>
          <w:rFonts w:ascii="Courier New" w:cs="Courier New" w:eastAsia="Courier New" w:hAnsi="Courier New"/>
          <w:sz w:val="14"/>
          <w:szCs w:val="14"/>
          <w:color w:val="auto"/>
        </w:rPr>
      </w:pPr>
    </w:p>
    <w:p>
      <w:pPr>
        <w:jc w:val="both"/>
        <w:ind w:left="448" w:right="3940" w:hanging="448"/>
        <w:spacing w:after="0" w:line="260" w:lineRule="auto"/>
        <w:tabs>
          <w:tab w:leader="none" w:pos="4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7,972,305 shares held by Wishco, Inc., a corporation controlled by Barry N. Wish pursuant to his ownership of 93% of the Common Stock thereof; 351,940 shares held by B.N.W. Partners, a Delaware partnership of which the partners are Mr. Wish and B.N.W., Inc., a corporation wholly-owned by Mr.</w:t>
      </w:r>
    </w:p>
    <w:p>
      <w:pPr>
        <w:ind w:left="448" w:right="41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Wish; and 83,000 shares held by the Barry Wish Family Foundation, Inc., a charitable foundation of which Mr. Wish is a director.</w:t>
      </w:r>
    </w:p>
    <w:p>
      <w:pPr>
        <w:spacing w:after="0" w:line="176" w:lineRule="exact"/>
        <w:rPr>
          <w:rFonts w:ascii="Courier New" w:cs="Courier New" w:eastAsia="Courier New" w:hAnsi="Courier New"/>
          <w:sz w:val="14"/>
          <w:szCs w:val="14"/>
          <w:color w:val="auto"/>
        </w:rPr>
      </w:pPr>
    </w:p>
    <w:p>
      <w:pPr>
        <w:ind w:left="448" w:right="4380" w:hanging="448"/>
        <w:spacing w:after="0"/>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24,195 shares, which are exercisable at or within 60 days after March 18, 2004.</w:t>
      </w:r>
    </w:p>
    <w:p>
      <w:pPr>
        <w:spacing w:after="0" w:line="176" w:lineRule="exact"/>
        <w:rPr>
          <w:rFonts w:ascii="Courier New" w:cs="Courier New" w:eastAsia="Courier New" w:hAnsi="Courier New"/>
          <w:sz w:val="15"/>
          <w:szCs w:val="15"/>
          <w:color w:val="auto"/>
        </w:rPr>
      </w:pPr>
    </w:p>
    <w:p>
      <w:pPr>
        <w:ind w:left="448" w:right="4300" w:hanging="448"/>
        <w:spacing w:after="0"/>
        <w:tabs>
          <w:tab w:leader="none" w:pos="4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acquire 136,193 shares, which are exercisable at or within 60 days after March 18, 2004.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Equity Compensation Plan Information</w:t>
      </w:r>
    </w:p>
    <w:p>
      <w:pPr>
        <w:spacing w:after="0" w:line="176" w:lineRule="exact"/>
        <w:rPr>
          <w:sz w:val="20"/>
          <w:szCs w:val="20"/>
          <w:color w:val="auto"/>
        </w:rPr>
      </w:pPr>
    </w:p>
    <w:p>
      <w:pPr>
        <w:ind w:left="8" w:right="4020"/>
        <w:spacing w:after="0" w:line="242" w:lineRule="auto"/>
        <w:rPr>
          <w:sz w:val="20"/>
          <w:szCs w:val="20"/>
          <w:color w:val="auto"/>
        </w:rPr>
      </w:pPr>
      <w:r>
        <w:rPr>
          <w:rFonts w:ascii="Courier New" w:cs="Courier New" w:eastAsia="Courier New" w:hAnsi="Courier New"/>
          <w:sz w:val="15"/>
          <w:szCs w:val="15"/>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ectPr>
          <w:pgSz w:w="11900" w:h="16838" w:orient="portrait"/>
          <w:cols w:equalWidth="0" w:num="1">
            <w:col w:w="11088"/>
          </w:cols>
          <w:pgMar w:left="232" w:top="463" w:right="579" w:bottom="5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Category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 securities to be issued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exercise of outstanding options,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warrants and rights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exercise price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options, warrants and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3848" w:space="0"/>
            <w:col w:w="3580" w:space="180"/>
            <w:col w:w="3480"/>
          </w:cols>
          <w:pgMar w:left="232" w:top="463" w:right="579" w:bottom="506"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Equity compensation plans</w:t>
      </w:r>
    </w:p>
    <w:p>
      <w:pPr>
        <w:spacing w:after="0" w:line="20" w:lineRule="exact"/>
        <w:rPr>
          <w:sz w:val="20"/>
          <w:szCs w:val="20"/>
          <w:color w:val="auto"/>
        </w:rPr>
      </w:pPr>
      <w:r>
        <w:rPr>
          <w:sz w:val="20"/>
          <w:szCs w:val="20"/>
          <w:color w:val="auto"/>
        </w:rPr>
        <w:br w:type="column"/>
      </w:r>
    </w:p>
    <w:p>
      <w:pPr>
        <w:jc w:val="center"/>
        <w:ind w:right="2400"/>
        <w:spacing w:after="0"/>
        <w:rPr>
          <w:sz w:val="20"/>
          <w:szCs w:val="20"/>
          <w:color w:val="auto"/>
        </w:rPr>
      </w:pPr>
      <w:r>
        <w:rPr>
          <w:rFonts w:ascii="Courier New" w:cs="Courier New" w:eastAsia="Courier New" w:hAnsi="Courier New"/>
          <w:sz w:val="15"/>
          <w:szCs w:val="15"/>
          <w:color w:val="auto"/>
        </w:rPr>
        <w:t>4,581,370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$8.08</w:t>
      </w:r>
    </w:p>
    <w:p>
      <w:pPr>
        <w:spacing w:after="0" w:line="4" w:lineRule="exact"/>
        <w:rPr>
          <w:sz w:val="20"/>
          <w:szCs w:val="20"/>
          <w:color w:val="auto"/>
        </w:rPr>
      </w:pPr>
    </w:p>
    <w:p>
      <w:pPr>
        <w:sectPr>
          <w:pgSz w:w="11900" w:h="16838" w:orient="portrait"/>
          <w:cols w:equalWidth="0" w:num="3">
            <w:col w:w="4728" w:space="720"/>
            <w:col w:w="3220" w:space="720"/>
            <w:col w:w="1700"/>
          </w:cols>
          <w:pgMar w:left="232" w:top="463" w:right="579" w:bottom="506"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approved by security holders</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Equity compensation plans</w:t>
      </w:r>
    </w:p>
    <w:p>
      <w:pPr>
        <w:sectPr>
          <w:pgSz w:w="11900" w:h="16838" w:orient="portrait"/>
          <w:cols w:equalWidth="0" w:num="1">
            <w:col w:w="11088"/>
          </w:cols>
          <w:pgMar w:left="232" w:top="463" w:right="579" w:bottom="506" w:gutter="0" w:footer="0" w:header="0"/>
          <w:type w:val="continuous"/>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ectPr>
          <w:pgSz w:w="11900" w:h="16838" w:orient="portrait"/>
          <w:cols w:equalWidth="0" w:num="3">
            <w:col w:w="5448" w:space="720"/>
            <w:col w:w="2860" w:space="720"/>
            <w:col w:w="1340"/>
          </w:cols>
          <w:pgMar w:left="232" w:top="463" w:right="579" w:bottom="506"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approved by security holders</w:t>
      </w:r>
    </w:p>
    <w:p>
      <w:pPr>
        <w:sectPr>
          <w:pgSz w:w="11900" w:h="16838" w:orient="portrait"/>
          <w:cols w:equalWidth="0" w:num="1">
            <w:col w:w="11088"/>
          </w:cols>
          <w:pgMar w:left="232" w:top="463" w:right="579" w:bottom="506" w:gutter="0" w:footer="0" w:header="0"/>
          <w:type w:val="continuous"/>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4,581,370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$8.08</w:t>
      </w:r>
    </w:p>
    <w:p>
      <w:pPr>
        <w:spacing w:after="0" w:line="200" w:lineRule="exact"/>
        <w:rPr>
          <w:sz w:val="20"/>
          <w:szCs w:val="20"/>
          <w:color w:val="auto"/>
        </w:rPr>
      </w:pPr>
    </w:p>
    <w:p>
      <w:pPr>
        <w:sectPr>
          <w:pgSz w:w="11900" w:h="16838" w:orient="portrait"/>
          <w:cols w:equalWidth="0" w:num="3">
            <w:col w:w="3848" w:space="180"/>
            <w:col w:w="3400" w:space="180"/>
            <w:col w:w="3480"/>
          </w:cols>
          <w:pgMar w:left="232" w:top="463" w:right="579" w:bottom="506"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[Cont'd]</w:t>
      </w:r>
    </w:p>
    <w:p>
      <w:pPr>
        <w:sectPr>
          <w:pgSz w:w="11900" w:h="16838" w:orient="portrait"/>
          <w:cols w:equalWidth="0" w:num="1">
            <w:col w:w="11088"/>
          </w:cols>
          <w:pgMar w:left="232" w:top="463" w:right="579" w:bottom="506" w:gutter="0" w:footer="0" w:header="0"/>
          <w:type w:val="continuous"/>
        </w:sectPr>
      </w:pP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Plan Category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Equity compensation plans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approved by security holders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Number of securities remaining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available for future issuance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6,293,554</w:t>
      </w:r>
    </w:p>
    <w:p>
      <w:pPr>
        <w:spacing w:after="0" w:line="348" w:lineRule="exact"/>
        <w:rPr>
          <w:sz w:val="20"/>
          <w:szCs w:val="20"/>
          <w:color w:val="auto"/>
        </w:rPr>
      </w:pPr>
    </w:p>
    <w:p>
      <w:pPr>
        <w:sectPr>
          <w:pgSz w:w="11900" w:h="16838" w:orient="portrait"/>
          <w:cols w:equalWidth="0" w:num="2">
            <w:col w:w="3848" w:space="180"/>
            <w:col w:w="7060"/>
          </w:cols>
          <w:pgMar w:left="232" w:top="463" w:right="579" w:bottom="506"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Equity compensation plans</w:t>
      </w:r>
    </w:p>
    <w:p>
      <w:pPr>
        <w:sectPr>
          <w:pgSz w:w="11900" w:h="16838" w:orient="portrait"/>
          <w:cols w:equalWidth="0" w:num="1">
            <w:col w:w="11088"/>
          </w:cols>
          <w:pgMar w:left="232" w:top="463" w:right="579" w:bottom="506" w:gutter="0" w:footer="0" w:header="0"/>
          <w:type w:val="continuous"/>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ectPr>
          <w:pgSz w:w="11900" w:h="16838" w:orient="portrait"/>
          <w:cols w:equalWidth="0" w:num="2">
            <w:col w:w="5448" w:space="720"/>
            <w:col w:w="4920"/>
          </w:cols>
          <w:pgMar w:left="232" w:top="463" w:right="579" w:bottom="506"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approved by security holders</w:t>
      </w:r>
    </w:p>
    <w:p>
      <w:pPr>
        <w:sectPr>
          <w:pgSz w:w="11900" w:h="16838" w:orient="portrait"/>
          <w:cols w:equalWidth="0" w:num="1">
            <w:col w:w="11088"/>
          </w:cols>
          <w:pgMar w:left="232" w:top="463" w:right="579" w:bottom="506" w:gutter="0" w:footer="0" w:header="0"/>
          <w:type w:val="continuous"/>
        </w:sectPr>
      </w:pP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6,293,554</w:t>
      </w:r>
    </w:p>
    <w:p>
      <w:pPr>
        <w:spacing w:after="0" w:line="200" w:lineRule="exact"/>
        <w:rPr>
          <w:sz w:val="20"/>
          <w:szCs w:val="20"/>
          <w:color w:val="auto"/>
        </w:rPr>
      </w:pPr>
    </w:p>
    <w:p>
      <w:pPr>
        <w:sectPr>
          <w:pgSz w:w="11900" w:h="16838" w:orient="portrait"/>
          <w:cols w:equalWidth="0" w:num="2">
            <w:col w:w="3848" w:space="180"/>
            <w:col w:w="7060"/>
          </w:cols>
          <w:pgMar w:left="232" w:top="463" w:right="579" w:bottom="506" w:gutter="0" w:footer="0" w:header="0"/>
          <w:type w:val="continuous"/>
        </w:sectPr>
      </w:pPr>
    </w:p>
    <w:p>
      <w:pPr>
        <w:spacing w:after="0" w:line="1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088"/>
          </w:cols>
          <w:pgMar w:left="232" w:top="463" w:right="579" w:bottom="506" w:gutter="0" w:footer="0" w:header="0"/>
          <w:type w:val="continuous"/>
        </w:sectPr>
      </w:pPr>
    </w:p>
    <w:bookmarkStart w:id="12" w:name="page13"/>
    <w:bookmarkEnd w:id="12"/>
    <w:p>
      <w:pPr>
        <w:ind w:left="8"/>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6" w:lineRule="exact"/>
        <w:rPr>
          <w:sz w:val="20"/>
          <w:szCs w:val="20"/>
          <w:color w:val="auto"/>
        </w:rPr>
      </w:pPr>
    </w:p>
    <w:p>
      <w:pPr>
        <w:ind w:left="8" w:right="3760"/>
        <w:spacing w:after="0" w:line="242" w:lineRule="auto"/>
        <w:rPr>
          <w:sz w:val="20"/>
          <w:szCs w:val="20"/>
          <w:color w:val="auto"/>
        </w:rPr>
      </w:pPr>
      <w:r>
        <w:rPr>
          <w:rFonts w:ascii="Courier New" w:cs="Courier New" w:eastAsia="Courier New" w:hAnsi="Courier New"/>
          <w:sz w:val="15"/>
          <w:szCs w:val="15"/>
          <w:color w:val="auto"/>
        </w:rPr>
        <w:t>Section 16(a) of the Exchange Act requires Ocwen's executive officers, directors, and persons who own more than 10% of the Common Stock, to file reports of ownership and changes in ownership with the Securities and Exchange Commission. Officers, directors and greater than 10% shareholders are required by Securities and Exchange Commission regulations to furnish Ocwen with copies of all Section 16(a) forms they file.</w:t>
      </w:r>
    </w:p>
    <w:p>
      <w:pPr>
        <w:spacing w:after="0" w:line="176" w:lineRule="exact"/>
        <w:rPr>
          <w:sz w:val="20"/>
          <w:szCs w:val="20"/>
          <w:color w:val="auto"/>
        </w:rPr>
      </w:pPr>
    </w:p>
    <w:p>
      <w:pPr>
        <w:ind w:left="8" w:right="3580"/>
        <w:spacing w:after="0" w:line="242" w:lineRule="auto"/>
        <w:rPr>
          <w:sz w:val="20"/>
          <w:szCs w:val="20"/>
          <w:color w:val="auto"/>
        </w:rPr>
      </w:pPr>
      <w:r>
        <w:rPr>
          <w:rFonts w:ascii="Courier New" w:cs="Courier New" w:eastAsia="Courier New" w:hAnsi="Courier New"/>
          <w:sz w:val="15"/>
          <w:szCs w:val="15"/>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2003, with the exception of one late filing with respect to one transaction by our executive officer, Robert J. Leist, Jr.</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Compensation Table</w:t>
      </w:r>
    </w:p>
    <w:p>
      <w:pPr>
        <w:spacing w:after="0" w:line="176" w:lineRule="exact"/>
        <w:rPr>
          <w:sz w:val="20"/>
          <w:szCs w:val="20"/>
          <w:color w:val="auto"/>
        </w:rPr>
      </w:pPr>
    </w:p>
    <w:p>
      <w:pPr>
        <w:jc w:val="both"/>
        <w:ind w:left="8" w:right="3660"/>
        <w:spacing w:after="0" w:line="241" w:lineRule="auto"/>
        <w:rPr>
          <w:sz w:val="20"/>
          <w:szCs w:val="20"/>
          <w:color w:val="auto"/>
        </w:rPr>
      </w:pPr>
      <w:r>
        <w:rPr>
          <w:rFonts w:ascii="Courier New" w:cs="Courier New" w:eastAsia="Courier New" w:hAnsi="Courier New"/>
          <w:sz w:val="15"/>
          <w:szCs w:val="15"/>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Annual Compensation</w:t>
            </w:r>
          </w:p>
        </w:tc>
      </w:tr>
      <w:tr>
        <w:trPr>
          <w:trHeight w:val="172"/>
        </w:trPr>
        <w:tc>
          <w:tcPr>
            <w:tcW w:w="3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Name &amp; Position</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Year</w:t>
            </w:r>
          </w:p>
        </w:tc>
        <w:tc>
          <w:tcPr>
            <w:tcW w:w="16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Salary (1)</w:t>
            </w:r>
          </w:p>
        </w:tc>
        <w:tc>
          <w:tcPr>
            <w:tcW w:w="164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Bonus (2)</w:t>
            </w:r>
          </w:p>
        </w:tc>
      </w:tr>
      <w:tr>
        <w:trPr>
          <w:trHeight w:val="172"/>
        </w:trPr>
        <w:tc>
          <w:tcPr>
            <w:tcW w:w="8660" w:type="dxa"/>
            <w:vAlign w:val="bottom"/>
            <w:gridSpan w:val="4"/>
          </w:tcPr>
          <w:p>
            <w:pPr>
              <w:spacing w:after="0"/>
              <w:rPr>
                <w:sz w:val="20"/>
                <w:szCs w:val="20"/>
                <w:color w:val="auto"/>
              </w:rPr>
            </w:pPr>
            <w:r>
              <w:rPr>
                <w:rFonts w:ascii="Courier New" w:cs="Courier New" w:eastAsia="Courier New" w:hAnsi="Courier New"/>
                <w:sz w:val="15"/>
                <w:szCs w:val="15"/>
                <w:color w:val="auto"/>
                <w:w w:val="98"/>
              </w:rPr>
              <w:t>- -------------------------------------------------- ----------- --------------- ----------------</w:t>
            </w:r>
          </w:p>
        </w:tc>
      </w:tr>
      <w:tr>
        <w:trPr>
          <w:trHeight w:val="516"/>
        </w:trPr>
        <w:tc>
          <w:tcPr>
            <w:tcW w:w="352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$337,500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$338,750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$360,000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$351,000</w:t>
            </w:r>
          </w:p>
        </w:tc>
      </w:tr>
      <w:tr>
        <w:trPr>
          <w:trHeight w:val="344"/>
        </w:trPr>
        <w:tc>
          <w:tcPr>
            <w:tcW w:w="3520" w:type="dxa"/>
            <w:vAlign w:val="bottom"/>
          </w:tcPr>
          <w:p>
            <w:pPr>
              <w:spacing w:after="0"/>
              <w:rPr>
                <w:sz w:val="24"/>
                <w:szCs w:val="24"/>
                <w:color w:val="auto"/>
              </w:rPr>
            </w:pP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$321,538</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$354,836</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$300,000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$317,813</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$292,308</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$297,673</w:t>
            </w: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Arthur M. Ringwald (8)</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$300,085</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President and CEO of</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$300,000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$185,625</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Ocwen Technology Xchange</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$220,385</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$262,577</w:t>
            </w: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$357,959</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$186,781</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Senior Vice President and</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$357,731</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$148,955</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$355,000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$124,250</w:t>
            </w: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$220,177</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$58,547</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2002</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$202,730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$46,545</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Chief Accounting Officer</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2001</w:t>
            </w:r>
          </w:p>
        </w:tc>
        <w:tc>
          <w:tcPr>
            <w:tcW w:w="16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$189,000</w:t>
            </w:r>
          </w:p>
        </w:tc>
        <w:tc>
          <w:tcPr>
            <w:tcW w:w="16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$50,625</w:t>
            </w:r>
          </w:p>
        </w:tc>
      </w:tr>
    </w:tbl>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[Cont'd]</w:t>
            </w:r>
          </w:p>
        </w:tc>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2"/>
        </w:trPr>
        <w:tc>
          <w:tcPr>
            <w:tcW w:w="4680" w:type="dxa"/>
            <w:vAlign w:val="bottom"/>
          </w:tcPr>
          <w:p>
            <w:pPr>
              <w:spacing w:after="0"/>
              <w:rPr>
                <w:sz w:val="14"/>
                <w:szCs w:val="14"/>
                <w:color w:val="auto"/>
              </w:rPr>
            </w:pPr>
          </w:p>
        </w:tc>
        <w:tc>
          <w:tcPr>
            <w:tcW w:w="6040" w:type="dxa"/>
            <w:vAlign w:val="bottom"/>
            <w:gridSpan w:val="4"/>
          </w:tcPr>
          <w:p>
            <w:pPr>
              <w:ind w:left="1580"/>
              <w:spacing w:after="0"/>
              <w:rPr>
                <w:sz w:val="20"/>
                <w:szCs w:val="20"/>
                <w:color w:val="auto"/>
              </w:rPr>
            </w:pPr>
            <w:r>
              <w:rPr>
                <w:rFonts w:ascii="Courier New" w:cs="Courier New" w:eastAsia="Courier New" w:hAnsi="Courier New"/>
                <w:sz w:val="15"/>
                <w:szCs w:val="15"/>
                <w:color w:val="auto"/>
              </w:rPr>
              <w:t>Long-Term Compensation Awards</w:t>
            </w:r>
          </w:p>
        </w:tc>
      </w:tr>
      <w:tr>
        <w:trPr>
          <w:trHeight w:val="172"/>
        </w:trPr>
        <w:tc>
          <w:tcPr>
            <w:tcW w:w="4680" w:type="dxa"/>
            <w:vAlign w:val="bottom"/>
          </w:tcPr>
          <w:p>
            <w:pPr>
              <w:spacing w:after="0"/>
              <w:rPr>
                <w:sz w:val="14"/>
                <w:szCs w:val="14"/>
                <w:color w:val="auto"/>
              </w:rPr>
            </w:pPr>
          </w:p>
        </w:tc>
        <w:tc>
          <w:tcPr>
            <w:tcW w:w="60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Courier New" w:cs="Courier New" w:eastAsia="Courier New" w:hAnsi="Courier New"/>
                <w:sz w:val="15"/>
                <w:szCs w:val="15"/>
                <w:color w:val="auto"/>
              </w:rPr>
              <w:t>Restricted Stock</w:t>
            </w:r>
          </w:p>
        </w:tc>
        <w:tc>
          <w:tcPr>
            <w:tcW w:w="148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Securities</w:t>
            </w:r>
          </w:p>
        </w:tc>
        <w:tc>
          <w:tcPr>
            <w:tcW w:w="58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2"/>
        </w:trPr>
        <w:tc>
          <w:tcPr>
            <w:tcW w:w="4680" w:type="dxa"/>
            <w:vAlign w:val="bottom"/>
          </w:tcPr>
          <w:p>
            <w:pPr>
              <w:spacing w:after="0"/>
              <w:rPr>
                <w:sz w:val="14"/>
                <w:szCs w:val="14"/>
                <w:color w:val="auto"/>
              </w:rPr>
            </w:pPr>
          </w:p>
        </w:tc>
        <w:tc>
          <w:tcPr>
            <w:tcW w:w="1840" w:type="dxa"/>
            <w:vAlign w:val="bottom"/>
          </w:tcPr>
          <w:p>
            <w:pPr>
              <w:ind w:left="240"/>
              <w:spacing w:after="0"/>
              <w:rPr>
                <w:sz w:val="20"/>
                <w:szCs w:val="20"/>
                <w:color w:val="auto"/>
              </w:rPr>
            </w:pPr>
            <w:r>
              <w:rPr>
                <w:rFonts w:ascii="Courier New" w:cs="Courier New" w:eastAsia="Courier New" w:hAnsi="Courier New"/>
                <w:sz w:val="15"/>
                <w:szCs w:val="15"/>
                <w:color w:val="auto"/>
              </w:rPr>
              <w:t>Restricted Stock</w:t>
            </w:r>
          </w:p>
        </w:tc>
        <w:tc>
          <w:tcPr>
            <w:tcW w:w="1480" w:type="dxa"/>
            <w:vAlign w:val="bottom"/>
          </w:tcPr>
          <w:p>
            <w:pPr>
              <w:jc w:val="center"/>
              <w:ind w:left="425"/>
              <w:spacing w:after="0"/>
              <w:rPr>
                <w:sz w:val="20"/>
                <w:szCs w:val="20"/>
                <w:color w:val="auto"/>
              </w:rPr>
            </w:pPr>
            <w:r>
              <w:rPr>
                <w:rFonts w:ascii="Courier New" w:cs="Courier New" w:eastAsia="Courier New" w:hAnsi="Courier New"/>
                <w:sz w:val="15"/>
                <w:szCs w:val="15"/>
                <w:color w:val="auto"/>
                <w:w w:val="99"/>
              </w:rPr>
              <w:t>Underlying</w:t>
            </w:r>
          </w:p>
        </w:tc>
        <w:tc>
          <w:tcPr>
            <w:tcW w:w="580" w:type="dxa"/>
            <w:vAlign w:val="bottom"/>
          </w:tcPr>
          <w:p>
            <w:pPr>
              <w:spacing w:after="0"/>
              <w:rPr>
                <w:sz w:val="14"/>
                <w:szCs w:val="14"/>
                <w:color w:val="auto"/>
              </w:rPr>
            </w:pPr>
          </w:p>
        </w:tc>
        <w:tc>
          <w:tcPr>
            <w:tcW w:w="2140" w:type="dxa"/>
            <w:vAlign w:val="bottom"/>
          </w:tcPr>
          <w:p>
            <w:pPr>
              <w:ind w:left="540"/>
              <w:spacing w:after="0"/>
              <w:rPr>
                <w:sz w:val="20"/>
                <w:szCs w:val="20"/>
                <w:color w:val="auto"/>
              </w:rPr>
            </w:pPr>
            <w:r>
              <w:rPr>
                <w:rFonts w:ascii="Courier New" w:cs="Courier New" w:eastAsia="Courier New" w:hAnsi="Courier New"/>
                <w:sz w:val="15"/>
                <w:szCs w:val="15"/>
                <w:color w:val="auto"/>
              </w:rPr>
              <w:t>All Other</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Name &amp; Position</w:t>
            </w:r>
          </w:p>
        </w:tc>
        <w:tc>
          <w:tcPr>
            <w:tcW w:w="1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Awards ($) (3)</w:t>
            </w:r>
          </w:p>
        </w:tc>
        <w:tc>
          <w:tcPr>
            <w:tcW w:w="206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Options (#) (4)(5)</w:t>
            </w:r>
          </w:p>
        </w:tc>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Compensation (6)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6040" w:type="dxa"/>
            <w:vAlign w:val="bottom"/>
            <w:gridSpan w:val="4"/>
          </w:tcPr>
          <w:p>
            <w:pPr>
              <w:ind w:left="240"/>
              <w:spacing w:after="0"/>
              <w:rPr>
                <w:sz w:val="20"/>
                <w:szCs w:val="20"/>
                <w:color w:val="auto"/>
              </w:rPr>
            </w:pPr>
            <w:r>
              <w:rPr>
                <w:rFonts w:ascii="Courier New" w:cs="Courier New" w:eastAsia="Courier New" w:hAnsi="Courier New"/>
                <w:sz w:val="15"/>
                <w:szCs w:val="15"/>
                <w:color w:val="auto"/>
                <w:w w:val="98"/>
              </w:rPr>
              <w:t>--------------------- -------------------- ----------------------</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$168,750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63,679</w:t>
            </w:r>
          </w:p>
        </w:tc>
        <w:tc>
          <w:tcPr>
            <w:tcW w:w="580" w:type="dxa"/>
            <w:vAlign w:val="bottom"/>
          </w:tcPr>
          <w:p>
            <w:pPr>
              <w:spacing w:after="0"/>
              <w:rPr>
                <w:sz w:val="24"/>
                <w:szCs w:val="2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$271,000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84,688</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141,475</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$2,940</w:t>
            </w:r>
          </w:p>
        </w:tc>
      </w:tr>
      <w:tr>
        <w:trPr>
          <w:trHeight w:val="344"/>
        </w:trPr>
        <w:tc>
          <w:tcPr>
            <w:tcW w:w="4680" w:type="dxa"/>
            <w:vAlign w:val="bottom"/>
          </w:tcPr>
          <w:p>
            <w:pPr>
              <w:spacing w:after="0"/>
              <w:rPr>
                <w:sz w:val="24"/>
                <w:szCs w:val="24"/>
                <w:color w:val="auto"/>
              </w:rPr>
            </w:pP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$177,418</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66,950</w:t>
            </w:r>
          </w:p>
        </w:tc>
        <w:tc>
          <w:tcPr>
            <w:tcW w:w="580" w:type="dxa"/>
            <w:vAlign w:val="bottom"/>
          </w:tcPr>
          <w:p>
            <w:pPr>
              <w:spacing w:after="0"/>
              <w:rPr>
                <w:sz w:val="24"/>
                <w:szCs w:val="2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$254,250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79,452</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319,981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$2,973</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Arthur M. Ringwald (8)</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President and CEO of</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$148,500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46,406</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Ocwen Technology Xchange</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60,491</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$62,527 (9)</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$93,391</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35,242</w:t>
            </w:r>
          </w:p>
        </w:tc>
        <w:tc>
          <w:tcPr>
            <w:tcW w:w="580" w:type="dxa"/>
            <w:vAlign w:val="bottom"/>
          </w:tcPr>
          <w:p>
            <w:pPr>
              <w:spacing w:after="0"/>
              <w:rPr>
                <w:sz w:val="24"/>
                <w:szCs w:val="2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Senior Vice President and</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$119,163</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37,239</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90,081</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$2,947</w:t>
            </w:r>
          </w:p>
        </w:tc>
      </w:tr>
      <w:tr>
        <w:trPr>
          <w:trHeight w:val="344"/>
        </w:trPr>
        <w:tc>
          <w:tcPr>
            <w:tcW w:w="468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$29,274</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11,047</w:t>
            </w:r>
          </w:p>
        </w:tc>
        <w:tc>
          <w:tcPr>
            <w:tcW w:w="580" w:type="dxa"/>
            <w:vAlign w:val="bottom"/>
          </w:tcPr>
          <w:p>
            <w:pPr>
              <w:spacing w:after="0"/>
              <w:rPr>
                <w:sz w:val="24"/>
                <w:szCs w:val="2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Vice President and</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$37,236</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11,636</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Chief Accounting Officer</w:t>
            </w:r>
          </w:p>
        </w:tc>
        <w:tc>
          <w:tcPr>
            <w:tcW w:w="18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20,405</w:t>
            </w:r>
          </w:p>
        </w:tc>
        <w:tc>
          <w:tcPr>
            <w:tcW w:w="580" w:type="dxa"/>
            <w:vAlign w:val="bottom"/>
          </w:tcPr>
          <w:p>
            <w:pPr>
              <w:spacing w:after="0"/>
              <w:rPr>
                <w:sz w:val="14"/>
                <w:szCs w:val="14"/>
                <w:color w:val="auto"/>
              </w:rPr>
            </w:pPr>
          </w:p>
        </w:tc>
        <w:tc>
          <w:tcPr>
            <w:tcW w:w="2140" w:type="dxa"/>
            <w:vAlign w:val="bottom"/>
          </w:tcPr>
          <w:p>
            <w:pPr>
              <w:ind w:left="800"/>
              <w:spacing w:after="0"/>
              <w:rPr>
                <w:sz w:val="20"/>
                <w:szCs w:val="20"/>
                <w:color w:val="auto"/>
              </w:rPr>
            </w:pPr>
            <w:r>
              <w:rPr>
                <w:rFonts w:ascii="Courier New" w:cs="Courier New" w:eastAsia="Courier New" w:hAnsi="Courier New"/>
                <w:sz w:val="15"/>
                <w:szCs w:val="15"/>
                <w:color w:val="auto"/>
              </w:rPr>
              <w:t>$3,400</w:t>
            </w:r>
          </w:p>
        </w:tc>
      </w:tr>
    </w:tbl>
    <w:p>
      <w:pPr>
        <w:spacing w:after="0" w:line="346" w:lineRule="exact"/>
        <w:rPr>
          <w:sz w:val="20"/>
          <w:szCs w:val="20"/>
          <w:color w:val="auto"/>
        </w:rPr>
      </w:pPr>
    </w:p>
    <w:p>
      <w:pPr>
        <w:ind w:left="448"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amounts paid in 2003.</w:t>
      </w:r>
    </w:p>
    <w:p>
      <w:pPr>
        <w:spacing w:after="0" w:line="175" w:lineRule="exact"/>
        <w:rPr>
          <w:rFonts w:ascii="Courier New" w:cs="Courier New" w:eastAsia="Courier New" w:hAnsi="Courier New"/>
          <w:sz w:val="15"/>
          <w:szCs w:val="15"/>
          <w:color w:val="auto"/>
        </w:rPr>
      </w:pPr>
    </w:p>
    <w:p>
      <w:pPr>
        <w:ind w:left="448" w:right="3760" w:hanging="448"/>
        <w:spacing w:after="0" w:line="241"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2003, 2002, and 2001, consists of bonuses awarded pursuant to Ocwen's 1998 Annual Incentive Plan, as amended, in the first quarter of the following year for services rendered in the years indicated.</w:t>
      </w:r>
    </w:p>
    <w:p>
      <w:pPr>
        <w:spacing w:after="0" w:line="176" w:lineRule="exact"/>
        <w:rPr>
          <w:rFonts w:ascii="Courier New" w:cs="Courier New" w:eastAsia="Courier New" w:hAnsi="Courier New"/>
          <w:sz w:val="15"/>
          <w:szCs w:val="15"/>
          <w:color w:val="auto"/>
        </w:rPr>
      </w:pPr>
    </w:p>
    <w:p>
      <w:pPr>
        <w:ind w:left="448" w:right="3580" w:hanging="448"/>
        <w:spacing w:after="0" w:line="241" w:lineRule="auto"/>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award is a portion of the bonuses awarded in the first quarter of 2004 for services rendered in 2003 pursuant to Ocwen's 1998 Annual Incentive Plan, as amended.</w:t>
      </w:r>
    </w:p>
    <w:p>
      <w:pPr>
        <w:spacing w:after="0" w:line="176" w:lineRule="exact"/>
        <w:rPr>
          <w:rFonts w:ascii="Courier New" w:cs="Courier New" w:eastAsia="Courier New" w:hAnsi="Courier New"/>
          <w:sz w:val="15"/>
          <w:szCs w:val="15"/>
          <w:color w:val="auto"/>
        </w:rPr>
      </w:pPr>
    </w:p>
    <w:p>
      <w:pPr>
        <w:ind w:left="448" w:right="3840" w:hanging="448"/>
        <w:spacing w:after="0"/>
        <w:tabs>
          <w:tab w:leader="none" w:pos="4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average closing price of the Common Stock for the last five trading days of 2003.</w:t>
      </w:r>
    </w:p>
    <w:p>
      <w:pPr>
        <w:sectPr>
          <w:pgSz w:w="11900" w:h="16838" w:orient="portrait"/>
          <w:cols w:equalWidth="0" w:num="1">
            <w:col w:w="10728"/>
          </w:cols>
          <w:pgMar w:left="232" w:top="461" w:right="939" w:bottom="0" w:gutter="0" w:footer="0" w:header="0"/>
        </w:sectPr>
      </w:pPr>
    </w:p>
    <w:bookmarkStart w:id="13" w:name="page14"/>
    <w:bookmarkEnd w:id="13"/>
    <w:p>
      <w:pPr>
        <w:ind w:left="448" w:right="3159" w:hanging="448"/>
        <w:spacing w:after="0" w:line="242" w:lineRule="auto"/>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noted, consists of options granted pursuant to Ocwen's 1991 Non-Qualified Stock Option Plan, as amended. The 2003, 2002, and 2001 amounts consist of grants made as of the first quarter of the following year for services rendered in the years indicated.</w:t>
      </w:r>
    </w:p>
    <w:p>
      <w:pPr>
        <w:spacing w:after="0" w:line="174" w:lineRule="exact"/>
        <w:rPr>
          <w:rFonts w:ascii="Courier New" w:cs="Courier New" w:eastAsia="Courier New" w:hAnsi="Courier New"/>
          <w:sz w:val="15"/>
          <w:szCs w:val="15"/>
          <w:color w:val="auto"/>
        </w:rPr>
      </w:pPr>
    </w:p>
    <w:p>
      <w:pPr>
        <w:ind w:left="448" w:right="3519" w:hanging="448"/>
        <w:spacing w:after="0"/>
        <w:tabs>
          <w:tab w:leader="none" w:pos="4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consists of contributions by Ocwen pursuant to Ocwen's 401(k) Savings Plan.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313" w:right="1440" w:bottom="1440" w:gutter="0" w:footer="0" w:header="0"/>
        </w:sectPr>
      </w:pPr>
    </w:p>
    <w:bookmarkStart w:id="14" w:name="page15"/>
    <w:bookmarkEnd w:id="14"/>
    <w:p>
      <w:pPr>
        <w:ind w:left="448" w:right="3519" w:hanging="448"/>
        <w:spacing w:after="0" w:line="241"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to purchase 119,981 shares of Common Stock granted pursuant to the stock option plan and additional options to purchase 200,000 shares of Common Stock granted to Mr. Faris.</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Ocwen had an employment agreement with Mr. Ringwald. Ocwen and Mr. Ringwald mutually agreed to terminate this agreement, effective January 29, 2004. Pursuant to the terms of the employment agreement, Mr. Ringwald was entitled to a lump sum cash payment of $750,000 and any amounts payable to Mr. Ringwald as of the date of termination. Mr. Ringwald's agreement also included provisions for confidentiality, indemnification and non-competition.</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Ringwald commenced his employment as President and Chief Executive Officer of Ocwen Technology Xchange on April 1, 2001. His annual salary is prorated for his period of employment in 2001. His other compensation represents reimbursed relocation expenses.</w:t>
      </w:r>
    </w:p>
    <w:p>
      <w:pPr>
        <w:spacing w:after="0" w:line="174"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options to purchase 50,081 shares of Common Stock granted pursuant to the stock option plan and additional options to purchase 40,000 shares of Common Stock granted to Mr. Zeidman.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Grants for 2003</w:t>
      </w:r>
    </w:p>
    <w:p>
      <w:pPr>
        <w:spacing w:after="0" w:line="176" w:lineRule="exact"/>
        <w:rPr>
          <w:sz w:val="20"/>
          <w:szCs w:val="20"/>
          <w:color w:val="auto"/>
        </w:rPr>
      </w:pPr>
    </w:p>
    <w:p>
      <w:pPr>
        <w:jc w:val="both"/>
        <w:ind w:left="8" w:right="3079"/>
        <w:spacing w:after="0" w:line="267" w:lineRule="auto"/>
        <w:rPr>
          <w:sz w:val="20"/>
          <w:szCs w:val="20"/>
          <w:color w:val="auto"/>
        </w:rPr>
      </w:pPr>
      <w:r>
        <w:rPr>
          <w:rFonts w:ascii="Courier New" w:cs="Courier New" w:eastAsia="Courier New" w:hAnsi="Courier New"/>
          <w:sz w:val="14"/>
          <w:szCs w:val="14"/>
          <w:color w:val="auto"/>
        </w:rPr>
        <w:t>The following table provides information relating to option grants made by Ocwen during 2003 and pursuant to Ocwen's stock option plan in 2004 to the individuals named in the Summary Compensation Table for services rendered in 2003.</w:t>
      </w:r>
    </w:p>
    <w:p>
      <w:pPr>
        <w:spacing w:after="0" w:line="200" w:lineRule="exact"/>
        <w:rPr>
          <w:sz w:val="20"/>
          <w:szCs w:val="20"/>
          <w:color w:val="auto"/>
        </w:rPr>
      </w:pP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820" w:type="dxa"/>
            <w:vAlign w:val="bottom"/>
          </w:tcPr>
          <w:p>
            <w:pPr>
              <w:spacing w:after="0"/>
              <w:rPr>
                <w:sz w:val="14"/>
                <w:szCs w:val="14"/>
                <w:color w:val="auto"/>
              </w:rPr>
            </w:pPr>
          </w:p>
        </w:tc>
        <w:tc>
          <w:tcPr>
            <w:tcW w:w="3040" w:type="dxa"/>
            <w:vAlign w:val="bottom"/>
          </w:tcPr>
          <w:p>
            <w:pPr>
              <w:jc w:val="center"/>
              <w:ind w:left="1105"/>
              <w:spacing w:after="0"/>
              <w:rPr>
                <w:sz w:val="20"/>
                <w:szCs w:val="20"/>
                <w:color w:val="auto"/>
              </w:rPr>
            </w:pPr>
            <w:r>
              <w:rPr>
                <w:rFonts w:ascii="Courier New" w:cs="Courier New" w:eastAsia="Courier New" w:hAnsi="Courier New"/>
                <w:sz w:val="15"/>
                <w:szCs w:val="15"/>
                <w:color w:val="auto"/>
                <w:w w:val="99"/>
              </w:rPr>
              <w:t>No. of</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3040" w:type="dxa"/>
            <w:vAlign w:val="bottom"/>
          </w:tcPr>
          <w:p>
            <w:pPr>
              <w:jc w:val="center"/>
              <w:ind w:left="1105"/>
              <w:spacing w:after="0"/>
              <w:rPr>
                <w:sz w:val="20"/>
                <w:szCs w:val="20"/>
                <w:color w:val="auto"/>
              </w:rPr>
            </w:pPr>
            <w:r>
              <w:rPr>
                <w:rFonts w:ascii="Courier New" w:cs="Courier New" w:eastAsia="Courier New" w:hAnsi="Courier New"/>
                <w:sz w:val="15"/>
                <w:szCs w:val="15"/>
                <w:color w:val="auto"/>
                <w:w w:val="99"/>
              </w:rPr>
              <w:t>Securities</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Securities</w:t>
            </w: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3040" w:type="dxa"/>
            <w:vAlign w:val="bottom"/>
          </w:tcPr>
          <w:p>
            <w:pPr>
              <w:jc w:val="center"/>
              <w:ind w:left="1105"/>
              <w:spacing w:after="0"/>
              <w:rPr>
                <w:sz w:val="20"/>
                <w:szCs w:val="20"/>
                <w:color w:val="auto"/>
              </w:rPr>
            </w:pPr>
            <w:r>
              <w:rPr>
                <w:rFonts w:ascii="Courier New" w:cs="Courier New" w:eastAsia="Courier New" w:hAnsi="Courier New"/>
                <w:sz w:val="15"/>
                <w:szCs w:val="15"/>
                <w:color w:val="auto"/>
                <w:w w:val="99"/>
              </w:rPr>
              <w:t>Underlying</w:t>
            </w: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w w:val="98"/>
              </w:rPr>
              <w:t>Underlying Total</w:t>
            </w: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1820" w:type="dxa"/>
            <w:vAlign w:val="bottom"/>
          </w:tcPr>
          <w:p>
            <w:pPr>
              <w:spacing w:after="0"/>
              <w:rPr>
                <w:sz w:val="14"/>
                <w:szCs w:val="14"/>
                <w:color w:val="auto"/>
              </w:rPr>
            </w:pPr>
          </w:p>
        </w:tc>
        <w:tc>
          <w:tcPr>
            <w:tcW w:w="3040" w:type="dxa"/>
            <w:vAlign w:val="bottom"/>
          </w:tcPr>
          <w:p>
            <w:pPr>
              <w:ind w:left="1480"/>
              <w:spacing w:after="0"/>
              <w:rPr>
                <w:sz w:val="20"/>
                <w:szCs w:val="20"/>
                <w:color w:val="auto"/>
              </w:rPr>
            </w:pPr>
            <w:r>
              <w:rPr>
                <w:rFonts w:ascii="Courier New" w:cs="Courier New" w:eastAsia="Courier New" w:hAnsi="Courier New"/>
                <w:sz w:val="15"/>
                <w:szCs w:val="15"/>
                <w:color w:val="auto"/>
              </w:rPr>
              <w:t>Options Granted</w:t>
            </w:r>
          </w:p>
        </w:tc>
        <w:tc>
          <w:tcPr>
            <w:tcW w:w="188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Options Granted</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Exercise Price</w:t>
            </w:r>
          </w:p>
        </w:tc>
        <w:tc>
          <w:tcPr>
            <w:tcW w:w="14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Expiration Date</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040" w:type="dxa"/>
            <w:vAlign w:val="bottom"/>
          </w:tcPr>
          <w:p>
            <w:pPr>
              <w:jc w:val="center"/>
              <w:ind w:left="1105"/>
              <w:spacing w:after="0"/>
              <w:rPr>
                <w:sz w:val="20"/>
                <w:szCs w:val="20"/>
                <w:color w:val="auto"/>
              </w:rPr>
            </w:pPr>
            <w:r>
              <w:rPr>
                <w:rFonts w:ascii="Courier New" w:cs="Courier New" w:eastAsia="Courier New" w:hAnsi="Courier New"/>
                <w:sz w:val="15"/>
                <w:szCs w:val="15"/>
                <w:color w:val="auto"/>
                <w:w w:val="99"/>
              </w:rPr>
              <w:t>(#) (1)(2)</w:t>
            </w:r>
          </w:p>
        </w:tc>
        <w:tc>
          <w:tcPr>
            <w:tcW w:w="18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 (2)</w:t>
            </w:r>
          </w:p>
        </w:tc>
        <w:tc>
          <w:tcPr>
            <w:tcW w:w="1580" w:type="dxa"/>
            <w:vAlign w:val="bottom"/>
          </w:tcPr>
          <w:p>
            <w:pPr>
              <w:ind w:left="400"/>
              <w:spacing w:after="0"/>
              <w:rPr>
                <w:sz w:val="20"/>
                <w:szCs w:val="20"/>
                <w:color w:val="auto"/>
              </w:rPr>
            </w:pPr>
            <w:r>
              <w:rPr>
                <w:rFonts w:ascii="Courier New" w:cs="Courier New" w:eastAsia="Courier New" w:hAnsi="Courier New"/>
                <w:sz w:val="15"/>
                <w:szCs w:val="15"/>
                <w:color w:val="auto"/>
              </w:rPr>
              <w:t>($/share)</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 / )</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23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63,679</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15.09%</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1/31/14</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23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66,950</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15.87%</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1/31/14</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Arthur D. Ringwald</w:t>
            </w:r>
          </w:p>
        </w:tc>
        <w:tc>
          <w:tcPr>
            <w:tcW w:w="23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23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35,242</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8.35%</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1/31/14</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2360" w:type="dxa"/>
            <w:vAlign w:val="bottom"/>
          </w:tcPr>
          <w:p>
            <w:pPr>
              <w:jc w:val="right"/>
              <w:ind w:right="685"/>
              <w:spacing w:after="0"/>
              <w:rPr>
                <w:sz w:val="20"/>
                <w:szCs w:val="20"/>
                <w:color w:val="auto"/>
              </w:rPr>
            </w:pPr>
            <w:r>
              <w:rPr>
                <w:rFonts w:ascii="Courier New" w:cs="Courier New" w:eastAsia="Courier New" w:hAnsi="Courier New"/>
                <w:sz w:val="15"/>
                <w:szCs w:val="15"/>
                <w:color w:val="auto"/>
              </w:rPr>
              <w:t>11,047</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2.62%</w:t>
            </w:r>
          </w:p>
        </w:tc>
        <w:tc>
          <w:tcPr>
            <w:tcW w:w="14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1/31/14</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[Cont'd]</w:t>
      </w:r>
    </w:p>
    <w:p>
      <w:pPr>
        <w:spacing w:after="0" w:line="348" w:lineRule="exact"/>
        <w:rPr>
          <w:sz w:val="20"/>
          <w:szCs w:val="20"/>
          <w:color w:val="auto"/>
        </w:rPr>
      </w:pPr>
    </w:p>
    <w:p>
      <w:pPr>
        <w:ind w:left="8" w:right="2619" w:firstLine="3488"/>
        <w:spacing w:after="0" w:line="242" w:lineRule="auto"/>
        <w:rPr>
          <w:sz w:val="20"/>
          <w:szCs w:val="20"/>
          <w:color w:val="auto"/>
        </w:rPr>
      </w:pPr>
      <w:r>
        <w:rPr>
          <w:rFonts w:ascii="Courier New" w:cs="Courier New" w:eastAsia="Courier New" w:hAnsi="Courier New"/>
          <w:sz w:val="15"/>
          <w:szCs w:val="15"/>
          <w:color w:val="auto"/>
        </w:rPr>
        <w:t>Potential Realizable Value at Assumed Rates of Stock Price Appreciation for Option Term (3) Name 0% ($) 5% ($) 10% ($)</w:t>
      </w:r>
    </w:p>
    <w:p>
      <w:pPr>
        <w:spacing w:after="0" w:line="17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 ------------------</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22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$170,660</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$525,481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$1,069,875</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22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$179,427</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$552,473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$1,124,830</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Arthur D. Ringwald</w:t>
            </w:r>
          </w:p>
        </w:tc>
        <w:tc>
          <w:tcPr>
            <w:tcW w:w="22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22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$94,448</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$290,814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$592,096</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22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$29,605</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$91,157</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$185,594</w:t>
            </w:r>
          </w:p>
        </w:tc>
      </w:tr>
    </w:tbl>
    <w:p>
      <w:pPr>
        <w:spacing w:after="0" w:line="348" w:lineRule="exact"/>
        <w:rPr>
          <w:sz w:val="20"/>
          <w:szCs w:val="20"/>
          <w:color w:val="auto"/>
        </w:rPr>
      </w:pPr>
    </w:p>
    <w:p>
      <w:pPr>
        <w:ind w:left="448" w:right="3159" w:hanging="448"/>
        <w:spacing w:after="0" w:line="241" w:lineRule="auto"/>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and, unless otherwise noted, one-fifth vests and becomes exercisable on the date of grant and on January 31, 2005, 2006, 2007 and 2008.</w:t>
      </w:r>
    </w:p>
    <w:p>
      <w:pPr>
        <w:spacing w:after="0" w:line="176" w:lineRule="exact"/>
        <w:rPr>
          <w:rFonts w:ascii="Courier New" w:cs="Courier New" w:eastAsia="Courier New" w:hAnsi="Courier New"/>
          <w:sz w:val="15"/>
          <w:szCs w:val="15"/>
          <w:color w:val="auto"/>
        </w:rPr>
      </w:pPr>
    </w:p>
    <w:p>
      <w:pPr>
        <w:ind w:left="448" w:right="3079" w:hanging="448"/>
        <w:spacing w:after="0" w:line="267" w:lineRule="auto"/>
        <w:tabs>
          <w:tab w:leader="none" w:pos="4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Grants were made in 2004 for service in 2003. The percentage of securities underlying these options is based on options to purchase a total of 421,982 shares of Common Stock granted to employees of Ocwen and its subsidiaries.</w:t>
      </w:r>
    </w:p>
    <w:p>
      <w:pPr>
        <w:spacing w:after="0" w:line="156" w:lineRule="exact"/>
        <w:rPr>
          <w:rFonts w:ascii="Courier New" w:cs="Courier New" w:eastAsia="Courier New" w:hAnsi="Courier New"/>
          <w:sz w:val="14"/>
          <w:szCs w:val="14"/>
          <w:color w:val="auto"/>
        </w:rPr>
      </w:pPr>
    </w:p>
    <w:p>
      <w:pPr>
        <w:ind w:left="448" w:hanging="448"/>
        <w:spacing w:after="0"/>
        <w:tabs>
          <w:tab w:leader="none" w:pos="4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future prices of shares of Common Stock of $8.86, $14.432 and</w:t>
      </w:r>
    </w:p>
    <w:p>
      <w:pPr>
        <w:spacing w:after="0" w:line="3" w:lineRule="exact"/>
        <w:rPr>
          <w:rFonts w:ascii="Courier New" w:cs="Courier New" w:eastAsia="Courier New" w:hAnsi="Courier New"/>
          <w:sz w:val="15"/>
          <w:szCs w:val="15"/>
          <w:color w:val="auto"/>
        </w:rPr>
      </w:pPr>
    </w:p>
    <w:p>
      <w:pPr>
        <w:ind w:left="448"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$22.981 at compounded rates of return of 0%, 5% and 10%, respectively, from the average closing price per share on the New York Stock Exchange on December 31, 2003.</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463" w:right="1440" w:bottom="1440" w:gutter="0" w:footer="0" w:header="0"/>
        </w:sectPr>
      </w:pPr>
    </w:p>
    <w:bookmarkStart w:id="15" w:name="page16"/>
    <w:bookmarkEnd w:id="15"/>
    <w:p>
      <w:pPr>
        <w:jc w:val="center"/>
        <w:ind w:right="3752"/>
        <w:spacing w:after="0"/>
        <w:rPr>
          <w:sz w:val="20"/>
          <w:szCs w:val="20"/>
          <w:color w:val="auto"/>
        </w:rPr>
      </w:pPr>
      <w:r>
        <w:rPr>
          <w:rFonts w:ascii="Courier New" w:cs="Courier New" w:eastAsia="Courier New" w:hAnsi="Courier New"/>
          <w:sz w:val="15"/>
          <w:szCs w:val="15"/>
          <w:color w:val="auto"/>
        </w:rPr>
        <w:t>AGGREGATED OPTION EXERCISES IN 2003 AND YEAR-END OPTION VALUES</w:t>
      </w:r>
    </w:p>
    <w:p>
      <w:pPr>
        <w:spacing w:after="0" w:line="176" w:lineRule="exact"/>
        <w:rPr>
          <w:sz w:val="20"/>
          <w:szCs w:val="20"/>
          <w:color w:val="auto"/>
        </w:rPr>
      </w:pPr>
    </w:p>
    <w:p>
      <w:pPr>
        <w:ind w:left="8" w:right="3760"/>
        <w:spacing w:after="0" w:line="267" w:lineRule="auto"/>
        <w:rPr>
          <w:sz w:val="20"/>
          <w:szCs w:val="20"/>
          <w:color w:val="auto"/>
        </w:rPr>
      </w:pPr>
      <w:r>
        <w:rPr>
          <w:rFonts w:ascii="Courier New" w:cs="Courier New" w:eastAsia="Courier New" w:hAnsi="Courier New"/>
          <w:sz w:val="14"/>
          <w:szCs w:val="14"/>
          <w:color w:val="auto"/>
        </w:rPr>
        <w:t>The following table provides information relating to option exercises during the year 2003 by the individuals named in the Summary Compensation Table and the value of each such individual's unexercised options at December 31, 2003 (1).</w:t>
      </w:r>
    </w:p>
    <w:p>
      <w:pPr>
        <w:spacing w:after="0" w:line="200" w:lineRule="exact"/>
        <w:rPr>
          <w:sz w:val="20"/>
          <w:szCs w:val="20"/>
          <w:color w:val="auto"/>
        </w:rPr>
      </w:pPr>
    </w:p>
    <w:p>
      <w:pPr>
        <w:spacing w:after="0" w:line="301" w:lineRule="exact"/>
        <w:rPr>
          <w:sz w:val="20"/>
          <w:szCs w:val="20"/>
          <w:color w:val="auto"/>
        </w:rPr>
      </w:pPr>
    </w:p>
    <w:p>
      <w:pPr>
        <w:ind w:left="7428"/>
        <w:spacing w:after="0"/>
        <w:rPr>
          <w:sz w:val="20"/>
          <w:szCs w:val="20"/>
          <w:color w:val="auto"/>
        </w:rPr>
      </w:pPr>
      <w:r>
        <w:rPr>
          <w:rFonts w:ascii="Courier New" w:cs="Courier New" w:eastAsia="Courier New" w:hAnsi="Courier New"/>
          <w:sz w:val="15"/>
          <w:szCs w:val="15"/>
          <w:color w:val="auto"/>
        </w:rPr>
        <w:t>Number of Securities Underlying</w:t>
      </w:r>
    </w:p>
    <w:p>
      <w:pPr>
        <w:spacing w:after="0" w:line="2" w:lineRule="exact"/>
        <w:rPr>
          <w:sz w:val="20"/>
          <w:szCs w:val="20"/>
          <w:color w:val="auto"/>
        </w:rPr>
      </w:pPr>
    </w:p>
    <w:p>
      <w:pPr>
        <w:ind w:left="3668"/>
        <w:spacing w:after="0"/>
        <w:tabs>
          <w:tab w:leader="none" w:pos="7768" w:val="left"/>
        </w:tabs>
        <w:rPr>
          <w:sz w:val="20"/>
          <w:szCs w:val="20"/>
          <w:color w:val="auto"/>
        </w:rPr>
      </w:pPr>
      <w:r>
        <w:rPr>
          <w:rFonts w:ascii="Courier New" w:cs="Courier New" w:eastAsia="Courier New" w:hAnsi="Courier New"/>
          <w:sz w:val="15"/>
          <w:szCs w:val="15"/>
          <w:color w:val="auto"/>
        </w:rPr>
        <w:t>No. of</w:t>
      </w:r>
      <w:r>
        <w:rPr>
          <w:sz w:val="20"/>
          <w:szCs w:val="20"/>
          <w:color w:val="auto"/>
        </w:rPr>
        <w:tab/>
      </w:r>
      <w:r>
        <w:rPr>
          <w:rFonts w:ascii="Courier New" w:cs="Courier New" w:eastAsia="Courier New" w:hAnsi="Courier New"/>
          <w:sz w:val="14"/>
          <w:szCs w:val="14"/>
          <w:color w:val="auto"/>
        </w:rPr>
        <w:t>Unexercised Options at</w:t>
      </w:r>
    </w:p>
    <w:p>
      <w:pPr>
        <w:spacing w:after="0" w:line="2" w:lineRule="exact"/>
        <w:rPr>
          <w:sz w:val="20"/>
          <w:szCs w:val="20"/>
          <w:color w:val="auto"/>
        </w:rPr>
      </w:pPr>
    </w:p>
    <w:p>
      <w:pPr>
        <w:ind w:left="3668"/>
        <w:spacing w:after="0"/>
        <w:tabs>
          <w:tab w:leader="none" w:pos="78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December 31, 2003 (1)</w:t>
      </w:r>
    </w:p>
    <w:p>
      <w:pPr>
        <w:spacing w:after="0" w:line="2" w:lineRule="exact"/>
        <w:rPr>
          <w:sz w:val="20"/>
          <w:szCs w:val="20"/>
          <w:color w:val="auto"/>
        </w:rPr>
      </w:pPr>
    </w:p>
    <w:p>
      <w:pPr>
        <w:ind w:left="3568"/>
        <w:spacing w:after="0"/>
        <w:tabs>
          <w:tab w:leader="none" w:pos="6948"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3468" w:val="left"/>
          <w:tab w:leader="none" w:pos="5168" w:val="left"/>
          <w:tab w:leader="none" w:pos="7308" w:val="left"/>
          <w:tab w:leader="none" w:pos="9188"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r>
        <w:rPr>
          <w:sz w:val="20"/>
          <w:szCs w:val="20"/>
          <w:color w:val="auto"/>
        </w:rPr>
        <w:tab/>
      </w:r>
      <w:r>
        <w:rPr>
          <w:rFonts w:ascii="Courier New" w:cs="Courier New" w:eastAsia="Courier New" w:hAnsi="Courier New"/>
          <w:sz w:val="15"/>
          <w:szCs w:val="15"/>
          <w:color w:val="auto"/>
        </w:rPr>
        <w:t>Value Realized</w:t>
      </w:r>
      <w:r>
        <w:rPr>
          <w:sz w:val="20"/>
          <w:szCs w:val="20"/>
          <w:color w:val="auto"/>
        </w:rPr>
        <w:tab/>
      </w: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 ---------------------- --------------------- --------------------</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254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520" w:type="dxa"/>
            <w:vAlign w:val="bottom"/>
          </w:tcPr>
          <w:p>
            <w:pPr>
              <w:jc w:val="center"/>
              <w:ind w:right="825"/>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805,554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197,853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254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520" w:type="dxa"/>
            <w:vAlign w:val="bottom"/>
          </w:tcPr>
          <w:p>
            <w:pPr>
              <w:jc w:val="center"/>
              <w:ind w:right="825"/>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341,140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379,706</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Arthur D. Ringwald</w:t>
            </w:r>
          </w:p>
        </w:tc>
        <w:tc>
          <w:tcPr>
            <w:tcW w:w="254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520" w:type="dxa"/>
            <w:vAlign w:val="bottom"/>
          </w:tcPr>
          <w:p>
            <w:pPr>
              <w:jc w:val="center"/>
              <w:ind w:right="825"/>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21,381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52,039</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254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520" w:type="dxa"/>
            <w:vAlign w:val="bottom"/>
          </w:tcPr>
          <w:p>
            <w:pPr>
              <w:jc w:val="center"/>
              <w:ind w:right="825"/>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136,193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125,266</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2540" w:type="dxa"/>
            <w:vAlign w:val="bottom"/>
          </w:tcPr>
          <w:p>
            <w:pPr>
              <w:ind w:left="1160"/>
              <w:spacing w:after="0"/>
              <w:rPr>
                <w:sz w:val="20"/>
                <w:szCs w:val="20"/>
                <w:color w:val="auto"/>
              </w:rPr>
            </w:pPr>
            <w:r>
              <w:rPr>
                <w:rFonts w:ascii="Courier New" w:cs="Courier New" w:eastAsia="Courier New" w:hAnsi="Courier New"/>
                <w:sz w:val="15"/>
                <w:szCs w:val="15"/>
                <w:color w:val="auto"/>
              </w:rPr>
              <w:t>13,318</w:t>
            </w:r>
          </w:p>
        </w:tc>
        <w:tc>
          <w:tcPr>
            <w:tcW w:w="2520" w:type="dxa"/>
            <w:vAlign w:val="bottom"/>
          </w:tcPr>
          <w:p>
            <w:pPr>
              <w:jc w:val="center"/>
              <w:ind w:right="825"/>
              <w:spacing w:after="0"/>
              <w:rPr>
                <w:sz w:val="20"/>
                <w:szCs w:val="20"/>
                <w:color w:val="auto"/>
              </w:rPr>
            </w:pPr>
            <w:r>
              <w:rPr>
                <w:rFonts w:ascii="Courier New" w:cs="Courier New" w:eastAsia="Courier New" w:hAnsi="Courier New"/>
                <w:sz w:val="15"/>
                <w:szCs w:val="15"/>
                <w:color w:val="auto"/>
                <w:w w:val="98"/>
              </w:rPr>
              <w:t>$22,121 (3)</w:t>
            </w:r>
          </w:p>
        </w:tc>
        <w:tc>
          <w:tcPr>
            <w:tcW w:w="18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24,195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29,476</w:t>
            </w:r>
          </w:p>
        </w:tc>
      </w:tr>
      <w:tr>
        <w:trPr>
          <w:trHeight w:val="688"/>
        </w:trPr>
        <w:tc>
          <w:tcPr>
            <w:tcW w:w="2500" w:type="dxa"/>
            <w:vAlign w:val="bottom"/>
          </w:tcPr>
          <w:p>
            <w:pPr>
              <w:spacing w:after="0"/>
              <w:rPr>
                <w:sz w:val="24"/>
                <w:szCs w:val="24"/>
                <w:color w:val="auto"/>
              </w:rPr>
            </w:pPr>
          </w:p>
        </w:tc>
        <w:tc>
          <w:tcPr>
            <w:tcW w:w="506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Value of Unexercised In-the-Money</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2500" w:type="dxa"/>
            <w:vAlign w:val="bottom"/>
          </w:tcPr>
          <w:p>
            <w:pPr>
              <w:spacing w:after="0"/>
              <w:rPr>
                <w:sz w:val="14"/>
                <w:szCs w:val="14"/>
                <w:color w:val="auto"/>
              </w:rPr>
            </w:pPr>
          </w:p>
        </w:tc>
        <w:tc>
          <w:tcPr>
            <w:tcW w:w="506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options at December 31, 2003 (2)</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506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540" w:type="dxa"/>
            <w:vAlign w:val="bottom"/>
          </w:tcPr>
          <w:p>
            <w:pPr>
              <w:ind w:left="980"/>
              <w:spacing w:after="0"/>
              <w:rPr>
                <w:sz w:val="20"/>
                <w:szCs w:val="20"/>
                <w:color w:val="auto"/>
              </w:rPr>
            </w:pPr>
            <w:r>
              <w:rPr>
                <w:rFonts w:ascii="Courier New" w:cs="Courier New" w:eastAsia="Courier New" w:hAnsi="Courier New"/>
                <w:sz w:val="15"/>
                <w:szCs w:val="15"/>
                <w:color w:val="auto"/>
              </w:rPr>
              <w:t>Exercisable</w:t>
            </w:r>
          </w:p>
        </w:tc>
        <w:tc>
          <w:tcPr>
            <w:tcW w:w="25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Unexercisable</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7560" w:type="dxa"/>
            <w:vAlign w:val="bottom"/>
            <w:gridSpan w:val="3"/>
          </w:tcPr>
          <w:p>
            <w:pPr>
              <w:spacing w:after="0"/>
              <w:rPr>
                <w:sz w:val="20"/>
                <w:szCs w:val="20"/>
                <w:color w:val="auto"/>
              </w:rPr>
            </w:pPr>
            <w:r>
              <w:rPr>
                <w:rFonts w:ascii="Courier New" w:cs="Courier New" w:eastAsia="Courier New" w:hAnsi="Courier New"/>
                <w:sz w:val="15"/>
                <w:szCs w:val="15"/>
                <w:color w:val="auto"/>
              </w:rPr>
              <w:t>- ----------------------------------- ------------------- --------------------</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William C. Erbey</w:t>
            </w:r>
          </w:p>
        </w:tc>
        <w:tc>
          <w:tcPr>
            <w:tcW w:w="2540" w:type="dxa"/>
            <w:vAlign w:val="bottom"/>
          </w:tcPr>
          <w:p>
            <w:pPr>
              <w:ind w:left="1420"/>
              <w:spacing w:after="0"/>
              <w:rPr>
                <w:sz w:val="20"/>
                <w:szCs w:val="20"/>
                <w:color w:val="auto"/>
              </w:rPr>
            </w:pPr>
            <w:r>
              <w:rPr>
                <w:rFonts w:ascii="Courier New" w:cs="Courier New" w:eastAsia="Courier New" w:hAnsi="Courier New"/>
                <w:sz w:val="15"/>
                <w:szCs w:val="15"/>
                <w:color w:val="auto"/>
              </w:rPr>
              <w:t>$1,376,168</w:t>
            </w:r>
          </w:p>
        </w:tc>
        <w:tc>
          <w:tcPr>
            <w:tcW w:w="25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$854,096</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Ronald M. Faris</w:t>
            </w:r>
          </w:p>
        </w:tc>
        <w:tc>
          <w:tcPr>
            <w:tcW w:w="2540" w:type="dxa"/>
            <w:vAlign w:val="bottom"/>
          </w:tcPr>
          <w:p>
            <w:pPr>
              <w:ind w:left="1420"/>
              <w:spacing w:after="0"/>
              <w:rPr>
                <w:sz w:val="20"/>
                <w:szCs w:val="20"/>
                <w:color w:val="auto"/>
              </w:rPr>
            </w:pPr>
            <w:r>
              <w:rPr>
                <w:rFonts w:ascii="Courier New" w:cs="Courier New" w:eastAsia="Courier New" w:hAnsi="Courier New"/>
                <w:sz w:val="15"/>
                <w:szCs w:val="15"/>
                <w:color w:val="auto"/>
              </w:rPr>
              <w:t>$1,139,943</w:t>
            </w:r>
          </w:p>
        </w:tc>
        <w:tc>
          <w:tcPr>
            <w:tcW w:w="25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$769,664</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Arthur D. Ringwald</w:t>
            </w:r>
          </w:p>
        </w:tc>
        <w:tc>
          <w:tcPr>
            <w:tcW w:w="2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$102,037</w:t>
            </w:r>
          </w:p>
        </w:tc>
        <w:tc>
          <w:tcPr>
            <w:tcW w:w="25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$268,928</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Mark S. Zeidman</w:t>
            </w:r>
          </w:p>
        </w:tc>
        <w:tc>
          <w:tcPr>
            <w:tcW w:w="2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$517,083</w:t>
            </w:r>
          </w:p>
        </w:tc>
        <w:tc>
          <w:tcPr>
            <w:tcW w:w="25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$363,417</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Robert J. Leist, Jr.</w:t>
            </w:r>
          </w:p>
        </w:tc>
        <w:tc>
          <w:tcPr>
            <w:tcW w:w="25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$91,037</w:t>
            </w:r>
          </w:p>
        </w:tc>
        <w:tc>
          <w:tcPr>
            <w:tcW w:w="252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$123,779</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6" w:lineRule="exact"/>
        <w:rPr>
          <w:sz w:val="20"/>
          <w:szCs w:val="20"/>
          <w:color w:val="auto"/>
        </w:rPr>
      </w:pPr>
    </w:p>
    <w:p>
      <w:pPr>
        <w:ind w:left="448" w:right="4020" w:hanging="448"/>
        <w:spacing w:after="0" w:line="241" w:lineRule="auto"/>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are to purchase shares of Common Stock. Options listed as "exercisable" consist of options that became exercisable at or within 60 days of December 31, 2003.</w:t>
      </w:r>
    </w:p>
    <w:p>
      <w:pPr>
        <w:spacing w:after="0" w:line="176" w:lineRule="exact"/>
        <w:rPr>
          <w:rFonts w:ascii="Courier New" w:cs="Courier New" w:eastAsia="Courier New" w:hAnsi="Courier New"/>
          <w:sz w:val="15"/>
          <w:szCs w:val="15"/>
          <w:color w:val="auto"/>
        </w:rPr>
      </w:pPr>
    </w:p>
    <w:p>
      <w:pPr>
        <w:ind w:left="448" w:right="4020" w:hanging="448"/>
        <w:spacing w:after="0"/>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average closing price of a share of Common Stock on the New York Stock Exchange on December 31, 2003.</w:t>
      </w:r>
    </w:p>
    <w:p>
      <w:pPr>
        <w:spacing w:after="0" w:line="176" w:lineRule="exact"/>
        <w:rPr>
          <w:rFonts w:ascii="Courier New" w:cs="Courier New" w:eastAsia="Courier New" w:hAnsi="Courier New"/>
          <w:sz w:val="15"/>
          <w:szCs w:val="15"/>
          <w:color w:val="auto"/>
        </w:rPr>
      </w:pPr>
    </w:p>
    <w:p>
      <w:pPr>
        <w:ind w:left="448" w:right="4200" w:hanging="448"/>
        <w:spacing w:after="0"/>
        <w:tabs>
          <w:tab w:leader="none" w:pos="4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average of the high and low prices of the Common Stock as reported on the New York Stock Exchange on November 17, 2003.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left="8" w:right="3760"/>
        <w:spacing w:after="0" w:line="242" w:lineRule="auto"/>
        <w:rPr>
          <w:sz w:val="20"/>
          <w:szCs w:val="20"/>
          <w:color w:val="auto"/>
        </w:rPr>
      </w:pPr>
      <w:r>
        <w:rPr>
          <w:rFonts w:ascii="Courier New" w:cs="Courier New" w:eastAsia="Courier New" w:hAnsi="Courier New"/>
          <w:sz w:val="15"/>
          <w:szCs w:val="15"/>
          <w:color w:val="auto"/>
        </w:rPr>
        <w:t>Determinations regarding compensation of Ocwen's employees are made by the Compensation Committee. No member of the Committee is or at any time was an employee of Ocwen or any subsidiary, nor did any member of the Committee have an interest in a transaction, which would require disclosure hereunder.</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6" w:lineRule="exact"/>
        <w:rPr>
          <w:sz w:val="20"/>
          <w:szCs w:val="20"/>
          <w:color w:val="auto"/>
        </w:rPr>
      </w:pPr>
    </w:p>
    <w:p>
      <w:pPr>
        <w:ind w:left="8" w:right="3760"/>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is responsible for establishing management compensation policies and procedures to be reflected in the compensation program offered to the executive officers of Ocwen and the Bank. The Committee shares jurisdiction with the full Board of Directors over the administration of and grants under the 1991 Non-Qualified Stock Option Plan.</w:t>
      </w:r>
    </w:p>
    <w:p>
      <w:pPr>
        <w:spacing w:after="0" w:line="163" w:lineRule="exact"/>
        <w:rPr>
          <w:sz w:val="20"/>
          <w:szCs w:val="20"/>
          <w:color w:val="auto"/>
        </w:rPr>
      </w:pPr>
    </w:p>
    <w:p>
      <w:pPr>
        <w:ind w:left="8" w:right="3760"/>
        <w:spacing w:after="0" w:line="242" w:lineRule="auto"/>
        <w:rPr>
          <w:sz w:val="20"/>
          <w:szCs w:val="20"/>
          <w:color w:val="auto"/>
        </w:rPr>
      </w:pPr>
      <w:r>
        <w:rPr>
          <w:rFonts w:ascii="Courier New" w:cs="Courier New" w:eastAsia="Courier New" w:hAnsi="Courier New"/>
          <w:sz w:val="15"/>
          <w:szCs w:val="15"/>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 level financial performance of Ocwen. With respect to Ocwen's officers other than Mr. William C. Erbey, the Committee considered salary and bonus recommendations prepared by Mr. William C. Erbey or other executive officers to determine fiscal 2003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81" w:lineRule="exact"/>
        <w:rPr>
          <w:sz w:val="20"/>
          <w:szCs w:val="20"/>
          <w:color w:val="auto"/>
        </w:rPr>
      </w:pPr>
    </w:p>
    <w:p>
      <w:pPr>
        <w:ind w:left="8" w:right="3840"/>
        <w:spacing w:after="0" w:line="261" w:lineRule="auto"/>
        <w:rPr>
          <w:sz w:val="20"/>
          <w:szCs w:val="20"/>
          <w:color w:val="auto"/>
        </w:rPr>
      </w:pPr>
      <w:r>
        <w:rPr>
          <w:rFonts w:ascii="Courier New" w:cs="Courier New" w:eastAsia="Courier New" w:hAnsi="Courier New"/>
          <w:sz w:val="14"/>
          <w:szCs w:val="14"/>
          <w:color w:val="auto"/>
        </w:rPr>
        <w:t>Annual Incentive Compensation. Ocwen's primary incentive compensation plan for executives is the 1998 Annual Incentive Plan. Pursuant to the current plan, a participant can earn cash, restricted stock, and stock option awards as determined by the Compensation Committee. The awards are based on objective performance criteria established by the Committee pursuant to the Plan, which includes growth in our core businesses, reduction in non-core assets, cost savings through Six Sigma initiatives and meeting budget objectives. Each participant has a targeted annual incentive award that is expressed as a percentage of total target compensation and varies with the participant's level of responsibility. At the executive level, 20-60% of each executive's total target compensation is at risk and payable only upon achievement of certain</w:t>
      </w:r>
    </w:p>
    <w:p>
      <w:pPr>
        <w:spacing w:after="0" w:line="16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908"/>
          </w:cols>
          <w:pgMar w:left="232" w:top="461" w:right="759" w:bottom="1022" w:gutter="0" w:footer="0" w:header="0"/>
        </w:sectPr>
      </w:pPr>
    </w:p>
    <w:bookmarkStart w:id="16" w:name="page17"/>
    <w:bookmarkEnd w:id="16"/>
    <w:p>
      <w:pPr>
        <w:ind w:left="8" w:right="3159"/>
        <w:spacing w:after="0" w:line="241" w:lineRule="auto"/>
        <w:rPr>
          <w:sz w:val="20"/>
          <w:szCs w:val="20"/>
          <w:color w:val="auto"/>
        </w:rPr>
      </w:pPr>
      <w:r>
        <w:rPr>
          <w:rFonts w:ascii="Courier New" w:cs="Courier New" w:eastAsia="Courier New" w:hAnsi="Courier New"/>
          <w:sz w:val="15"/>
          <w:szCs w:val="15"/>
          <w:color w:val="auto"/>
        </w:rPr>
        <w:t>minimum Company and individual performance levels. The incentive awards are structured so that the compensation opportunities for executives are related to the levels of business unit and individual performances actually achieved.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Other Compensation. The Compensation Committee's policy with respect to other employee benefit plans is to provide competitive benefits to employees of Ocwen and the Bank, including executive officers. A competitive comprehensive benefit program is essential to achieving the goal of attracting and retaining highly qualified employees.</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all amendments thereto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8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2003 was based largely on performance against specific goals including growth of our loan servicing business and growth in our other core businesses, reduction in non-core assets and cost savings, including those attributable to increased utilization of our India operations centers and to our Six Sigma initiatives.</w:t>
      </w:r>
    </w:p>
    <w:p>
      <w:pPr>
        <w:spacing w:after="0" w:line="348"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Compensation Committee:</w:t>
      </w:r>
    </w:p>
    <w:p>
      <w:pPr>
        <w:spacing w:after="0" w:line="2" w:lineRule="exact"/>
        <w:rPr>
          <w:sz w:val="20"/>
          <w:szCs w:val="20"/>
          <w:color w:val="auto"/>
        </w:rPr>
      </w:pPr>
    </w:p>
    <w:p>
      <w:pPr>
        <w:ind w:left="8"/>
        <w:spacing w:after="0"/>
        <w:tabs>
          <w:tab w:leader="none" w:pos="4548" w:val="left"/>
        </w:tabs>
        <w:rPr>
          <w:sz w:val="20"/>
          <w:szCs w:val="20"/>
          <w:color w:val="auto"/>
        </w:rPr>
      </w:pPr>
      <w:r>
        <w:rPr>
          <w:rFonts w:ascii="Courier New" w:cs="Courier New" w:eastAsia="Courier New" w:hAnsi="Courier New"/>
          <w:sz w:val="15"/>
          <w:szCs w:val="15"/>
          <w:color w:val="auto"/>
        </w:rPr>
        <w:t>March 16, 2004</w:t>
      </w:r>
      <w:r>
        <w:rPr>
          <w:sz w:val="20"/>
          <w:szCs w:val="20"/>
          <w:color w:val="auto"/>
        </w:rPr>
        <w:tab/>
      </w:r>
      <w:r>
        <w:rPr>
          <w:rFonts w:ascii="Courier New" w:cs="Courier New" w:eastAsia="Courier New" w:hAnsi="Courier New"/>
          <w:sz w:val="14"/>
          <w:szCs w:val="14"/>
          <w:color w:val="auto"/>
        </w:rPr>
        <w:t>W.C. Martin, Chairman</w:t>
      </w:r>
    </w:p>
    <w:p>
      <w:pPr>
        <w:spacing w:after="0" w:line="2"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W. Michael Linn, Director</w:t>
      </w:r>
    </w:p>
    <w:p>
      <w:pPr>
        <w:spacing w:after="0" w:line="2"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Herbert B. Tasker, Director</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RATIFICATION OF APPOINTMENT OF INDEPENDENT AUDITOR</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(Proposal Two)</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Audit Committee of the Board of Directors of Ocwen has appointed PricewaterhouseCoopers LLP, independent certified public accountants, to be Ocwen's independent auditor for the year ending December 31, 2004, and has further directed that the selection of the auditor be submitted for ratification by the shareholders at the Annual Meeting.</w:t>
      </w:r>
    </w:p>
    <w:p>
      <w:pPr>
        <w:spacing w:after="0" w:line="175" w:lineRule="exact"/>
        <w:rPr>
          <w:sz w:val="20"/>
          <w:szCs w:val="20"/>
          <w:color w:val="auto"/>
        </w:rPr>
      </w:pPr>
    </w:p>
    <w:p>
      <w:pPr>
        <w:ind w:left="8" w:right="3259"/>
        <w:spacing w:after="0" w:line="267" w:lineRule="auto"/>
        <w:rPr>
          <w:sz w:val="20"/>
          <w:szCs w:val="20"/>
          <w:color w:val="auto"/>
        </w:rPr>
      </w:pPr>
      <w:r>
        <w:rPr>
          <w:rFonts w:ascii="Courier New" w:cs="Courier New" w:eastAsia="Courier New" w:hAnsi="Courier New"/>
          <w:sz w:val="14"/>
          <w:szCs w:val="14"/>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59" w:lineRule="exact"/>
        <w:rPr>
          <w:sz w:val="20"/>
          <w:szCs w:val="20"/>
          <w:color w:val="auto"/>
        </w:rPr>
      </w:pPr>
    </w:p>
    <w:p>
      <w:pPr>
        <w:ind w:left="8" w:right="3259"/>
        <w:spacing w:after="0" w:line="274" w:lineRule="auto"/>
        <w:rPr>
          <w:sz w:val="20"/>
          <w:szCs w:val="20"/>
          <w:color w:val="auto"/>
        </w:rPr>
      </w:pPr>
      <w:r>
        <w:rPr>
          <w:rFonts w:ascii="Courier New" w:cs="Courier New" w:eastAsia="Courier New" w:hAnsi="Courier New"/>
          <w:sz w:val="14"/>
          <w:szCs w:val="14"/>
          <w:color w:val="auto"/>
        </w:rPr>
        <w:t>The Board of Directors unanimously recommends that shareholders vote FOR the appointment of PricewaterhouseCoopers LLP as the independent auditor for 2004.</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Report of the Audit Committee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Audit Committee of the Board of Directors has:</w:t>
      </w:r>
    </w:p>
    <w:p>
      <w:pPr>
        <w:spacing w:after="0" w:line="176" w:lineRule="exact"/>
        <w:rPr>
          <w:sz w:val="20"/>
          <w:szCs w:val="20"/>
          <w:color w:val="auto"/>
        </w:rPr>
      </w:pPr>
    </w:p>
    <w:p>
      <w:pPr>
        <w:ind w:left="448" w:right="3079" w:hanging="448"/>
        <w:spacing w:after="0"/>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and discussed with management Ocwen's audited financial statements as of and for the year ended December 31, 2003;</w:t>
      </w:r>
    </w:p>
    <w:p>
      <w:pPr>
        <w:spacing w:after="0" w:line="176" w:lineRule="exact"/>
        <w:rPr>
          <w:rFonts w:ascii="Courier New" w:cs="Courier New" w:eastAsia="Courier New" w:hAnsi="Courier New"/>
          <w:sz w:val="15"/>
          <w:szCs w:val="15"/>
          <w:color w:val="auto"/>
        </w:rPr>
      </w:pPr>
    </w:p>
    <w:p>
      <w:pPr>
        <w:jc w:val="both"/>
        <w:ind w:left="448" w:right="3079" w:hanging="448"/>
        <w:spacing w:after="0" w:line="241" w:lineRule="auto"/>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PricewaterhouseCoopers LLP, Ocwen's independent auditor, the matters required to be discussed by Statement on Auditing Standards No. 61, "Communication with Audit Committees"; and</w:t>
      </w:r>
    </w:p>
    <w:p>
      <w:pPr>
        <w:spacing w:after="0" w:line="176" w:lineRule="exact"/>
        <w:rPr>
          <w:rFonts w:ascii="Courier New" w:cs="Courier New" w:eastAsia="Courier New" w:hAnsi="Courier New"/>
          <w:sz w:val="15"/>
          <w:szCs w:val="15"/>
          <w:color w:val="auto"/>
        </w:rPr>
      </w:pPr>
    </w:p>
    <w:p>
      <w:pPr>
        <w:ind w:left="448" w:right="3259" w:hanging="448"/>
        <w:spacing w:after="0" w:line="267" w:lineRule="auto"/>
        <w:tabs>
          <w:tab w:leader="none" w:pos="4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Received and reviewed the written disclosures and the letter from PricewaterhouseCoopers LLP required by the Independence Standards Board's Independence Standard No. 1, "Independence Discussions with Audit</w:t>
      </w: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463" w:right="1440" w:bottom="1440" w:gutter="0" w:footer="0" w:header="0"/>
        </w:sectPr>
      </w:pPr>
    </w:p>
    <w:bookmarkStart w:id="17" w:name="page18"/>
    <w:bookmarkEnd w:id="17"/>
    <w:p>
      <w:pPr>
        <w:ind w:left="440" w:right="4139"/>
        <w:spacing w:after="0"/>
        <w:rPr>
          <w:sz w:val="20"/>
          <w:szCs w:val="20"/>
          <w:color w:val="auto"/>
        </w:rPr>
      </w:pPr>
      <w:r>
        <w:rPr>
          <w:rFonts w:ascii="Courier New" w:cs="Courier New" w:eastAsia="Courier New" w:hAnsi="Courier New"/>
          <w:sz w:val="15"/>
          <w:szCs w:val="15"/>
          <w:color w:val="auto"/>
        </w:rPr>
        <w:t>Committees" and discussed with PricewaterhouseCoopers LLP their independence.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reliance on the review and discussion referred to above, the Committee recommends to the Board of Directors that the audited financial statements be included in Ocwen's Annual Report on Form 10-K for the year ended December 31,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 Fees</w:t>
      </w:r>
    </w:p>
    <w:p>
      <w:pPr>
        <w:spacing w:after="0" w:line="176"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The following table shows the aggregate fees billed to Ocwen for professional services by PricewaterhouseCoopers LLP for fiscal years 2003 and 2002: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Fiscal 2003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Fiscal 2002</w:t>
            </w:r>
          </w:p>
        </w:tc>
      </w:tr>
      <w:tr>
        <w:trPr>
          <w:trHeight w:val="172"/>
        </w:trPr>
        <w:tc>
          <w:tcPr>
            <w:tcW w:w="2940" w:type="dxa"/>
            <w:vAlign w:val="bottom"/>
          </w:tcPr>
          <w:p>
            <w:pPr>
              <w:spacing w:after="0"/>
              <w:rPr>
                <w:sz w:val="14"/>
                <w:szCs w:val="14"/>
                <w:color w:val="auto"/>
              </w:rPr>
            </w:pP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$ 1,035,119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$ 1,007,820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Audit-Related Fees</w:t>
            </w: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561,079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426,300</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Tax Fees</w:t>
            </w: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90,409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114,131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17,882</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264,737</w:t>
            </w:r>
          </w:p>
        </w:tc>
      </w:tr>
      <w:tr>
        <w:trPr>
          <w:trHeight w:val="172"/>
        </w:trPr>
        <w:tc>
          <w:tcPr>
            <w:tcW w:w="2940" w:type="dxa"/>
            <w:vAlign w:val="bottom"/>
          </w:tcPr>
          <w:p>
            <w:pPr>
              <w:spacing w:after="0"/>
              <w:rPr>
                <w:sz w:val="14"/>
                <w:szCs w:val="14"/>
                <w:color w:val="auto"/>
              </w:rPr>
            </w:pP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$ 1,704,489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$ 1,812,988</w:t>
            </w:r>
          </w:p>
        </w:tc>
      </w:tr>
      <w:tr>
        <w:trPr>
          <w:trHeight w:val="172"/>
        </w:trPr>
        <w:tc>
          <w:tcPr>
            <w:tcW w:w="2940" w:type="dxa"/>
            <w:vAlign w:val="bottom"/>
          </w:tcPr>
          <w:p>
            <w:pPr>
              <w:spacing w:after="0"/>
              <w:rPr>
                <w:sz w:val="14"/>
                <w:szCs w:val="14"/>
                <w:color w:val="auto"/>
              </w:rPr>
            </w:pPr>
          </w:p>
        </w:tc>
        <w:tc>
          <w:tcPr>
            <w:tcW w:w="27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Audit Fees. This category includes the aggregate fees billed for professional services rendered for the audits of the Ocwen's consolidated financial statements for fiscal years 2003 and 2002, for the reviews of the financial statements included in the Ocwen's quarterly reports on Form 10-Q during fiscal 2003 and 2002, and for services that are normally provided by the independent auditors in connection with statutory and regulatory filings or engagements for the relevant fiscal years.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Audit-Related Fees. This category includes the aggregate fees billed in each of the last two fiscal years for assurance and related services by the independent auditors that are reasonably related to the performance of the audits or reviews of the financial statements and are not reported above under "Audit Fees," and generally consist of fees for other attest engagements under professional auditing standards, internal control related matters, audits of employee benefit plans, and due diligence.</w:t>
      </w:r>
    </w:p>
    <w:p>
      <w:pPr>
        <w:spacing w:after="0" w:line="177"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Tax Fees. This category includes the aggregate fees billed in each of the last two fiscal years for professional services rendered by the independent auditors for tax compliance, tax planning and tax advice. Of these amounts, $51,889 and $29,511 were related to tax compliance services for 2003 and 2002, respectively.</w:t>
      </w:r>
    </w:p>
    <w:p>
      <w:pPr>
        <w:spacing w:after="0" w:line="16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All Other Fees. This category includes the aggregate fees billed in each of the last two fiscal years for products and services provided by the independent auditors that are not reported above under "Audit Fees," "Audit-Related Fees," or "Tax Fees."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Audit Committee considered the compatibility of the non-audit-related services provided by and fees paid to PricewaterhouseCoopers LLP in 2003 and the proposed services for 2004 and determined that such services and fees are compatible with the independence of PricewaterhouseCoopers LLP.</w:t>
      </w:r>
    </w:p>
    <w:p>
      <w:pPr>
        <w:sectPr>
          <w:pgSz w:w="11900" w:h="16838" w:orient="portrait"/>
          <w:cols w:equalWidth="0" w:num="1">
            <w:col w:w="10219"/>
          </w:cols>
          <w:pgMar w:left="240" w:top="463" w:right="1440" w:bottom="1440" w:gutter="0" w:footer="0" w:header="0"/>
        </w:sect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16, 2004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J. Korn, Chairman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 Lacy, Director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C. Martin, Director</w:t>
      </w:r>
    </w:p>
    <w:p>
      <w:pPr>
        <w:spacing w:after="0" w:line="176" w:lineRule="exact"/>
        <w:rPr>
          <w:sz w:val="20"/>
          <w:szCs w:val="20"/>
          <w:color w:val="auto"/>
        </w:rPr>
      </w:pPr>
    </w:p>
    <w:p>
      <w:pPr>
        <w:sectPr>
          <w:pgSz w:w="11900" w:h="16838" w:orient="portrait"/>
          <w:cols w:equalWidth="0" w:num="2">
            <w:col w:w="4100" w:space="720"/>
            <w:col w:w="5399"/>
          </w:cols>
          <w:pgMar w:left="240" w:top="463"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4"/>
          <w:szCs w:val="14"/>
          <w:color w:val="auto"/>
        </w:rPr>
        <w:t>SHAREHOLDER PROPOSALS</w:t>
      </w:r>
    </w:p>
    <w:p>
      <w:pPr>
        <w:sectPr>
          <w:pgSz w:w="11900" w:h="16838" w:orient="portrait"/>
          <w:cols w:equalWidth="0" w:num="1">
            <w:col w:w="10219"/>
          </w:cols>
          <w:pgMar w:left="240" w:top="463" w:right="1440" w:bottom="1440" w:gutter="0" w:footer="0" w:header="0"/>
          <w:type w:val="continuous"/>
        </w:sectPr>
      </w:pPr>
    </w:p>
    <w:p>
      <w:pPr>
        <w:spacing w:after="0" w:line="18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At the Annual Meeting, Ocwen may exercise discretionary authority when voting on a shareholder proposal that is not included as an agenda item in this Proxy Statement if the proposal was received by Ocwen after February 11, 2004 and the proposal is properly presented at the annual meeting. Ocwen did not receive notice of any shareholder proposal relating to the Annual Meeting.</w:t>
      </w:r>
    </w:p>
    <w:p>
      <w:pPr>
        <w:spacing w:after="0" w:line="175"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Any proposal which a shareholder desires to have included in the proxy materials of Ocwen relating to the next Annual Meeting of Shareholders, which is scheduled to be held in May 2005 (the "2005 Annual Meeting"), must be received at the executive offices of Ocwen no later than November 30, 2004. If notice of a shareholder proposal relating to the 2005 Annual Meeting is received on or prior</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3" w:right="1440" w:bottom="1440" w:gutter="0" w:footer="0" w:header="0"/>
          <w:type w:val="continuous"/>
        </w:sectPr>
      </w:pPr>
    </w:p>
    <w:bookmarkStart w:id="18" w:name="page19"/>
    <w:bookmarkEnd w:id="18"/>
    <w:p>
      <w:pPr>
        <w:ind w:right="3079"/>
        <w:spacing w:after="0" w:line="242" w:lineRule="auto"/>
        <w:rPr>
          <w:sz w:val="20"/>
          <w:szCs w:val="20"/>
          <w:color w:val="auto"/>
        </w:rPr>
      </w:pPr>
      <w:r>
        <w:rPr>
          <w:rFonts w:ascii="Courier New" w:cs="Courier New" w:eastAsia="Courier New" w:hAnsi="Courier New"/>
          <w:sz w:val="15"/>
          <w:szCs w:val="15"/>
          <w:color w:val="auto"/>
        </w:rPr>
        <w:t>to February 15, 2005 and the proposal is properly presented at the 2005 Annual Meeting, then the Company may exercise discretionary authority when voting on the proposal, unless the shareholder satisfies certain requirements of the SEC, including mailing a separate proxy statement to Ocwen's shareholders. If notice of a shareholder proposal relating to the 2005 Annual Meeting is received by Ocwen after February 15, 2005 and the proposal is properly presented at the 2005 Annual Meeting, then Ocwen may exercise discretionary authority when voting on the proposal.</w:t>
      </w:r>
    </w:p>
    <w:p>
      <w:pPr>
        <w:spacing w:after="0" w:line="177"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All shareholder proposals should be directed to Ocwen Financial Corporation, Attn: Secretary, 1675 Palm Beach Lakes Boulevard, West Palm Beach, Florida 33401. It is urged that any shareholder proposal be sent certified mail, return-receipt requested.</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ANNUAL REPORTS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 copy of Ocwen's Annual Report to Shareholders for the year ended December 31, 2003 was mailed to shareholders entitled to notice of the Annual Meeting commencing on or about March 29, 2004. Such report is not part of the proxy solicitation materials.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2003 required to be filed by Ocwen with the SEC under the Exchange Act. Such requests should be directed to Shareholder Relations, Ocwen Financial Corporation, 1675 Palm Beach Lakes Boulevard, West Palm Beach, Florida 33401, telephone number (561) 682-8400. Such report is not part of the proxy solicitation materials.</w:t>
      </w:r>
    </w:p>
    <w:p>
      <w:pPr>
        <w:spacing w:after="0" w:line="17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OTHER MATTERS</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6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3" w:right="1440" w:bottom="1440" w:gutter="0" w:footer="0" w:header="0"/>
        </w:sectPr>
      </w:pPr>
    </w:p>
    <w:bookmarkStart w:id="19" w:name="page20"/>
    <w:bookmarkEnd w:id="19"/>
    <w:p>
      <w:pPr>
        <w:jc w:val="center"/>
        <w:ind w:right="2991"/>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OCWEN FINANCIAL CORPORATION</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AUDIT COMMITTEE CHARTER</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NOVEMBER 7, 2002</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Amended March 8, 2004</w:t>
      </w:r>
    </w:p>
    <w:p>
      <w:pPr>
        <w:spacing w:after="0" w:line="346" w:lineRule="exact"/>
        <w:rPr>
          <w:sz w:val="20"/>
          <w:szCs w:val="20"/>
          <w:color w:val="auto"/>
        </w:rPr>
      </w:pPr>
    </w:p>
    <w:p>
      <w:pPr>
        <w:ind w:left="448" w:hanging="448"/>
        <w:spacing w:after="0"/>
        <w:tabs>
          <w:tab w:leader="none" w:pos="4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COMMITTEE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Committee's purpose is to provide assistance to the Board in fulfilling its legal and fiduciary obligations with respect to matters involving the accounting, auditing, financial reporting, internal control and legal compliance functions of the Corporation and its subsidiaries. This includes, without limitation, (a) assisting the Board's oversight of (i) the integrity of the Corporation's financial statements, (ii) the Corporation's compliance with legal and regulatory requirements, (iii) the Corporation's independent auditors' qualifications and independence and (iv) the performance of the Corporation's independent auditors and the Corporation's internal audit function, and (b) preparing the report required to be prepared by the Committee pursuant to the rules of the Securities and Exchange Commission (the "SEC") for inclusion in the Corporation's annual proxy statement.</w:t>
      </w:r>
    </w:p>
    <w:p>
      <w:pPr>
        <w:spacing w:after="0" w:line="178" w:lineRule="exact"/>
        <w:rPr>
          <w:sz w:val="20"/>
          <w:szCs w:val="20"/>
          <w:color w:val="auto"/>
        </w:rPr>
      </w:pPr>
    </w:p>
    <w:p>
      <w:pPr>
        <w:ind w:left="448" w:hanging="448"/>
        <w:spacing w:after="0"/>
        <w:tabs>
          <w:tab w:leader="none" w:pos="4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COMPOSITION OF THE COMMITTEE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Committee shall be comprised of three or more directors as determined from time to time by resolution of the Board. Each member of the Committee shall be qualified to serve on the Committee pursuant to the requirements of the New York Stock Exchange (the "NYSE") and the Sarbanes - Oxley Act of 2002 (the "Act") and the rules and regulations promulgated by the SEC pursuant to the Act. Director's fees (including any additional amounts paid to chairs of committees and to members of committees of the Board) are the only compensation a member of the Committee may receive from the Corporation.</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No director may serve as a member of the Committee if such director serves on the audit committee of more than two other public companies, unless the Board determines that such simultaneous service would not impair the ability of such director to effectively serve on the Committee. Any such determination must be disclosed in the Corporation's annual proxy statement.</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chairperson of the Committee shall be designated by the Board, provided that if the Board does not so designate a chairperson, the members of the Committee, by a majority vote, may designate a chairperson. Each member of the Committee must be "financially literate", as such qualification is interpreted by the Board in its business judgment, or must become financially literate within a reasonable period of time after his or her appointment to the Committee. In addition, at least one member of the Committee must have "accounting or related financial management expertise", as the Board interprets such qualification in its business judgement. Further, either (i) at least one member of the Committee must be a "financial expert", as such term is defined in the rules and regulations promulgated by the SEC pursuant to the Act, or (ii) if no member of the Committee is a "financial expert", the Committee shall so inform the Corporation.</w:t>
      </w:r>
    </w:p>
    <w:p>
      <w:pPr>
        <w:spacing w:after="0" w:line="181"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Any vacancy on the Committee shall be filled by majority vote of the Board at the next meeting of the Board following the occurrence of the vacancy. No member of the Committee may be removed except by majority vote of the Board.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III. MEETINGS OF THE COMMITTEE</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The Committee shall meet once every fiscal quarter or more frequently as it shall determine is necessary to carry out its duties and responsibilities. The Committee, in its discretion, may ask members of management or others to attend its meetings (or portions thereof) and to provide pertinent information as necessary. The Committee should meet separately on a periodic basis with (i) management, (ii) the director of the Corporation's internal auditing department or other person responsible for the internal audit function and (iii) the Corporation's independent auditors, in each case to discuss any matters that the</w:t>
      </w:r>
    </w:p>
    <w:p>
      <w:pPr>
        <w:spacing w:after="0" w:line="1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461" w:right="1440" w:bottom="1440" w:gutter="0" w:footer="0" w:header="0"/>
        </w:sectPr>
      </w:pPr>
    </w:p>
    <w:bookmarkStart w:id="20" w:name="page21"/>
    <w:bookmarkEnd w:id="20"/>
    <w:p>
      <w:pPr>
        <w:ind w:right="3599"/>
        <w:spacing w:after="0"/>
        <w:rPr>
          <w:sz w:val="20"/>
          <w:szCs w:val="20"/>
          <w:color w:val="auto"/>
        </w:rPr>
      </w:pPr>
      <w:r>
        <w:rPr>
          <w:rFonts w:ascii="Courier New" w:cs="Courier New" w:eastAsia="Courier New" w:hAnsi="Courier New"/>
          <w:sz w:val="15"/>
          <w:szCs w:val="15"/>
          <w:color w:val="auto"/>
        </w:rPr>
        <w:t>Committee or any of the above persons or firms believe should be discussed privately.</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 majority of the members of the Committee present in person or by means of a conference telephone or other communications equipment by means of which all persons participating in the meeting can hear each other shall constitute a quorum.</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Committee shall maintain minutes of its meetings and records relating to those meetings and provide copies of such minutes to the Board.</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IV.</w:t>
        <w:tab/>
        <w:t>DUTIES AND RESPONSIBILITIES OF THE COMMITTEE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carrying out its duties and responsibilities, the Committee's policies and procedures should remain flexible, so that it may be in a position to best react or respond to changing circumstances or conditions. The following are within the authority of the Committee:</w:t>
      </w:r>
    </w:p>
    <w:p>
      <w:pPr>
        <w:spacing w:after="0" w:line="175" w:lineRule="exact"/>
        <w:rPr>
          <w:sz w:val="20"/>
          <w:szCs w:val="20"/>
          <w:color w:val="auto"/>
        </w:rPr>
      </w:pPr>
    </w:p>
    <w:p>
      <w:pPr>
        <w:ind w:right="3079" w:firstLine="439"/>
        <w:spacing w:after="0" w:line="242" w:lineRule="auto"/>
        <w:tabs>
          <w:tab w:leader="none" w:pos="8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in its sole discretion (subject to shareholder ratification), the firm of independent auditors to audit the books and accounts of the Corporation and its subsidiaries for each fiscal year, instruct the Corporation's independent auditors that they are ultimately accountable to the Committee and approve the independent auditors' annual engagement letter as well as all audit and, as provided in the Act, all permitted non-audit engagements and relationships between the Corporation and such auditors;</w:t>
      </w:r>
    </w:p>
    <w:p>
      <w:pPr>
        <w:spacing w:after="0" w:line="176" w:lineRule="exact"/>
        <w:rPr>
          <w:rFonts w:ascii="Courier New" w:cs="Courier New" w:eastAsia="Courier New" w:hAnsi="Courier New"/>
          <w:sz w:val="15"/>
          <w:szCs w:val="15"/>
          <w:color w:val="auto"/>
        </w:rPr>
      </w:pPr>
    </w:p>
    <w:p>
      <w:pPr>
        <w:ind w:right="3599" w:firstLine="439"/>
        <w:spacing w:after="0" w:line="242" w:lineRule="auto"/>
        <w:tabs>
          <w:tab w:leader="none" w:pos="8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performance of the Corporation's independent auditors, including the lead partner of the independent auditors, and, in its sole discretion, make decisions regarding the replacement or termination of the independent auditors when circumstances warrant;</w:t>
      </w:r>
    </w:p>
    <w:p>
      <w:pPr>
        <w:spacing w:after="0" w:line="174" w:lineRule="exact"/>
        <w:rPr>
          <w:rFonts w:ascii="Courier New" w:cs="Courier New" w:eastAsia="Courier New" w:hAnsi="Courier New"/>
          <w:sz w:val="15"/>
          <w:szCs w:val="15"/>
          <w:color w:val="auto"/>
        </w:rPr>
      </w:pPr>
    </w:p>
    <w:p>
      <w:pPr>
        <w:ind w:right="3599" w:firstLine="439"/>
        <w:spacing w:after="0"/>
        <w:tabs>
          <w:tab w:leader="none" w:pos="80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and review at least annually the report of the independent auditors describing:</w:t>
      </w:r>
    </w:p>
    <w:p>
      <w:pPr>
        <w:spacing w:after="0" w:line="174" w:lineRule="exact"/>
        <w:rPr>
          <w:rFonts w:ascii="Courier New" w:cs="Courier New" w:eastAsia="Courier New" w:hAnsi="Courier New"/>
          <w:sz w:val="15"/>
          <w:szCs w:val="15"/>
          <w:color w:val="auto"/>
        </w:rPr>
      </w:pPr>
    </w:p>
    <w:p>
      <w:pPr>
        <w:ind w:left="1340" w:hanging="543"/>
        <w:spacing w:after="0"/>
        <w:tabs>
          <w:tab w:leader="none" w:pos="134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independent auditors' internal quality-control procedures;</w:t>
      </w:r>
    </w:p>
    <w:p>
      <w:pPr>
        <w:spacing w:after="0" w:line="175" w:lineRule="exact"/>
        <w:rPr>
          <w:rFonts w:ascii="Courier New" w:cs="Courier New" w:eastAsia="Courier New" w:hAnsi="Courier New"/>
          <w:sz w:val="15"/>
          <w:szCs w:val="15"/>
          <w:color w:val="auto"/>
        </w:rPr>
      </w:pPr>
    </w:p>
    <w:p>
      <w:pPr>
        <w:ind w:right="3159" w:firstLine="797"/>
        <w:spacing w:after="0" w:line="263" w:lineRule="auto"/>
        <w:tabs>
          <w:tab w:leader="none" w:pos="1342"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issues raised by the most recent internal quality-control review, by a peer review or by any inquiry or investigation by any governmental or professional authority of the independent auditors, within the preceding five years, respecting one or more independent audits carried out by the independent auditors, and any steps taken to deal with any such issues; and</w:t>
      </w:r>
    </w:p>
    <w:p>
      <w:pPr>
        <w:spacing w:after="0" w:line="163" w:lineRule="exact"/>
        <w:rPr>
          <w:rFonts w:ascii="Courier New" w:cs="Courier New" w:eastAsia="Courier New" w:hAnsi="Courier New"/>
          <w:sz w:val="14"/>
          <w:szCs w:val="14"/>
          <w:color w:val="auto"/>
        </w:rPr>
      </w:pPr>
    </w:p>
    <w:p>
      <w:pPr>
        <w:ind w:right="3339" w:firstLine="797"/>
        <w:spacing w:after="0" w:line="242" w:lineRule="auto"/>
        <w:tabs>
          <w:tab w:leader="none" w:pos="1342"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relationships between the independent auditors and the Corporation (including a description of each category of services provided by the independent auditors to the Corporation and a list of the fees billed for each such category);</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Committee should present its conclusions with respect to the above matters, as well as its review of the lead partner of the independent auditors, and its views on whether there should be a regular rotation of the independent auditors, to the Board.</w:t>
      </w:r>
    </w:p>
    <w:p>
      <w:pPr>
        <w:spacing w:after="0" w:line="173" w:lineRule="exact"/>
        <w:rPr>
          <w:sz w:val="20"/>
          <w:szCs w:val="20"/>
          <w:color w:val="auto"/>
        </w:rPr>
      </w:pPr>
    </w:p>
    <w:p>
      <w:pPr>
        <w:ind w:left="800" w:hanging="361"/>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 the independence of the independent auditors by, among other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things:</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34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actively engaging in a dialogue with the independent auditors with respect to any disclosed relationships or services that may impact the objectivity and independence of the independent auditors, and taking appropriate action to satisfy it of the auditors' independence;</w:t>
      </w:r>
    </w:p>
    <w:p>
      <w:pPr>
        <w:spacing w:after="0" w:line="174" w:lineRule="exact"/>
        <w:rPr>
          <w:rFonts w:ascii="Courier New" w:cs="Courier New" w:eastAsia="Courier New" w:hAnsi="Courier New"/>
          <w:sz w:val="15"/>
          <w:szCs w:val="15"/>
          <w:color w:val="auto"/>
        </w:rPr>
      </w:pPr>
    </w:p>
    <w:p>
      <w:pPr>
        <w:ind w:right="3079" w:firstLine="797"/>
        <w:spacing w:after="0" w:line="242" w:lineRule="auto"/>
        <w:tabs>
          <w:tab w:leader="none" w:pos="1342"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inquiring that the lead audit partner and reviewing audit partner responsible for the audit of the Corporation's financials statements have not performed audit services for the Corporation for more than the previous five consecutive fiscal years of the Corporation;</w:t>
      </w:r>
    </w:p>
    <w:p>
      <w:pPr>
        <w:spacing w:after="0" w:line="174" w:lineRule="exact"/>
        <w:rPr>
          <w:rFonts w:ascii="Courier New" w:cs="Courier New" w:eastAsia="Courier New" w:hAnsi="Courier New"/>
          <w:sz w:val="15"/>
          <w:szCs w:val="15"/>
          <w:color w:val="auto"/>
        </w:rPr>
      </w:pPr>
    </w:p>
    <w:p>
      <w:pPr>
        <w:ind w:right="3339" w:firstLine="797"/>
        <w:spacing w:after="0" w:line="267" w:lineRule="auto"/>
        <w:tabs>
          <w:tab w:leader="none" w:pos="1342"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inquiring that the chief executive officer, controller, chief financial officer, chief accounting officer or other persons serving in an equivalent position of the Corporation, was not, within one year prior to the</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5" w:right="1440" w:bottom="1440" w:gutter="0" w:footer="0" w:header="0"/>
        </w:sectPr>
      </w:pPr>
    </w:p>
    <w:bookmarkStart w:id="21" w:name="page22"/>
    <w:bookmarkEnd w:id="21"/>
    <w:p>
      <w:pPr>
        <w:ind w:right="3079"/>
        <w:spacing w:after="0"/>
        <w:rPr>
          <w:sz w:val="20"/>
          <w:szCs w:val="20"/>
          <w:color w:val="auto"/>
        </w:rPr>
      </w:pPr>
      <w:r>
        <w:rPr>
          <w:rFonts w:ascii="Courier New" w:cs="Courier New" w:eastAsia="Courier New" w:hAnsi="Courier New"/>
          <w:sz w:val="15"/>
          <w:szCs w:val="15"/>
          <w:color w:val="auto"/>
        </w:rPr>
        <w:t>initiation of the audit, an employee of the independent auditor who participated in any capacity in the Corporation's audit; and</w:t>
      </w:r>
    </w:p>
    <w:p>
      <w:pPr>
        <w:spacing w:after="0" w:line="176" w:lineRule="exact"/>
        <w:rPr>
          <w:sz w:val="20"/>
          <w:szCs w:val="20"/>
          <w:color w:val="auto"/>
        </w:rPr>
      </w:pPr>
    </w:p>
    <w:p>
      <w:pPr>
        <w:ind w:right="3439" w:firstLine="797"/>
        <w:spacing w:after="0"/>
        <w:tabs>
          <w:tab w:leader="none" w:pos="134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considering whether there should be a regular rotation of the Corporation's independent auditors;</w:t>
      </w:r>
    </w:p>
    <w:p>
      <w:pPr>
        <w:spacing w:after="0" w:line="176" w:lineRule="exact"/>
        <w:rPr>
          <w:rFonts w:ascii="Courier New" w:cs="Courier New" w:eastAsia="Courier New" w:hAnsi="Courier New"/>
          <w:sz w:val="15"/>
          <w:szCs w:val="15"/>
          <w:color w:val="auto"/>
        </w:rPr>
      </w:pPr>
    </w:p>
    <w:p>
      <w:pPr>
        <w:ind w:right="3079" w:firstLine="439"/>
        <w:spacing w:after="0" w:line="241" w:lineRule="auto"/>
        <w:tabs>
          <w:tab w:leader="none" w:pos="8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annual audit plan of the Corporation's independent auditors, including the scope of the audit and monitor such plan's progress and results during the year;</w:t>
      </w:r>
    </w:p>
    <w:p>
      <w:pPr>
        <w:spacing w:after="0" w:line="176" w:lineRule="exact"/>
        <w:rPr>
          <w:rFonts w:ascii="Courier New" w:cs="Courier New" w:eastAsia="Courier New" w:hAnsi="Courier New"/>
          <w:sz w:val="15"/>
          <w:szCs w:val="15"/>
          <w:color w:val="auto"/>
        </w:rPr>
      </w:pPr>
    </w:p>
    <w:p>
      <w:pPr>
        <w:ind w:right="3259" w:firstLine="439"/>
        <w:spacing w:after="0" w:line="242" w:lineRule="auto"/>
        <w:tabs>
          <w:tab w:leader="none" w:pos="8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results of the year-end audit of the Corporation by the independent auditors, including any significant matters regarding internal controls over financial reporting that have come to their attention during the conduct of their audit;</w:t>
      </w:r>
    </w:p>
    <w:p>
      <w:pPr>
        <w:spacing w:after="0" w:line="174" w:lineRule="exact"/>
        <w:rPr>
          <w:rFonts w:ascii="Courier New" w:cs="Courier New" w:eastAsia="Courier New" w:hAnsi="Courier New"/>
          <w:sz w:val="15"/>
          <w:szCs w:val="15"/>
          <w:color w:val="auto"/>
        </w:rPr>
      </w:pPr>
    </w:p>
    <w:p>
      <w:pPr>
        <w:ind w:right="3159" w:firstLine="439"/>
        <w:spacing w:after="0"/>
        <w:tabs>
          <w:tab w:leader="none" w:pos="8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the Corporation's independent auditors and the director of the Corporation's internal auditing department, the following:</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Corporation's annual audited financial statements and quarterly unaudited financial statements, including the Corporation's disclosures under "Management's Discussion and Analysis of Financial Condition and Results of Operations";</w:t>
      </w:r>
    </w:p>
    <w:p>
      <w:pPr>
        <w:spacing w:after="0" w:line="174" w:lineRule="exact"/>
        <w:rPr>
          <w:rFonts w:ascii="Courier New" w:cs="Courier New" w:eastAsia="Courier New" w:hAnsi="Courier New"/>
          <w:sz w:val="15"/>
          <w:szCs w:val="15"/>
          <w:color w:val="auto"/>
        </w:rPr>
      </w:pPr>
    </w:p>
    <w:p>
      <w:pPr>
        <w:ind w:right="3259" w:firstLine="797"/>
        <w:spacing w:after="0" w:line="242" w:lineRule="auto"/>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critical accounting policies and such other accounting policies of the Corporation as are deemed appropriate for review by the Committee prior to any interim or year-end filings with the SEC or other regulatory body, including any financial reporting issues which could have a material impact on the Corporation's financial statements;</w:t>
      </w:r>
    </w:p>
    <w:p>
      <w:pPr>
        <w:spacing w:after="0" w:line="175" w:lineRule="exact"/>
        <w:rPr>
          <w:rFonts w:ascii="Courier New" w:cs="Courier New" w:eastAsia="Courier New" w:hAnsi="Courier New"/>
          <w:sz w:val="15"/>
          <w:szCs w:val="15"/>
          <w:color w:val="auto"/>
        </w:rPr>
      </w:pPr>
    </w:p>
    <w:p>
      <w:pPr>
        <w:ind w:right="3779" w:firstLine="797"/>
        <w:spacing w:after="0"/>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significant changes in the Corporation's selection or application of accounting principles;</w:t>
      </w:r>
    </w:p>
    <w:p>
      <w:pPr>
        <w:spacing w:after="0" w:line="176" w:lineRule="exact"/>
        <w:rPr>
          <w:rFonts w:ascii="Courier New" w:cs="Courier New" w:eastAsia="Courier New" w:hAnsi="Courier New"/>
          <w:sz w:val="15"/>
          <w:szCs w:val="15"/>
          <w:color w:val="auto"/>
        </w:rPr>
      </w:pPr>
    </w:p>
    <w:p>
      <w:pPr>
        <w:ind w:right="3259" w:firstLine="797"/>
        <w:spacing w:after="0" w:line="242" w:lineRule="auto"/>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alternative treatments of financial information that have been discussed by the independent auditors and management, ramifications of the use of such alternative disclosures and treatments and the treatment preferred by the auditors;</w:t>
      </w:r>
    </w:p>
    <w:p>
      <w:pPr>
        <w:spacing w:after="0" w:line="174" w:lineRule="exact"/>
        <w:rPr>
          <w:rFonts w:ascii="Courier New" w:cs="Courier New" w:eastAsia="Courier New" w:hAnsi="Courier New"/>
          <w:sz w:val="15"/>
          <w:szCs w:val="15"/>
          <w:color w:val="auto"/>
        </w:rPr>
      </w:pPr>
    </w:p>
    <w:p>
      <w:pPr>
        <w:ind w:right="3079" w:firstLine="797"/>
        <w:spacing w:after="0"/>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material written communications between the independent auditors and management; and</w:t>
      </w:r>
    </w:p>
    <w:p>
      <w:pPr>
        <w:spacing w:after="0" w:line="176" w:lineRule="exact"/>
        <w:rPr>
          <w:rFonts w:ascii="Courier New" w:cs="Courier New" w:eastAsia="Courier New" w:hAnsi="Courier New"/>
          <w:sz w:val="15"/>
          <w:szCs w:val="15"/>
          <w:color w:val="auto"/>
        </w:rPr>
      </w:pPr>
    </w:p>
    <w:p>
      <w:pPr>
        <w:ind w:right="3599" w:firstLine="797"/>
        <w:spacing w:after="0"/>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 of off-balance sheet structures on the financial statements of the Corporation;</w:t>
      </w:r>
    </w:p>
    <w:p>
      <w:pPr>
        <w:spacing w:after="0" w:line="176" w:lineRule="exact"/>
        <w:rPr>
          <w:rFonts w:ascii="Courier New" w:cs="Courier New" w:eastAsia="Courier New" w:hAnsi="Courier New"/>
          <w:sz w:val="15"/>
          <w:szCs w:val="15"/>
          <w:color w:val="auto"/>
        </w:rPr>
      </w:pPr>
    </w:p>
    <w:p>
      <w:pPr>
        <w:ind w:right="3079" w:firstLine="439"/>
        <w:spacing w:after="0"/>
        <w:tabs>
          <w:tab w:leader="none" w:pos="8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the chief executive officer and chief financial officer and independent auditors, periodically, the following:</w:t>
      </w:r>
    </w:p>
    <w:p>
      <w:pPr>
        <w:spacing w:after="0" w:line="176" w:lineRule="exact"/>
        <w:rPr>
          <w:rFonts w:ascii="Courier New" w:cs="Courier New" w:eastAsia="Courier New" w:hAnsi="Courier New"/>
          <w:sz w:val="15"/>
          <w:szCs w:val="15"/>
          <w:color w:val="auto"/>
        </w:rPr>
      </w:pPr>
    </w:p>
    <w:p>
      <w:pPr>
        <w:ind w:right="3339" w:firstLine="797"/>
        <w:spacing w:after="0" w:line="242" w:lineRule="auto"/>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 controls which could adversely affect the Corporation's ability to record, process, summarize, and report financial data, including any material weaknesses in internal controls identified by the Corporation's independent auditors;</w:t>
      </w:r>
    </w:p>
    <w:p>
      <w:pPr>
        <w:spacing w:after="0" w:line="175" w:lineRule="exact"/>
        <w:rPr>
          <w:rFonts w:ascii="Courier New" w:cs="Courier New" w:eastAsia="Courier New" w:hAnsi="Courier New"/>
          <w:sz w:val="15"/>
          <w:szCs w:val="15"/>
          <w:color w:val="auto"/>
        </w:rPr>
      </w:pPr>
    </w:p>
    <w:p>
      <w:pPr>
        <w:ind w:right="3259" w:firstLine="797"/>
        <w:spacing w:after="0" w:line="241" w:lineRule="auto"/>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Corporation's internal controls; and</w:t>
      </w:r>
    </w:p>
    <w:p>
      <w:pPr>
        <w:spacing w:after="0" w:line="176" w:lineRule="exact"/>
        <w:rPr>
          <w:rFonts w:ascii="Courier New" w:cs="Courier New" w:eastAsia="Courier New" w:hAnsi="Courier New"/>
          <w:sz w:val="15"/>
          <w:szCs w:val="15"/>
          <w:color w:val="auto"/>
        </w:rPr>
      </w:pPr>
    </w:p>
    <w:p>
      <w:pPr>
        <w:ind w:right="3599" w:firstLine="797"/>
        <w:spacing w:after="0" w:line="241" w:lineRule="auto"/>
        <w:tabs>
          <w:tab w:leader="none" w:pos="1342"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significant changes in internal controls over financial reporting, including any corrective actions with regard to significant deficiencies and material weaknesses.</w:t>
      </w:r>
    </w:p>
    <w:p>
      <w:pPr>
        <w:spacing w:after="0" w:line="176" w:lineRule="exact"/>
        <w:rPr>
          <w:rFonts w:ascii="Courier New" w:cs="Courier New" w:eastAsia="Courier New" w:hAnsi="Courier New"/>
          <w:sz w:val="15"/>
          <w:szCs w:val="15"/>
          <w:color w:val="auto"/>
        </w:rPr>
      </w:pPr>
    </w:p>
    <w:p>
      <w:pPr>
        <w:ind w:right="3879" w:firstLine="439"/>
        <w:spacing w:after="0" w:line="274" w:lineRule="auto"/>
        <w:tabs>
          <w:tab w:leader="none" w:pos="80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Attempt to resolve all disagreements between the Corporation's independent auditors and management regarding financial reporting;</w:t>
      </w:r>
    </w:p>
    <w:p>
      <w:pPr>
        <w:spacing w:after="0" w:line="153" w:lineRule="exact"/>
        <w:rPr>
          <w:rFonts w:ascii="Courier New" w:cs="Courier New" w:eastAsia="Courier New" w:hAnsi="Courier New"/>
          <w:sz w:val="14"/>
          <w:szCs w:val="14"/>
          <w:color w:val="auto"/>
        </w:rPr>
      </w:pPr>
    </w:p>
    <w:p>
      <w:pPr>
        <w:ind w:right="3079" w:firstLine="439"/>
        <w:spacing w:after="0" w:line="263" w:lineRule="auto"/>
        <w:tabs>
          <w:tab w:leader="none" w:pos="80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on a regular basis with the Corporation's independent auditors any major issues or serious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5" w:right="1440" w:bottom="1440" w:gutter="0" w:footer="0" w:header="0"/>
        </w:sectPr>
      </w:pPr>
    </w:p>
    <w:bookmarkStart w:id="22" w:name="page23"/>
    <w:bookmarkEnd w:id="22"/>
    <w:p>
      <w:pPr>
        <w:ind w:right="3699"/>
        <w:spacing w:after="0"/>
        <w:rPr>
          <w:sz w:val="20"/>
          <w:szCs w:val="20"/>
          <w:color w:val="auto"/>
        </w:rPr>
      </w:pPr>
      <w:r>
        <w:rPr>
          <w:rFonts w:ascii="Courier New" w:cs="Courier New" w:eastAsia="Courier New" w:hAnsi="Courier New"/>
          <w:sz w:val="15"/>
          <w:szCs w:val="15"/>
          <w:color w:val="auto"/>
        </w:rPr>
        <w:t>management. In connection therewith, the Committee should review with the independent auditors the following:</w:t>
      </w:r>
    </w:p>
    <w:p>
      <w:pPr>
        <w:spacing w:after="0" w:line="176" w:lineRule="exact"/>
        <w:rPr>
          <w:sz w:val="20"/>
          <w:szCs w:val="20"/>
          <w:color w:val="auto"/>
        </w:rPr>
      </w:pPr>
    </w:p>
    <w:p>
      <w:pPr>
        <w:ind w:right="3439" w:firstLine="797"/>
        <w:spacing w:after="0"/>
        <w:tabs>
          <w:tab w:leader="none" w:pos="134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accounting adjustments that were noted or proposed by the independent auditors but were rejected by management;</w:t>
      </w:r>
    </w:p>
    <w:p>
      <w:pPr>
        <w:spacing w:after="0" w:line="176" w:lineRule="exact"/>
        <w:rPr>
          <w:rFonts w:ascii="Courier New" w:cs="Courier New" w:eastAsia="Courier New" w:hAnsi="Courier New"/>
          <w:sz w:val="15"/>
          <w:szCs w:val="15"/>
          <w:color w:val="auto"/>
        </w:rPr>
      </w:pPr>
    </w:p>
    <w:p>
      <w:pPr>
        <w:ind w:right="3339" w:firstLine="797"/>
        <w:spacing w:after="0" w:line="241" w:lineRule="auto"/>
        <w:tabs>
          <w:tab w:leader="none" w:pos="134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significant consultations on matters that are otherwise required to be disclosed to the Committee made with the independent auditor's national office respecting auditing or accounting issues' and</w:t>
      </w:r>
    </w:p>
    <w:p>
      <w:pPr>
        <w:spacing w:after="0" w:line="176" w:lineRule="exact"/>
        <w:rPr>
          <w:rFonts w:ascii="Courier New" w:cs="Courier New" w:eastAsia="Courier New" w:hAnsi="Courier New"/>
          <w:sz w:val="15"/>
          <w:szCs w:val="15"/>
          <w:color w:val="auto"/>
        </w:rPr>
      </w:pPr>
    </w:p>
    <w:p>
      <w:pPr>
        <w:ind w:right="3599" w:firstLine="797"/>
        <w:spacing w:after="0"/>
        <w:tabs>
          <w:tab w:leader="none" w:pos="134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"management" or "internal control" letter issued by the independent auditors to the Corporation;</w:t>
      </w:r>
    </w:p>
    <w:p>
      <w:pPr>
        <w:spacing w:after="0" w:line="176" w:lineRule="exact"/>
        <w:rPr>
          <w:rFonts w:ascii="Courier New" w:cs="Courier New" w:eastAsia="Courier New" w:hAnsi="Courier New"/>
          <w:sz w:val="15"/>
          <w:szCs w:val="15"/>
          <w:color w:val="auto"/>
        </w:rPr>
      </w:pPr>
    </w:p>
    <w:p>
      <w:pPr>
        <w:ind w:right="3079" w:firstLine="439"/>
        <w:spacing w:after="0" w:line="241" w:lineRule="auto"/>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 that the Corporation's interim financial statements included in Quarterly Reports on Form 10- Q have been reviewed by the Corporation's independent auditors;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w:t>
      </w:r>
    </w:p>
    <w:p>
      <w:pPr>
        <w:spacing w:after="0" w:line="175" w:lineRule="exact"/>
        <w:rPr>
          <w:rFonts w:ascii="Courier New" w:cs="Courier New" w:eastAsia="Courier New" w:hAnsi="Courier New"/>
          <w:sz w:val="15"/>
          <w:szCs w:val="15"/>
          <w:color w:val="auto"/>
        </w:rPr>
      </w:pPr>
    </w:p>
    <w:p>
      <w:pPr>
        <w:ind w:right="3259" w:firstLine="797"/>
        <w:spacing w:after="0" w:line="242" w:lineRule="auto"/>
        <w:tabs>
          <w:tab w:leader="none" w:pos="134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and effectiveness of the Corporation's accounting and internal control policies and procedures on a regular basis, including the responsibilities, budget and staffing of the Corporation's internal audit function, through inquiry and discussions with the Corporation's internal auditors and management of the Corporation; and</w:t>
      </w:r>
    </w:p>
    <w:p>
      <w:pPr>
        <w:spacing w:after="0" w:line="175" w:lineRule="exact"/>
        <w:rPr>
          <w:rFonts w:ascii="Courier New" w:cs="Courier New" w:eastAsia="Courier New" w:hAnsi="Courier New"/>
          <w:sz w:val="15"/>
          <w:szCs w:val="15"/>
          <w:color w:val="auto"/>
        </w:rPr>
      </w:pPr>
    </w:p>
    <w:p>
      <w:pPr>
        <w:ind w:right="3339" w:firstLine="797"/>
        <w:spacing w:after="0" w:line="242" w:lineRule="auto"/>
        <w:tabs>
          <w:tab w:leader="none" w:pos="134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required report prepared by management, and attested to by the Corporation's independent auditors, regarding the effectiveness of the Corporation's internal controls over financial reporting and stating management's responsibility to establish and maintain such internal controls, prior to its inclusion in the Corporation's annual report;</w:t>
      </w:r>
    </w:p>
    <w:p>
      <w:pPr>
        <w:spacing w:after="0" w:line="175" w:lineRule="exact"/>
        <w:rPr>
          <w:rFonts w:ascii="Courier New" w:cs="Courier New" w:eastAsia="Courier New" w:hAnsi="Courier New"/>
          <w:sz w:val="15"/>
          <w:szCs w:val="15"/>
          <w:color w:val="auto"/>
        </w:rPr>
      </w:pPr>
    </w:p>
    <w:p>
      <w:pPr>
        <w:ind w:right="3159" w:firstLine="439"/>
        <w:spacing w:after="0" w:line="242" w:lineRule="auto"/>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the Corporation's administrative, operational and accounting internal controls, including any special steps adopted in light of the discovery of material control deficiencies, and evaluate whether the Corporation is operating in accordance with its prescribed policies, procedures and codes of conduct;</w:t>
      </w:r>
    </w:p>
    <w:p>
      <w:pPr>
        <w:spacing w:after="0" w:line="175" w:lineRule="exact"/>
        <w:rPr>
          <w:rFonts w:ascii="Courier New" w:cs="Courier New" w:eastAsia="Courier New" w:hAnsi="Courier New"/>
          <w:sz w:val="15"/>
          <w:szCs w:val="15"/>
          <w:color w:val="auto"/>
        </w:rPr>
      </w:pPr>
    </w:p>
    <w:p>
      <w:pPr>
        <w:ind w:right="3259" w:firstLine="439"/>
        <w:spacing w:after="0" w:line="241" w:lineRule="auto"/>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periodic reports from management to assess the impact on the Corporation of significant accounting or financial reporting developments that may have a bearing on the Corporation;</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and maintain free and open means of communication between and among the Board, the Committee, the Corporation's independent auditors, the Corporation's internal auditing department and management, including providing such parties with appropriate opportunities to meet separately and privately with the Committee on a periodic basis;</w:t>
      </w:r>
    </w:p>
    <w:p>
      <w:pPr>
        <w:spacing w:after="0" w:line="175"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earnings press releases (especially the use of "pro forma" or "adjusted" information not prepared in compliance with generally accepted accounting principles), as well as financial information and earnings guidance provided by the Corporation to analysts and rating agencies which review may be done generally (i.e., discussion of the types of information to be disclosed and type of presentations to be made), and the Committee need not discuss in advance each earnings release or each instance in which the Corporation may provide earnings guidance;</w:t>
      </w:r>
    </w:p>
    <w:p>
      <w:pPr>
        <w:spacing w:after="0" w:line="177" w:lineRule="exact"/>
        <w:rPr>
          <w:rFonts w:ascii="Courier New" w:cs="Courier New" w:eastAsia="Courier New" w:hAnsi="Courier New"/>
          <w:sz w:val="15"/>
          <w:szCs w:val="15"/>
          <w:color w:val="auto"/>
        </w:rPr>
      </w:pPr>
    </w:p>
    <w:p>
      <w:pPr>
        <w:ind w:right="3439" w:firstLine="439"/>
        <w:spacing w:after="0"/>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clear hiring policies by the Corporation for employees or former employees of the Corporation's independent auditors, as needed;</w:t>
      </w:r>
    </w:p>
    <w:p>
      <w:pPr>
        <w:spacing w:after="0" w:line="176" w:lineRule="exact"/>
        <w:rPr>
          <w:rFonts w:ascii="Courier New" w:cs="Courier New" w:eastAsia="Courier New" w:hAnsi="Courier New"/>
          <w:sz w:val="15"/>
          <w:szCs w:val="15"/>
          <w:color w:val="auto"/>
        </w:rPr>
      </w:pPr>
    </w:p>
    <w:p>
      <w:pPr>
        <w:ind w:right="3159" w:firstLine="439"/>
        <w:spacing w:after="0" w:line="242" w:lineRule="auto"/>
        <w:tabs>
          <w:tab w:leader="none" w:pos="805"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 guidelines and policies governing the process by which senior management of the Corporation assess and manage the Corporation's exposure to risk, as well as the Corporation's major financial risk exposures and the steps management has taken to monitor and control such exposures;</w:t>
      </w:r>
    </w:p>
    <w:p>
      <w:pPr>
        <w:spacing w:after="0" w:line="174" w:lineRule="exact"/>
        <w:rPr>
          <w:rFonts w:ascii="Courier New" w:cs="Courier New" w:eastAsia="Courier New" w:hAnsi="Courier New"/>
          <w:sz w:val="15"/>
          <w:szCs w:val="15"/>
          <w:color w:val="auto"/>
        </w:rPr>
      </w:pPr>
    </w:p>
    <w:p>
      <w:pPr>
        <w:ind w:right="3159" w:firstLine="439"/>
        <w:spacing w:after="0" w:line="267" w:lineRule="auto"/>
        <w:tabs>
          <w:tab w:leader="none" w:pos="80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 at least annually with the general counsel, and outside counsel when appropriate, to review legal and regulatory matters, including any matters that may have a material impact on the financial statements of the Corporation;</w:t>
      </w:r>
    </w:p>
    <w:p>
      <w:pPr>
        <w:spacing w:after="0" w:line="1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5" w:right="1440" w:bottom="1440" w:gutter="0" w:footer="0" w:header="0"/>
        </w:sectPr>
      </w:pPr>
    </w:p>
    <w:bookmarkStart w:id="23" w:name="page24"/>
    <w:bookmarkEnd w:id="23"/>
    <w:p>
      <w:pPr>
        <w:ind w:left="8" w:right="3259" w:firstLine="439"/>
        <w:spacing w:after="0"/>
        <w:tabs>
          <w:tab w:leader="none" w:pos="8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the report required by the rules of the SEC to be included in the Corporation's annual proxy statement;</w:t>
      </w:r>
    </w:p>
    <w:p>
      <w:pPr>
        <w:spacing w:after="0" w:line="176" w:lineRule="exact"/>
        <w:rPr>
          <w:rFonts w:ascii="Courier New" w:cs="Courier New" w:eastAsia="Courier New" w:hAnsi="Courier New"/>
          <w:sz w:val="15"/>
          <w:szCs w:val="15"/>
          <w:color w:val="auto"/>
        </w:rPr>
      </w:pPr>
    </w:p>
    <w:p>
      <w:pPr>
        <w:ind w:left="8" w:right="3519" w:firstLine="439"/>
        <w:spacing w:after="0" w:line="267" w:lineRule="auto"/>
        <w:tabs>
          <w:tab w:leader="none" w:pos="813"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the Corporation's program to monitor compliance with the Corporation's Code of Conduct, and meet periodically with the Corporation's Compliance Officer to discuss compliance with the Code of Conduct;</w:t>
      </w:r>
    </w:p>
    <w:p>
      <w:pPr>
        <w:spacing w:after="0" w:line="158" w:lineRule="exact"/>
        <w:rPr>
          <w:rFonts w:ascii="Courier New" w:cs="Courier New" w:eastAsia="Courier New" w:hAnsi="Courier New"/>
          <w:sz w:val="14"/>
          <w:szCs w:val="14"/>
          <w:color w:val="auto"/>
        </w:rPr>
      </w:pPr>
    </w:p>
    <w:p>
      <w:pPr>
        <w:ind w:left="8" w:right="3339" w:firstLine="439"/>
        <w:spacing w:after="0" w:line="274" w:lineRule="auto"/>
        <w:tabs>
          <w:tab w:leader="none" w:pos="813"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Obtain from the Corporation's independent auditors any information pursuant to Section l0A of the Securities Exchange Act of 1934, if triggered;</w:t>
      </w:r>
    </w:p>
    <w:p>
      <w:pPr>
        <w:spacing w:after="0" w:line="153" w:lineRule="exact"/>
        <w:rPr>
          <w:rFonts w:ascii="Courier New" w:cs="Courier New" w:eastAsia="Courier New" w:hAnsi="Courier New"/>
          <w:sz w:val="14"/>
          <w:szCs w:val="14"/>
          <w:color w:val="auto"/>
        </w:rPr>
      </w:pPr>
    </w:p>
    <w:p>
      <w:pPr>
        <w:ind w:left="8" w:right="3079" w:firstLine="439"/>
        <w:spacing w:after="0" w:line="242" w:lineRule="auto"/>
        <w:tabs>
          <w:tab w:leader="none" w:pos="8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procedures for (i) the receipt, retention and treatment of complaints received by the Corporation regarding accounting, internal accounting controls or auditing matters, and (ii) the confidential, anonymous submission by employees of the Corporation of concerns regarding questionable accounting or auditing matters;</w:t>
      </w:r>
    </w:p>
    <w:p>
      <w:pPr>
        <w:spacing w:after="0" w:line="175"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 independent expert advice to the extent the Committee determines it to be appropriate, including retaining independent counsel, accountants, consultants or others, to assist the Committee in fulfilling its duties and responsibilities, the cost of such independent expert advisors to be borne by the Corporation;</w:t>
      </w:r>
    </w:p>
    <w:p>
      <w:pPr>
        <w:spacing w:after="0" w:line="175"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regularly to the Board on its activities, as appropriate. In connection therewith, the Committee should review with the Board any issues that arise with respect to the quality or integrity of the Corporation's financial statements, the Corporation's compliance with legal or regulatory requirements, the performance and independence of the Corporation's independent auditors or the performance of the internal audit function;</w:t>
      </w:r>
    </w:p>
    <w:p>
      <w:pPr>
        <w:spacing w:after="0" w:line="176"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review with the Board an annual performance evaluation of the Committee, which evaluation must compare the performance of the Committee with the requirements of this Charter, and set forth the goals and objectives of the Committee for the upcoming year. The evaluation should include a review and assessment of the adequacy of the Committee's Charter. The performance evaluation by the Committee shall be conducted in such manner as the Committee deems appropriate. The report to the Board may take the form of an oral report by the chairperson of the Committee or any other member of the Committee designated by the Committee to make this report; and</w:t>
      </w:r>
    </w:p>
    <w:p>
      <w:pPr>
        <w:spacing w:after="0" w:line="178"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fulfilling their responsibilities hereunder, it is recognized that members of the Committee are not full-time employees of the Corporation. It is not the duty or responsibility of the Committee or its members to conduct "field work" or other types of auditing or accounting reviews or procedures or to set auditor independence standards. Each member of the Committee shall be entitled to rely on (i) the integrity of those persons and organizations within and outside the Corporation from which it receives information, (ii) the accuracy of the financial and other information provided to the Committee absent actual knowledge to the contrary (which shall be promptly reported to the Board) and</w:t>
      </w:r>
    </w:p>
    <w:p>
      <w:pPr>
        <w:spacing w:after="0" w:line="4" w:lineRule="exact"/>
        <w:rPr>
          <w:sz w:val="20"/>
          <w:szCs w:val="20"/>
          <w:color w:val="auto"/>
        </w:rPr>
      </w:pPr>
    </w:p>
    <w:p>
      <w:pPr>
        <w:ind w:left="528" w:hanging="528"/>
        <w:spacing w:after="0"/>
        <w:tabs>
          <w:tab w:leader="none" w:pos="52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made by management or third parties as to any information</w:t>
      </w:r>
    </w:p>
    <w:p>
      <w:pPr>
        <w:spacing w:after="0" w:line="3" w:lineRule="exact"/>
        <w:rPr>
          <w:rFonts w:ascii="Courier New" w:cs="Courier New" w:eastAsia="Courier New" w:hAnsi="Courier New"/>
          <w:sz w:val="15"/>
          <w:szCs w:val="15"/>
          <w:color w:val="auto"/>
        </w:rPr>
      </w:pPr>
    </w:p>
    <w:p>
      <w:pPr>
        <w:ind w:left="8"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internal audit and other non-audit services provided by the auditors to the Corporation.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635" w:right="1440" w:bottom="1440" w:gutter="0" w:footer="0" w:header="0"/>
        </w:sectPr>
      </w:pPr>
    </w:p>
    <w:bookmarkStart w:id="24" w:name="page25"/>
    <w:bookmarkEnd w:id="24"/>
    <w:p>
      <w:pPr>
        <w:jc w:val="center"/>
        <w:ind w:right="2999"/>
        <w:spacing w:after="0"/>
        <w:rPr>
          <w:sz w:val="20"/>
          <w:szCs w:val="20"/>
          <w:color w:val="auto"/>
        </w:rPr>
      </w:pPr>
      <w:r>
        <w:rPr>
          <w:rFonts w:ascii="Courier New" w:cs="Courier New" w:eastAsia="Courier New" w:hAnsi="Courier New"/>
          <w:sz w:val="15"/>
          <w:szCs w:val="15"/>
          <w:color w:val="auto"/>
        </w:rPr>
        <w:t>OCWEN FINANCIAL CORPORATION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1675 Palm Beach Lakes Boulevard - West Palm Beach, Florida 33401</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REVOCABLE PROXY</w:t>
      </w:r>
    </w:p>
    <w:p>
      <w:pPr>
        <w:spacing w:after="0" w:line="176" w:lineRule="exact"/>
        <w:rPr>
          <w:sz w:val="20"/>
          <w:szCs w:val="20"/>
          <w:color w:val="auto"/>
        </w:rPr>
      </w:pPr>
    </w:p>
    <w:p>
      <w:pPr>
        <w:jc w:val="center"/>
        <w:ind w:right="3079"/>
        <w:spacing w:after="0" w:line="241" w:lineRule="auto"/>
        <w:rPr>
          <w:sz w:val="20"/>
          <w:szCs w:val="20"/>
          <w:color w:val="auto"/>
        </w:rPr>
      </w:pPr>
      <w:r>
        <w:rPr>
          <w:rFonts w:ascii="Courier New" w:cs="Courier New" w:eastAsia="Courier New" w:hAnsi="Courier New"/>
          <w:sz w:val="15"/>
          <w:szCs w:val="15"/>
          <w:color w:val="auto"/>
        </w:rPr>
        <w:t>THIS PROXY IS BEING SOLICITED ON BEHALF OF THE BOARD OF DIRECTORS OF OCWEN FINANCIAL CORPORATION, FOR USE ONLY AT THE ANNUAL MEETING OF SHAREHOLDERS TO BE HELD ON MAY 18, 2004 AND AT ANY ADJOURNMENT THEREOF.</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undersigned hereby appoints John R. Erbey, William C. Erbey, Ronald M. Faris or any of them, as proxy, with full powers of substitution, and hereby authorizes them to represent and vote, as designated below, all the shares of Common Stock of Ocwen Financial Corporation (the "Company") held of record by the undersigned on March 18, 2004 at the Annual Meeting of Shareholders to be held at the offices of the Company located at 1675 Palm Beach Lakes Boulevard, West Palm Beach, Florida 33401 on Tuesday, May 18, 2004 at 9:00 a.m., Eastern Standard Time, and at any adjournment thereof.</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Shares of Common Stock of the Company will be voted as specified. If not otherwise specified, this proxy will be voted FOR the election of each of the Board of Directors' nominees to the Board of Directors and FOR the ratification of the appointment of PricewaterhouseCoopers LLP as independent auditor. You may revoke this proxy at any time prior to the time it is voted at the Annual Meeting.</w:t>
      </w:r>
    </w:p>
    <w:p>
      <w:pPr>
        <w:spacing w:after="0" w:line="176"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of Shareholders of Ocwen Financial Corporation to be held on May 18, 2004, or any adjournment thereof, a Proxy Statement for the Annual Meeting and the 2003 Annual Report to Shareholders of the Company prior to the signing of this proxy.</w:t>
      </w:r>
    </w:p>
    <w:p>
      <w:pPr>
        <w:spacing w:after="0" w:line="160" w:lineRule="exact"/>
        <w:rPr>
          <w:sz w:val="20"/>
          <w:szCs w:val="20"/>
          <w:color w:val="auto"/>
        </w:rPr>
      </w:pPr>
    </w:p>
    <w:p>
      <w:pPr>
        <w:jc w:val="center"/>
        <w:ind w:left="320" w:right="260"/>
        <w:spacing w:after="0" w:line="241" w:lineRule="auto"/>
        <w:rPr>
          <w:sz w:val="20"/>
          <w:szCs w:val="20"/>
          <w:color w:val="auto"/>
        </w:rPr>
      </w:pPr>
      <w:r>
        <w:rPr>
          <w:rFonts w:ascii="Courier New" w:cs="Courier New" w:eastAsia="Courier New" w:hAnsi="Courier New"/>
          <w:sz w:val="15"/>
          <w:szCs w:val="15"/>
          <w:color w:val="auto"/>
        </w:rPr>
        <w:t>PLEASE MARK, SIGN, DATE AND RETURN THIS PROXY PROMPTLY USING THE ENCLOSED ENVELOPE ADDRESSED TO: AMERICAN STOCK TRANSFER &amp; TRUST COMPANY, 59 MAIDEN LANE, NEW YORK, N.Y. 10038</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(Continued and to be dated and signed on the reverse side)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3" w:right="1440" w:bottom="1440" w:gutter="0" w:footer="0" w:header="0"/>
        </w:sectPr>
      </w:pPr>
    </w:p>
    <w:bookmarkStart w:id="25" w:name="page26"/>
    <w:bookmarkEnd w:id="25"/>
    <w:p>
      <w:pPr>
        <w:jc w:val="center"/>
        <w:ind w:right="3040"/>
        <w:spacing w:after="0"/>
        <w:rPr>
          <w:sz w:val="20"/>
          <w:szCs w:val="20"/>
          <w:color w:val="auto"/>
        </w:rPr>
      </w:pPr>
      <w:r>
        <w:rPr>
          <w:rFonts w:ascii="Courier New" w:cs="Courier New" w:eastAsia="Courier New" w:hAnsi="Courier New"/>
          <w:sz w:val="15"/>
          <w:szCs w:val="15"/>
          <w:color w:val="auto"/>
        </w:rPr>
        <w:t>ANNUAL MEETING OF SHAREHOLDERS OF</w:t>
      </w:r>
    </w:p>
    <w:p>
      <w:pPr>
        <w:spacing w:after="0" w:line="2"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OCWEN FINANCIAL CORPORATION</w:t>
      </w:r>
    </w:p>
    <w:p>
      <w:pPr>
        <w:spacing w:after="0" w:line="174"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MAY 18, 2004</w:t>
      </w:r>
    </w:p>
    <w:p>
      <w:pPr>
        <w:spacing w:after="0" w:line="174"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Please date, sign and mail</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your proxy card in the</w:t>
      </w:r>
    </w:p>
    <w:p>
      <w:pPr>
        <w:spacing w:after="0" w:line="2"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envelope provided as soon</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as possible.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detach and mail in the envelope provided.</w:t>
      </w:r>
    </w:p>
    <w:p>
      <w:pPr>
        <w:spacing w:after="0" w:line="174" w:lineRule="exact"/>
        <w:rPr>
          <w:sz w:val="20"/>
          <w:szCs w:val="20"/>
          <w:color w:val="auto"/>
        </w:rPr>
      </w:pPr>
    </w:p>
    <w:p>
      <w:pPr>
        <w:jc w:val="center"/>
        <w:ind w:right="3040"/>
        <w:spacing w:after="0"/>
        <w:rPr>
          <w:sz w:val="20"/>
          <w:szCs w:val="20"/>
          <w:color w:val="auto"/>
        </w:rPr>
      </w:pPr>
      <w:r>
        <w:rPr>
          <w:rFonts w:ascii="Courier New" w:cs="Courier New" w:eastAsia="Courier New" w:hAnsi="Courier New"/>
          <w:sz w:val="15"/>
          <w:szCs w:val="15"/>
          <w:color w:val="auto"/>
        </w:rPr>
        <w:t>PLEASE SIGN, DATE AND RETURN PROMPTLY IN THE ENCLOSED ENVELOPE. PLEASE MARK</w:t>
      </w:r>
    </w:p>
    <w:p>
      <w:pPr>
        <w:spacing w:after="0" w:line="2" w:lineRule="exact"/>
        <w:rPr>
          <w:sz w:val="20"/>
          <w:szCs w:val="20"/>
          <w:color w:val="auto"/>
        </w:rPr>
      </w:pPr>
    </w:p>
    <w:p>
      <w:pPr>
        <w:jc w:val="center"/>
        <w:ind w:right="3140"/>
        <w:spacing w:after="0"/>
        <w:rPr>
          <w:sz w:val="20"/>
          <w:szCs w:val="20"/>
          <w:color w:val="auto"/>
        </w:rPr>
      </w:pPr>
      <w:r>
        <w:rPr>
          <w:rFonts w:ascii="Courier New" w:cs="Courier New" w:eastAsia="Courier New" w:hAnsi="Courier New"/>
          <w:sz w:val="15"/>
          <w:szCs w:val="15"/>
          <w:color w:val="auto"/>
        </w:rPr>
        <w:t>YOUR VOTE IN BLUE OR BLACK INK AS SHOWN HERE [X]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80"/>
          </w:cols>
          <w:pgMar w:left="240" w:top="633" w:right="1379" w:bottom="1440" w:gutter="0" w:footer="0" w:header="0"/>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ELECTION OF DIRECTORS:</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NOMINEES:</w:t>
      </w:r>
    </w:p>
    <w:p>
      <w:pPr>
        <w:spacing w:after="0" w:line="174"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5"/>
          <w:szCs w:val="15"/>
          <w:color w:val="auto"/>
        </w:rPr>
        <w:t>[ ] FOR ALL NOMINEES</w:t>
      </w:r>
      <w:r>
        <w:rPr>
          <w:sz w:val="20"/>
          <w:szCs w:val="20"/>
          <w:color w:val="auto"/>
        </w:rPr>
        <w:tab/>
      </w:r>
      <w:r>
        <w:rPr>
          <w:rFonts w:ascii="Courier New" w:cs="Courier New" w:eastAsia="Courier New" w:hAnsi="Courier New"/>
          <w:sz w:val="14"/>
          <w:szCs w:val="14"/>
          <w:color w:val="auto"/>
        </w:rPr>
        <w:t>( ) William C. Erbey</w:t>
      </w:r>
    </w:p>
    <w:p>
      <w:pPr>
        <w:spacing w:after="0" w:line="2"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5"/>
          <w:szCs w:val="15"/>
          <w:color w:val="auto"/>
        </w:rPr>
        <w:t>[ ] WITHHOLD AUTHORITY</w:t>
      </w:r>
      <w:r>
        <w:rPr>
          <w:sz w:val="20"/>
          <w:szCs w:val="20"/>
          <w:color w:val="auto"/>
        </w:rPr>
        <w:tab/>
      </w:r>
      <w:r>
        <w:rPr>
          <w:rFonts w:ascii="Courier New" w:cs="Courier New" w:eastAsia="Courier New" w:hAnsi="Courier New"/>
          <w:sz w:val="14"/>
          <w:szCs w:val="14"/>
          <w:color w:val="auto"/>
        </w:rPr>
        <w:t>( ) Ronald M. Faris</w:t>
      </w:r>
    </w:p>
    <w:p>
      <w:pPr>
        <w:spacing w:after="0" w:line="2"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5"/>
          <w:szCs w:val="15"/>
          <w:color w:val="auto"/>
        </w:rPr>
        <w:t>FOR ALL NOMINEES</w:t>
      </w:r>
      <w:r>
        <w:rPr>
          <w:sz w:val="20"/>
          <w:szCs w:val="20"/>
          <w:color w:val="auto"/>
        </w:rPr>
        <w:tab/>
      </w:r>
      <w:r>
        <w:rPr>
          <w:rFonts w:ascii="Courier New" w:cs="Courier New" w:eastAsia="Courier New" w:hAnsi="Courier New"/>
          <w:sz w:val="14"/>
          <w:szCs w:val="14"/>
          <w:color w:val="auto"/>
        </w:rPr>
        <w:t>( ) Ronald J. Korn</w:t>
      </w:r>
    </w:p>
    <w:p>
      <w:pPr>
        <w:spacing w:after="0" w:line="2"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5"/>
          <w:szCs w:val="15"/>
          <w:color w:val="auto"/>
        </w:rPr>
        <w:t>[ ] FOR ALL EXCEPT</w:t>
      </w:r>
      <w:r>
        <w:rPr>
          <w:sz w:val="20"/>
          <w:szCs w:val="20"/>
          <w:color w:val="auto"/>
        </w:rPr>
        <w:tab/>
      </w:r>
      <w:r>
        <w:rPr>
          <w:rFonts w:ascii="Courier New" w:cs="Courier New" w:eastAsia="Courier New" w:hAnsi="Courier New"/>
          <w:sz w:val="14"/>
          <w:szCs w:val="14"/>
          <w:color w:val="auto"/>
        </w:rPr>
        <w:t>( ) William H. Lacy</w:t>
      </w:r>
    </w:p>
    <w:p>
      <w:pPr>
        <w:spacing w:after="0" w:line="2" w:lineRule="exact"/>
        <w:rPr>
          <w:sz w:val="20"/>
          <w:szCs w:val="20"/>
          <w:color w:val="auto"/>
        </w:rPr>
      </w:pPr>
    </w:p>
    <w:p>
      <w:pPr>
        <w:ind w:left="260"/>
        <w:spacing w:after="0"/>
        <w:tabs>
          <w:tab w:leader="none" w:pos="2740" w:val="left"/>
        </w:tabs>
        <w:rPr>
          <w:sz w:val="20"/>
          <w:szCs w:val="20"/>
          <w:color w:val="auto"/>
        </w:rPr>
      </w:pPr>
      <w:r>
        <w:rPr>
          <w:rFonts w:ascii="Courier New" w:cs="Courier New" w:eastAsia="Courier New" w:hAnsi="Courier New"/>
          <w:sz w:val="15"/>
          <w:szCs w:val="15"/>
          <w:color w:val="auto"/>
        </w:rPr>
        <w:t>(See instructions below)</w:t>
      </w:r>
      <w:r>
        <w:rPr>
          <w:sz w:val="20"/>
          <w:szCs w:val="20"/>
          <w:color w:val="auto"/>
        </w:rPr>
        <w:tab/>
      </w:r>
      <w:r>
        <w:rPr>
          <w:rFonts w:ascii="Courier New" w:cs="Courier New" w:eastAsia="Courier New" w:hAnsi="Courier New"/>
          <w:sz w:val="14"/>
          <w:szCs w:val="14"/>
          <w:color w:val="auto"/>
        </w:rPr>
        <w:t>( ) W. Michael Linn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 ) W.C. Martin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 ) Barry N. Wish</w:t>
      </w:r>
    </w:p>
    <w:p>
      <w:pPr>
        <w:spacing w:after="0" w:line="176" w:lineRule="exact"/>
        <w:rPr>
          <w:sz w:val="20"/>
          <w:szCs w:val="20"/>
          <w:color w:val="auto"/>
        </w:rPr>
      </w:pPr>
    </w:p>
    <w:p>
      <w:pPr>
        <w:ind w:right="80"/>
        <w:spacing w:after="0" w:line="242" w:lineRule="auto"/>
        <w:rPr>
          <w:sz w:val="20"/>
          <w:szCs w:val="20"/>
          <w:color w:val="auto"/>
        </w:rPr>
      </w:pPr>
      <w:r>
        <w:rPr>
          <w:rFonts w:ascii="Courier New" w:cs="Courier New" w:eastAsia="Courier New" w:hAnsi="Courier New"/>
          <w:sz w:val="15"/>
          <w:szCs w:val="15"/>
          <w:color w:val="auto"/>
        </w:rPr>
        <w:t>INSTRUCTION: To withhold authority to vote for any individual nominee(s), mark "FOR ALL EXCEPT" and fill in the circle next to each nominee you wish to withhold, as shown here: (X)</w:t>
      </w:r>
    </w:p>
    <w:p>
      <w:pPr>
        <w:spacing w:after="0" w:line="175" w:lineRule="exact"/>
        <w:rPr>
          <w:sz w:val="20"/>
          <w:szCs w:val="20"/>
          <w:color w:val="auto"/>
        </w:rPr>
      </w:pPr>
    </w:p>
    <w:p>
      <w:pPr>
        <w:spacing w:after="0" w:line="242" w:lineRule="auto"/>
        <w:rPr>
          <w:sz w:val="20"/>
          <w:szCs w:val="20"/>
          <w:color w:val="auto"/>
        </w:rPr>
      </w:pPr>
      <w:r>
        <w:rPr>
          <w:rFonts w:ascii="Courier New" w:cs="Courier New" w:eastAsia="Courier New" w:hAnsi="Courier New"/>
          <w:sz w:val="15"/>
          <w:szCs w:val="15"/>
          <w:color w:val="auto"/>
        </w:rPr>
        <w:t>To change the address on your account, please check he box at right and indicate your new address in the address space above. Please note that changes to the registered name(s) on the account may not be submitted via this method. [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60" w:right="620" w:hanging="260"/>
        <w:spacing w:after="0" w:line="242" w:lineRule="auto"/>
        <w:tabs>
          <w:tab w:leader="none" w:pos="2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THE APPOINTMENT BY THE BOARD OF DIRECTORS OF PRICEWATERHOUSECOOPERS LLP AS THE INDEPENDENT AUDITOR OF THE COMPANY FOR THE YEAR ENDING DECEMBER 31, 2004.</w:t>
      </w:r>
    </w:p>
    <w:p>
      <w:pPr>
        <w:spacing w:after="0" w:line="173" w:lineRule="exact"/>
        <w:rPr>
          <w:sz w:val="20"/>
          <w:szCs w:val="20"/>
          <w:color w:val="auto"/>
        </w:rPr>
      </w:pPr>
    </w:p>
    <w:p>
      <w:pPr>
        <w:ind w:left="260"/>
        <w:spacing w:after="0"/>
        <w:tabs>
          <w:tab w:leader="none" w:pos="1500" w:val="left"/>
          <w:tab w:leader="none" w:pos="3020"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6" w:lineRule="exact"/>
        <w:rPr>
          <w:sz w:val="20"/>
          <w:szCs w:val="20"/>
          <w:color w:val="auto"/>
        </w:rPr>
      </w:pPr>
    </w:p>
    <w:p>
      <w:pPr>
        <w:jc w:val="both"/>
        <w:ind w:left="260" w:right="360" w:hanging="260"/>
        <w:spacing w:after="0" w:line="241" w:lineRule="auto"/>
        <w:tabs>
          <w:tab w:leader="none" w:pos="2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ANNUAL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CHECK IF YOU PLAN TO ATTEND THE MEETING [ ]</w:t>
      </w:r>
    </w:p>
    <w:p>
      <w:pPr>
        <w:spacing w:after="0" w:line="176"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TO INCLUDE ANY COMMENTS, USE THE COMMENTS BOX ON THE REVERSE SIDE HEREOF.</w:t>
      </w:r>
    </w:p>
    <w:p>
      <w:pPr>
        <w:spacing w:after="0" w:line="1206" w:lineRule="exact"/>
        <w:rPr>
          <w:sz w:val="20"/>
          <w:szCs w:val="20"/>
          <w:color w:val="auto"/>
        </w:rPr>
      </w:pPr>
    </w:p>
    <w:p>
      <w:pPr>
        <w:sectPr>
          <w:pgSz w:w="11900" w:h="16838" w:orient="portrait"/>
          <w:cols w:equalWidth="0" w:num="2">
            <w:col w:w="4820" w:space="360"/>
            <w:col w:w="5100"/>
          </w:cols>
          <w:pgMar w:left="240" w:top="633" w:right="1379" w:bottom="1440" w:gutter="0" w:footer="0" w:header="0"/>
          <w:type w:val="continuous"/>
        </w:sectPr>
      </w:pPr>
    </w:p>
    <w:p>
      <w:pPr>
        <w:spacing w:after="0"/>
        <w:tabs>
          <w:tab w:leader="none" w:pos="5160" w:val="left"/>
        </w:tabs>
        <w:rPr>
          <w:sz w:val="20"/>
          <w:szCs w:val="20"/>
          <w:color w:val="auto"/>
        </w:rPr>
      </w:pPr>
      <w:r>
        <w:rPr>
          <w:rFonts w:ascii="Courier New" w:cs="Courier New" w:eastAsia="Courier New" w:hAnsi="Courier New"/>
          <w:sz w:val="15"/>
          <w:szCs w:val="15"/>
          <w:color w:val="auto"/>
        </w:rPr>
        <w:t>Signature of Shareholder __________________ Date: _____</w:t>
      </w:r>
      <w:r>
        <w:rPr>
          <w:sz w:val="20"/>
          <w:szCs w:val="20"/>
          <w:color w:val="auto"/>
        </w:rPr>
        <w:tab/>
      </w:r>
      <w:r>
        <w:rPr>
          <w:rFonts w:ascii="Courier New" w:cs="Courier New" w:eastAsia="Courier New" w:hAnsi="Courier New"/>
          <w:sz w:val="14"/>
          <w:szCs w:val="14"/>
          <w:color w:val="auto"/>
        </w:rPr>
        <w:t>Signature of Shareholder __________________ Date: _____</w:t>
      </w:r>
    </w:p>
    <w:p>
      <w:pPr>
        <w:spacing w:after="0" w:line="348" w:lineRule="exact"/>
        <w:rPr>
          <w:sz w:val="20"/>
          <w:szCs w:val="20"/>
          <w:color w:val="auto"/>
        </w:rPr>
      </w:pPr>
    </w:p>
    <w:p>
      <w:pPr>
        <w:ind w:right="3220"/>
        <w:spacing w:after="0" w:line="242" w:lineRule="auto"/>
        <w:rPr>
          <w:sz w:val="20"/>
          <w:szCs w:val="20"/>
          <w:color w:val="auto"/>
        </w:rPr>
      </w:pPr>
      <w:r>
        <w:rPr>
          <w:rFonts w:ascii="Courier New" w:cs="Courier New" w:eastAsia="Courier New" w:hAnsi="Courier New"/>
          <w:sz w:val="15"/>
          <w:szCs w:val="15"/>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280"/>
      </w:cols>
      <w:pgMar w:left="240" w:top="633" w:right="1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upperLetter"/>
      <w:start w:val="24"/>
    </w:lvl>
  </w:abstractNum>
  <w:abstractNum w:abstractNumId="2">
    <w:nsid w:val="431BD7B7"/>
    <w:multiLevelType w:val="hybridMultilevel"/>
    <w:lvl w:ilvl="0">
      <w:lvlJc w:val="left"/>
      <w:lvlText w:val="[%1]"/>
      <w:numFmt w:val="upperLetter"/>
      <w:start w:val="24"/>
    </w:lvl>
  </w:abstractNum>
  <w:abstractNum w:abstractNumId="3">
    <w:nsid w:val="3F2DBA31"/>
    <w:multiLevelType w:val="hybridMultilevel"/>
    <w:lvl w:ilvl="0">
      <w:lvlJc w:val="left"/>
      <w:lvlText w:val="%1)"/>
      <w:numFmt w:val="decimal"/>
      <w:start w:val="1"/>
    </w:lvl>
    <w:lvl w:ilvl="1">
      <w:lvlJc w:val="left"/>
      <w:lvlText w:val="%2)"/>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1)"/>
      <w:numFmt w:val="lowerRoman"/>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lowerRoman"/>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3"/>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5"/>
    </w:lvl>
  </w:abstractNum>
  <w:abstractNum w:abstractNumId="17">
    <w:nsid w:val="4353D0CD"/>
    <w:multiLevelType w:val="hybridMultilevel"/>
    <w:lvl w:ilvl="0">
      <w:lvlJc w:val="left"/>
      <w:lvlText w:val="(%1)"/>
      <w:numFmt w:val="decimal"/>
      <w:start w:val="7"/>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o"/>
      <w:numFmt w:val="bullet"/>
      <w:start w:val="1"/>
    </w:lvl>
  </w:abstractNum>
  <w:abstractNum w:abstractNumId="21">
    <w:nsid w:val="71F32454"/>
    <w:multiLevelType w:val="hybridMultilevel"/>
    <w:lvl w:ilvl="0">
      <w:lvlJc w:val="left"/>
      <w:lvlText w:val="%1."/>
      <w:numFmt w:val="upperLetter"/>
      <w:start w:val="9"/>
    </w:lvl>
  </w:abstractNum>
  <w:abstractNum w:abstractNumId="22">
    <w:nsid w:val="2CA88611"/>
    <w:multiLevelType w:val="hybridMultilevel"/>
    <w:lvl w:ilvl="0">
      <w:lvlJc w:val="left"/>
      <w:lvlText w:val="%1."/>
      <w:numFmt w:val="upperLetter"/>
      <w:start w:val="35"/>
    </w:lvl>
  </w:abstractNum>
  <w:abstractNum w:abstractNumId="23">
    <w:nsid w:val="836C40E"/>
    <w:multiLevelType w:val="hybridMultilevel"/>
    <w:lvl w:ilvl="0">
      <w:lvlJc w:val="left"/>
      <w:lvlText w:val="(%1)"/>
      <w:numFmt w:val="lowerLetter"/>
      <w:start w:val="1"/>
    </w:lvl>
    <w:lvl w:ilvl="1">
      <w:lvlJc w:val="left"/>
      <w:lvlText w:val="(%2)"/>
      <w:numFmt w:val="lowerRoman"/>
      <w:start w:val="1"/>
    </w:lvl>
  </w:abstractNum>
  <w:abstractNum w:abstractNumId="24">
    <w:nsid w:val="2901D82"/>
    <w:multiLevelType w:val="hybridMultilevel"/>
    <w:lvl w:ilvl="0">
      <w:lvlJc w:val="left"/>
      <w:lvlText w:val="(%1)"/>
      <w:numFmt w:val="lowerLetter"/>
      <w:start w:val="4"/>
    </w:lvl>
    <w:lvl w:ilvl="1">
      <w:lvlJc w:val="left"/>
      <w:lvlText w:val="(%2)"/>
      <w:numFmt w:val="lowerRoman"/>
      <w:start w:val="1"/>
    </w:lvl>
  </w:abstractNum>
  <w:abstractNum w:abstractNumId="25">
    <w:nsid w:val="3A95F874"/>
    <w:multiLevelType w:val="hybridMultilevel"/>
    <w:lvl w:ilvl="0">
      <w:lvlJc w:val="left"/>
      <w:lvlText w:val="%1"/>
      <w:numFmt w:val="lowerLetter"/>
      <w:start w:val="1"/>
    </w:lvl>
    <w:lvl w:ilvl="1">
      <w:lvlJc w:val="left"/>
      <w:lvlText w:val="(%2)"/>
      <w:numFmt w:val="lowerRoman"/>
      <w:start w:val="4"/>
    </w:lvl>
  </w:abstractNum>
  <w:abstractNum w:abstractNumId="26">
    <w:nsid w:val="8138641"/>
    <w:multiLevelType w:val="hybridMultilevel"/>
    <w:lvl w:ilvl="0">
      <w:lvlJc w:val="left"/>
      <w:lvlText w:val="(%1)"/>
      <w:numFmt w:val="lowerLetter"/>
      <w:start w:val="5"/>
    </w:lvl>
    <w:lvl w:ilvl="1">
      <w:lvlJc w:val="left"/>
      <w:lvlText w:val="(%2)"/>
      <w:numFmt w:val="lowerRoman"/>
      <w:start w:val="1"/>
    </w:lvl>
  </w:abstractNum>
  <w:abstractNum w:abstractNumId="27">
    <w:nsid w:val="1E7FF521"/>
    <w:multiLevelType w:val="hybridMultilevel"/>
    <w:lvl w:ilvl="0">
      <w:lvlJc w:val="left"/>
      <w:lvlText w:val="%1"/>
      <w:numFmt w:val="lowerLetter"/>
      <w:start w:val="1"/>
    </w:lvl>
    <w:lvl w:ilvl="1">
      <w:lvlJc w:val="left"/>
      <w:lvlText w:val="(%2)"/>
      <w:numFmt w:val="lowerRoman"/>
      <w:start w:val="1"/>
    </w:lvl>
  </w:abstractNum>
  <w:abstractNum w:abstractNumId="28">
    <w:nsid w:val="7C3DBD3D"/>
    <w:multiLevelType w:val="hybridMultilevel"/>
    <w:lvl w:ilvl="0">
      <w:lvlJc w:val="left"/>
      <w:lvlText w:val="(%1)"/>
      <w:numFmt w:val="lowerLetter"/>
      <w:start w:val="11"/>
    </w:lvl>
    <w:lvl w:ilvl="1">
      <w:lvlJc w:val="left"/>
      <w:lvlText w:val="(%2)"/>
      <w:numFmt w:val="lowerRoman"/>
      <w:start w:val="1"/>
    </w:lvl>
  </w:abstractNum>
  <w:abstractNum w:abstractNumId="29">
    <w:nsid w:val="737B8DDC"/>
    <w:multiLevelType w:val="hybridMultilevel"/>
    <w:lvl w:ilvl="0">
      <w:lvlJc w:val="left"/>
      <w:lvlText w:val="(%1)"/>
      <w:numFmt w:val="lowerLetter"/>
      <w:start w:val="20"/>
    </w:lvl>
  </w:abstractNum>
  <w:abstractNum w:abstractNumId="30">
    <w:nsid w:val="6CEAF087"/>
    <w:multiLevelType w:val="hybridMultilevel"/>
    <w:lvl w:ilvl="0">
      <w:lvlJc w:val="left"/>
      <w:lvlText w:val="(%1)"/>
      <w:numFmt w:val="lowerRoman"/>
      <w:start w:val="3"/>
    </w:lvl>
  </w:abstractNum>
  <w:abstractNum w:abstractNumId="31">
    <w:nsid w:val="22221A70"/>
    <w:multiLevelType w:val="hybridMultilevel"/>
    <w:lvl w:ilvl="0">
      <w:lvlJc w:val="left"/>
      <w:lvlText w:val="%1."/>
      <w:numFmt w:val="decimal"/>
      <w:start w:val="2"/>
    </w:lvl>
  </w:abstractNum>
  <w:abstractNum w:abstractNumId="32">
    <w:nsid w:val="4516DD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2019-12-20T07:29:20Z</dcterms:created>
  <dcterms:modified xsi:type="dcterms:W3CDTF">2019-12-20T07:29:20Z</dcterms:modified>
</cp:coreProperties>
</file>