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ONITY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LONG FOCUS CAPITAL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540,598.00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540,598.00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540,598.00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6.3 %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JOHN HELMERS</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540,598.00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540,598.00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540,598.00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6.3 %</w:t>
      </w:r>
    </w:p>
    <w:p>
      <w:pPr>
        <w:sectPr>
          <w:pgSz w:w="11900" w:h="16838" w:orient="portrait"/>
          <w:cols w:equalWidth="0" w:num="2">
            <w:col w:w="1060" w:space="60"/>
            <w:col w:w="8979"/>
          </w:cols>
          <w:pgMar w:left="360" w:top="102" w:right="1440" w:bottom="0" w:gutter="0" w:footer="0" w:header="0"/>
          <w:type w:val="continuous"/>
        </w:sectPr>
      </w:pPr>
    </w:p>
    <w:bookmarkStart w:id="2" w:name="page3"/>
    <w:bookmarkEnd w:id="2"/>
    <w:p>
      <w:pPr>
        <w:ind w:left="1120" w:hanging="1112"/>
        <w:spacing w:after="0"/>
        <w:tabs>
          <w:tab w:leader="none" w:pos="11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Type of Reporting Person (See Instructions)</w:t>
      </w:r>
    </w:p>
    <w:p>
      <w:pPr>
        <w:spacing w:after="0" w:line="245" w:lineRule="exact"/>
        <w:rPr>
          <w:rFonts w:ascii="Times New Roman" w:cs="Times New Roman" w:eastAsia="Times New Roman" w:hAnsi="Times New Roman"/>
          <w:sz w:val="21"/>
          <w:szCs w:val="21"/>
          <w:color w:val="auto"/>
        </w:rPr>
      </w:pPr>
    </w:p>
    <w:p>
      <w:pPr>
        <w:ind w:left="11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60" w:top="111" w:right="41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ONITY GROUP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1661 Worthington Road, Suite 100 West Palm Beach, Florida 33409</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right="4160"/>
        <w:spacing w:after="0" w:line="335" w:lineRule="auto"/>
        <w:rPr>
          <w:sz w:val="20"/>
          <w:szCs w:val="20"/>
          <w:color w:val="auto"/>
        </w:rPr>
      </w:pPr>
      <w:r>
        <w:rPr>
          <w:rFonts w:ascii="Times New Roman" w:cs="Times New Roman" w:eastAsia="Times New Roman" w:hAnsi="Times New Roman"/>
          <w:sz w:val="21"/>
          <w:szCs w:val="21"/>
          <w:color w:val="auto"/>
        </w:rPr>
        <w:t>LONG FOCUS CAPITAL MANAGEMENT LLC JOHN HELMERS Address or principal business office or, if none, residence: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207 CALLE DEL PARQUE A&amp;M TOWER, 8TH FLOOR SAN JUAN, PR 00912</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22"/>
          <w:szCs w:val="22"/>
          <w:color w:val="auto"/>
        </w:rPr>
        <w:t>Long Focus Capital Management, LLC, a Delaware single member limited liability company; and John Helmers, a United States citizen.</w:t>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6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00"/>
        <w:spacing w:after="0" w:line="241" w:lineRule="auto"/>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38" w:orient="portrait"/>
          <w:cols w:equalWidth="0" w:num="2">
            <w:col w:w="620" w:space="300"/>
            <w:col w:w="10200"/>
          </w:cols>
          <w:pgMar w:left="360" w:top="111" w:right="419" w:bottom="0" w:gutter="0" w:footer="0" w:header="0"/>
          <w:type w:val="continuous"/>
        </w:sectPr>
      </w:pPr>
    </w:p>
    <w:p>
      <w:pPr>
        <w:spacing w:after="0" w:line="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The information required by Item 4(a) is set forth in Row (9) of the cover page for each Reporting Person hereto and</w:t>
      </w:r>
    </w:p>
    <w:p>
      <w:pPr>
        <w:spacing w:after="0" w:line="26" w:lineRule="exact"/>
        <w:rPr>
          <w:sz w:val="20"/>
          <w:szCs w:val="20"/>
          <w:color w:val="auto"/>
        </w:rPr>
      </w:pPr>
    </w:p>
    <w:p>
      <w:pPr>
        <w:ind w:left="920" w:right="20" w:hanging="912"/>
        <w:spacing w:after="0" w:line="196" w:lineRule="auto"/>
        <w:tabs>
          <w:tab w:leader="none" w:pos="920" w:val="left"/>
        </w:tabs>
        <w:numPr>
          <w:ilvl w:val="0"/>
          <w:numId w:val="4"/>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is incorporated herein by reference for each Reporting Person. Such information is as of the close of business on March 31, 2026. Long Focus Capital Management, LLC and John Helmers directly own no Common Stock. Pursuant to investment management agreements with its clients, Long Focus Capital Management, LLC maintains dispositive and voting power with respect to the securities held in its clients' accounts. John Helmers controls Long Focus Capital Management, LLC.</w:t>
      </w:r>
    </w:p>
    <w:p>
      <w:pPr>
        <w:spacing w:after="0" w:line="14"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43"/>
          <w:szCs w:val="43"/>
          <w:color w:val="auto"/>
          <w:vertAlign w:val="subscript"/>
        </w:rPr>
      </w:pPr>
    </w:p>
    <w:p>
      <w:pPr>
        <w:ind w:left="920" w:hanging="912"/>
        <w:spacing w:after="0" w:line="244"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required by Item 4(b) is set forth in Row (11) of the cover page for each Reporting Person hereto and is incorporated herein by reference for each Reporting Person. Such information is as of the close of business on March 31, 2026. %</w:t>
      </w:r>
    </w:p>
    <w:p>
      <w:pPr>
        <w:sectPr>
          <w:pgSz w:w="11900" w:h="16838" w:orient="portrait"/>
          <w:cols w:equalWidth="0" w:num="1">
            <w:col w:w="11120"/>
          </w:cols>
          <w:pgMar w:left="360" w:top="111" w:right="419" w:bottom="0" w:gutter="0" w:footer="0" w:header="0"/>
          <w:type w:val="continuous"/>
        </w:sectPr>
      </w:pPr>
    </w:p>
    <w:bookmarkStart w:id="3" w:name="page4"/>
    <w:bookmarkEnd w:id="3"/>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1140"/>
          </w:cols>
          <w:pgMar w:left="360" w:top="112"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right="140"/>
        <w:spacing w:after="0" w:line="244" w:lineRule="auto"/>
        <w:rPr>
          <w:sz w:val="20"/>
          <w:szCs w:val="20"/>
          <w:color w:val="auto"/>
        </w:rPr>
      </w:pPr>
      <w:r>
        <w:rPr>
          <w:rFonts w:ascii="Times New Roman" w:cs="Times New Roman" w:eastAsia="Times New Roman" w:hAnsi="Times New Roman"/>
          <w:sz w:val="22"/>
          <w:szCs w:val="22"/>
          <w:color w:val="auto"/>
        </w:rPr>
        <w:t>The information required by Item 4(c)(i) is set forth in Row (5) of the cover page for each Reporting Person hereto and is incorporated herein by reference for each Reporting Person. Such information is as of the close of business on March 31, 2026.</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jc w:val="both"/>
        <w:ind w:right="140"/>
        <w:spacing w:after="0" w:line="244" w:lineRule="auto"/>
        <w:rPr>
          <w:sz w:val="20"/>
          <w:szCs w:val="20"/>
          <w:color w:val="auto"/>
        </w:rPr>
      </w:pPr>
      <w:r>
        <w:rPr>
          <w:rFonts w:ascii="Times New Roman" w:cs="Times New Roman" w:eastAsia="Times New Roman" w:hAnsi="Times New Roman"/>
          <w:sz w:val="22"/>
          <w:szCs w:val="22"/>
          <w:color w:val="auto"/>
        </w:rPr>
        <w:t>The information required by Item 4(c)(ii) is set forth in Row (6) of the cover page for each Reporting Person hereto and is incorporated herein by reference for each Reporting Person. Such information is as of the close of business on March 31, 2026.</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jc w:val="both"/>
        <w:ind w:right="140"/>
        <w:spacing w:after="0" w:line="244" w:lineRule="auto"/>
        <w:rPr>
          <w:sz w:val="20"/>
          <w:szCs w:val="20"/>
          <w:color w:val="auto"/>
        </w:rPr>
      </w:pPr>
      <w:r>
        <w:rPr>
          <w:rFonts w:ascii="Times New Roman" w:cs="Times New Roman" w:eastAsia="Times New Roman" w:hAnsi="Times New Roman"/>
          <w:sz w:val="22"/>
          <w:szCs w:val="22"/>
          <w:color w:val="auto"/>
        </w:rPr>
        <w:t>The information required by Item 4(c)(iii) is set forth in Row (7) of the cover page for each Reporting Person hereto and is incorporated herein by reference for each Reporting Person. Such information is as of the close of business on March 31, 2026.</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jc w:val="both"/>
        <w:ind w:right="140"/>
        <w:spacing w:after="0" w:line="244" w:lineRule="auto"/>
        <w:rPr>
          <w:sz w:val="20"/>
          <w:szCs w:val="20"/>
          <w:color w:val="auto"/>
        </w:rPr>
      </w:pPr>
      <w:r>
        <w:rPr>
          <w:rFonts w:ascii="Times New Roman" w:cs="Times New Roman" w:eastAsia="Times New Roman" w:hAnsi="Times New Roman"/>
          <w:sz w:val="22"/>
          <w:szCs w:val="22"/>
          <w:color w:val="auto"/>
        </w:rPr>
        <w:t>The information required by Item 4(c)(iv) is set forth in Row (8) of the cover page for each Reporting Person hereto and is incorporated herein by reference for each Reporting Person. Such information is as of the close of business on March 31, 2026.</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80"/>
        <w:spacing w:after="0" w:line="244" w:lineRule="auto"/>
        <w:rPr>
          <w:sz w:val="20"/>
          <w:szCs w:val="20"/>
          <w:color w:val="auto"/>
        </w:rPr>
      </w:pPr>
      <w:r>
        <w:rPr>
          <w:rFonts w:ascii="Times New Roman" w:cs="Times New Roman" w:eastAsia="Times New Roman" w:hAnsi="Times New Roman"/>
          <w:sz w:val="22"/>
          <w:szCs w:val="22"/>
          <w:color w:val="auto"/>
        </w:rPr>
        <w:t>Securities reported on this statement on Schedule 13G as being beneficially owned by Long Focus Capital Management, LLC were purchased on behalf of its clients and no one client owns more than 5 percent of a class of such securities.</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2" w:right="399" w:bottom="0"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2"/>
          <w:szCs w:val="22"/>
          <w:color w:val="auto"/>
        </w:rPr>
        <w:t>LONG FOCUS CAPITAL MANAGEMENT, LLC</w:t>
      </w:r>
    </w:p>
    <w:p>
      <w:pPr>
        <w:spacing w:after="0" w:line="152"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John Helmers</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Managing Member</w:t>
      </w:r>
    </w:p>
    <w:p>
      <w:pPr>
        <w:spacing w:after="0" w:line="44"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ectPr>
          <w:pgSz w:w="11900" w:h="16838" w:orient="portrait"/>
          <w:cols w:equalWidth="0" w:num="1">
            <w:col w:w="11140"/>
          </w:cols>
          <w:pgMar w:left="360" w:top="112" w:right="399" w:bottom="0" w:gutter="0" w:footer="0" w:header="0"/>
          <w:type w:val="continuous"/>
        </w:sectPr>
      </w:pPr>
    </w:p>
    <w:bookmarkStart w:id="4" w:name="page5"/>
    <w:bookmarkEnd w:id="4"/>
    <w:p>
      <w:pPr>
        <w:ind w:left="720"/>
        <w:spacing w:after="0"/>
        <w:rPr>
          <w:sz w:val="20"/>
          <w:szCs w:val="20"/>
          <w:color w:val="auto"/>
        </w:rPr>
      </w:pPr>
      <w:r>
        <w:rPr>
          <w:rFonts w:ascii="Times New Roman" w:cs="Times New Roman" w:eastAsia="Times New Roman" w:hAnsi="Times New Roman"/>
          <w:sz w:val="22"/>
          <w:szCs w:val="22"/>
          <w:color w:val="auto"/>
        </w:rPr>
        <w:t>JOHN HELMERS</w:t>
      </w:r>
    </w:p>
    <w:p>
      <w:pPr>
        <w:spacing w:after="0" w:line="153" w:lineRule="exact"/>
        <w:rPr>
          <w:sz w:val="20"/>
          <w:szCs w:val="20"/>
          <w:color w:val="auto"/>
        </w:rPr>
      </w:pPr>
    </w:p>
    <w:p>
      <w:pPr>
        <w:jc w:val="right"/>
        <w:ind w:right="4819"/>
        <w:spacing w:after="0"/>
        <w:tabs>
          <w:tab w:leader="none" w:pos="14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John Helmers</w:t>
      </w:r>
    </w:p>
    <w:p>
      <w:pPr>
        <w:spacing w:after="0" w:line="44"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2"/>
          <w:szCs w:val="22"/>
          <w:color w:val="auto"/>
        </w:rPr>
        <w:t>Name/Title: John Helmers</w:t>
      </w:r>
    </w:p>
    <w:p>
      <w:pPr>
        <w:spacing w:after="0" w:line="44" w:lineRule="exact"/>
        <w:rPr>
          <w:sz w:val="20"/>
          <w:szCs w:val="20"/>
          <w:color w:val="auto"/>
        </w:rPr>
      </w:pPr>
    </w:p>
    <w:p>
      <w:pPr>
        <w:ind w:left="1660"/>
        <w:spacing w:after="0"/>
        <w:tabs>
          <w:tab w:leader="none" w:pos="2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sectPr>
      <w:pgSz w:w="11900" w:h="16838" w:orient="portrait"/>
      <w:cols w:equalWidth="0" w:num="1">
        <w:col w:w="9019"/>
      </w:cols>
      <w:pgMar w:left="14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1"/>
      <w:numFmt w:val="decimal"/>
      <w:start w:val="12"/>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2026-05-15T08:18:13Z</dcterms:created>
  <dcterms:modified xsi:type="dcterms:W3CDTF">2026-05-15T08:18:13Z</dcterms:modified>
</cp:coreProperties>
</file>