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Exchange Act of 1934 (Amendment No.1)</w:t>
      </w:r>
    </w:p>
    <w:p>
      <w:pPr>
        <w:spacing w:after="0" w:line="191" w:lineRule="exact"/>
        <w:rPr>
          <w:sz w:val="24"/>
          <w:szCs w:val="24"/>
          <w:color w:val="auto"/>
        </w:rPr>
      </w:pPr>
    </w:p>
    <w:p>
      <w:pPr>
        <w:ind w:left="1"/>
        <w:spacing w:after="0"/>
        <w:tabs>
          <w:tab w:leader="none" w:pos="4140"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tabs>
          <w:tab w:leader="none" w:pos="7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5" w:lineRule="exact"/>
        <w:rPr>
          <w:sz w:val="24"/>
          <w:szCs w:val="24"/>
          <w:color w:val="auto"/>
        </w:rPr>
      </w:pPr>
    </w:p>
    <w:p>
      <w:pPr>
        <w:ind w:left="781" w:right="3039" w:hanging="781"/>
        <w:spacing w:after="0" w:line="246" w:lineRule="auto"/>
        <w:tabs>
          <w:tab w:leader="none" w:pos="19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ind w:left="781" w:hanging="781"/>
        <w:spacing w:after="0"/>
        <w:tabs>
          <w:tab w:leader="none" w:pos="7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Material Under 14a-12</w:t>
      </w:r>
    </w:p>
    <w:p>
      <w:pPr>
        <w:spacing w:after="0" w:line="200" w:lineRule="exact"/>
        <w:rPr>
          <w:sz w:val="24"/>
          <w:szCs w:val="24"/>
          <w:color w:val="auto"/>
        </w:rPr>
      </w:pPr>
    </w:p>
    <w:p>
      <w:pPr>
        <w:spacing w:after="0" w:line="36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781" w:hanging="781"/>
        <w:spacing w:after="0"/>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the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rFonts w:ascii="Courier New" w:cs="Courier New" w:eastAsia="Courier New" w:hAnsi="Courier New"/>
          <w:sz w:val="16"/>
          <w:szCs w:val="16"/>
          <w:color w:val="auto"/>
        </w:rPr>
      </w:pPr>
    </w:p>
    <w:p>
      <w:pPr>
        <w:ind w:left="781"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w:t>
      </w:r>
    </w:p>
    <w:p>
      <w:pPr>
        <w:spacing w:after="0" w:line="184"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741" w:right="2459" w:hanging="965"/>
        <w:spacing w:after="0" w:line="247" w:lineRule="auto"/>
        <w:tabs>
          <w:tab w:leader="none" w:pos="9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sz w:val="24"/>
          <w:szCs w:val="24"/>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241" w:right="1440" w:bottom="1440" w:gutter="0" w:footer="0" w:header="0"/>
        </w:sectPr>
      </w:pPr>
    </w:p>
    <w:bookmarkStart w:id="1" w:name="page2"/>
    <w:bookmarkEnd w:id="1"/>
    <w:p>
      <w:pPr>
        <w:jc w:val="center"/>
        <w:ind w:right="2559"/>
        <w:spacing w:after="0"/>
        <w:rPr>
          <w:sz w:val="20"/>
          <w:szCs w:val="20"/>
          <w:color w:val="auto"/>
        </w:rPr>
      </w:pP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 C W E N</w:t>
      </w: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March 28,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Shareholder:</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On behalf of the Board of Directors I cordially invite you to attend the Annual Meeting of Shareholders of Ocwen Financial Corporation, which will be held at the offices of the Company located at 1675 Palm Beach Lakes Boulevard, West Palm Beach, Florida 33401, on Thursday, May 15, 2003 at 9:00 a.m., Eastern Standard Time. The matters to be considered by shareholders at the Annual Meeting are described in detail in the accompanying materials.</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85" w:lineRule="exact"/>
        <w:rPr>
          <w:sz w:val="20"/>
          <w:szCs w:val="20"/>
          <w:color w:val="auto"/>
        </w:rPr>
      </w:pPr>
    </w:p>
    <w:p>
      <w:pPr>
        <w:ind w:right="2759" w:firstLine="388"/>
        <w:spacing w:after="0" w:line="248" w:lineRule="auto"/>
        <w:rPr>
          <w:sz w:val="20"/>
          <w:szCs w:val="20"/>
          <w:color w:val="auto"/>
        </w:rPr>
      </w:pPr>
      <w:r>
        <w:rPr>
          <w:rFonts w:ascii="Courier New" w:cs="Courier New" w:eastAsia="Courier New" w:hAnsi="Courier New"/>
          <w:sz w:val="16"/>
          <w:szCs w:val="16"/>
          <w:color w:val="auto"/>
        </w:rPr>
        <w:t>Your continued support of and interest in Ocwen Financial Corporation are sincerely appreciated.</w:t>
      </w:r>
    </w:p>
    <w:p>
      <w:pPr>
        <w:spacing w:after="0" w:line="18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Sincerely,</w:t>
      </w: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862" w:right="1440" w:bottom="1440" w:gutter="0" w:footer="0" w:header="0"/>
        </w:sectPr>
      </w:pPr>
    </w:p>
    <w:bookmarkStart w:id="2" w:name="page3"/>
    <w:bookmarkEnd w:id="2"/>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On May 15, 2003</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Shareholders of Ocwen Financial Corporation (the "Company") will be held at the offices of the Company located at 1675 Palm Beach Lakes Boulevard, West Palm Beach, Florida 33401 on Thursday, May 15, 2003 at 9:00 a.m., Eastern Time, for the following purposes:</w:t>
      </w:r>
    </w:p>
    <w:p>
      <w:pPr>
        <w:spacing w:after="0" w:line="186" w:lineRule="exact"/>
        <w:rPr>
          <w:sz w:val="20"/>
          <w:szCs w:val="20"/>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seven directors for a one-year term and until their successors are elected and qualified;</w:t>
      </w:r>
    </w:p>
    <w:p>
      <w:pPr>
        <w:spacing w:after="0" w:line="184" w:lineRule="exact"/>
        <w:rPr>
          <w:rFonts w:ascii="Courier New" w:cs="Courier New" w:eastAsia="Courier New" w:hAnsi="Courier New"/>
          <w:sz w:val="16"/>
          <w:szCs w:val="16"/>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Ocwen Financial Corporation Amended 1998 Annual Incentive Plan;</w:t>
      </w:r>
    </w:p>
    <w:p>
      <w:pPr>
        <w:spacing w:after="0" w:line="184"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by the Audit Committee of the Board of Directors of PricewaterhouseCoopers LLP as the independent auditor of the Company for the fiscal year ending December 31, 2003; and</w:t>
      </w:r>
    </w:p>
    <w:p>
      <w:pPr>
        <w:spacing w:after="0" w:line="185" w:lineRule="exact"/>
        <w:rPr>
          <w:rFonts w:ascii="Courier New" w:cs="Courier New" w:eastAsia="Courier New" w:hAnsi="Courier New"/>
          <w:sz w:val="16"/>
          <w:szCs w:val="16"/>
          <w:color w:val="auto"/>
        </w:rPr>
      </w:pPr>
    </w:p>
    <w:p>
      <w:pPr>
        <w:jc w:val="both"/>
        <w:ind w:left="1460" w:right="26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and any adjournment thereof. Management is not aware of any such other business at this time.</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has fixed March 14, 2003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8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 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Palm Beach, 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2003</w:t>
      </w:r>
    </w:p>
    <w:p>
      <w:pPr>
        <w:sectPr>
          <w:pgSz w:w="11900" w:h="16838" w:orient="portrait"/>
          <w:cols w:equalWidth="0" w:num="1">
            <w:col w:w="10219"/>
          </w:cols>
          <w:pgMar w:left="240" w:top="676" w:right="1440" w:bottom="1440" w:gutter="0" w:footer="0" w:header="0"/>
        </w:sectPr>
      </w:pPr>
    </w:p>
    <w:bookmarkStart w:id="3" w:name="page4"/>
    <w:bookmarkEnd w:id="3"/>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ANNUAL MEETING OF SHAREHOLDERS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1675 Palm Beach Lakes Boulevard, West Palm Beach, Florida 33401, on Thursday, May 15, 2003 at 9:00 a.m., Eastern Time, and at any adjournment thereof, for the purposes set forth in the Notice of Annual Meeting of Shareholders.</w:t>
      </w:r>
    </w:p>
    <w:p>
      <w:pPr>
        <w:spacing w:after="0" w:line="191"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This Proxy Statement and the accompanying proxy card (the "Proxy") are first being mailed to the shareholders of Ocwen on or about March 28, 2003.</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86" w:lineRule="exact"/>
        <w:rPr>
          <w:sz w:val="20"/>
          <w:szCs w:val="20"/>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of the nominees for director described herein;</w:t>
      </w:r>
    </w:p>
    <w:p>
      <w:pPr>
        <w:spacing w:after="0" w:line="5" w:lineRule="exact"/>
        <w:rPr>
          <w:rFonts w:ascii="Courier New" w:cs="Courier New" w:eastAsia="Courier New" w:hAnsi="Courier New"/>
          <w:sz w:val="16"/>
          <w:szCs w:val="16"/>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Amended 1998 Annual Incentive Plan;</w:t>
      </w:r>
    </w:p>
    <w:p>
      <w:pPr>
        <w:spacing w:after="0" w:line="5" w:lineRule="exact"/>
        <w:rPr>
          <w:rFonts w:ascii="Courier New" w:cs="Courier New" w:eastAsia="Courier New" w:hAnsi="Courier New"/>
          <w:sz w:val="16"/>
          <w:szCs w:val="16"/>
          <w:color w:val="auto"/>
        </w:rPr>
      </w:pPr>
    </w:p>
    <w:p>
      <w:pPr>
        <w:ind w:left="1360" w:right="2559" w:hanging="682"/>
        <w:spacing w:after="0" w:line="246"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appointment of PricewaterhouseCoopers LLP as our independent auditor for 2003; and</w:t>
      </w:r>
    </w:p>
    <w:p>
      <w:pPr>
        <w:spacing w:after="0" w:line="1" w:lineRule="exact"/>
        <w:rPr>
          <w:rFonts w:ascii="Courier New" w:cs="Courier New" w:eastAsia="Courier New" w:hAnsi="Courier New"/>
          <w:sz w:val="16"/>
          <w:szCs w:val="16"/>
          <w:color w:val="auto"/>
        </w:rPr>
      </w:pPr>
    </w:p>
    <w:p>
      <w:pPr>
        <w:ind w:left="1360" w:right="2659" w:hanging="682"/>
        <w:spacing w:after="0" w:line="247"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transaction of such other business as may properly come before the meeting, in accordance with the best judgment of the persons appointed as proxies.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86" w:lineRule="exact"/>
        <w:rPr>
          <w:sz w:val="20"/>
          <w:szCs w:val="20"/>
          <w:color w:val="auto"/>
        </w:rPr>
      </w:pPr>
    </w:p>
    <w:p>
      <w:pPr>
        <w:ind w:left="1360" w:right="2559" w:hanging="682"/>
        <w:spacing w:after="0" w:line="248" w:lineRule="auto"/>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written notice thereof with our Secretary at the following address:</w:t>
      </w:r>
    </w:p>
    <w:p>
      <w:pPr>
        <w:spacing w:after="0" w:line="18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John R. Erbey, Secretary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1360" w:hanging="682"/>
        <w:spacing w:after="0"/>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properly executed Proxy bearing a later date; or</w:t>
      </w:r>
    </w:p>
    <w:p>
      <w:pPr>
        <w:spacing w:after="0" w:line="5" w:lineRule="exact"/>
        <w:rPr>
          <w:rFonts w:ascii="Courier New" w:cs="Courier New" w:eastAsia="Courier New" w:hAnsi="Courier New"/>
          <w:sz w:val="16"/>
          <w:szCs w:val="16"/>
          <w:color w:val="auto"/>
        </w:rPr>
      </w:pPr>
    </w:p>
    <w:p>
      <w:pPr>
        <w:ind w:left="1360" w:right="2459" w:hanging="682"/>
        <w:spacing w:after="0" w:line="248"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appearing at the annual meeting and giving the Secretary notice of his or her intention to vote in person.</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VOTING</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Only holders of record of Common Stock at the close of business on March 14, 2003 will be entitled to vote at the annual meeting or any adjournment thereof. On March 14, 2003, there were 67,339,456 shares of Common Stock issued and outstanding, and we had no other class of equity securities outstanding. Each share of Common Stock is entitled to one vote at the annual meeting on all matters properly presented.</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presence at the annual meeting of a majority of the votes entitled to be cast, represented in person or by proxy, will constitute a quorum for the transaction of business at the annual meeting.</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Assuming the presence of a quorum, the seven persons receiving the greatest number of votes of the Common Stock cast at the annual meeting by the holders of stock entitled to vote shall be elected as directors of Ocwen. Assuming the presence of a quorum, the proposal to adopt the Amended 1998 Annual Incentive</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Plan and the proposal to ratify the appointment of PricewaterhouseCoopers LLP as Ocwen's independent auditor for 2003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adopt the Amended 1998 Annual Incentive Plan and the proposal to ratify the appointment of Ocwen's independent auditor and thus will have no effect on such proposals.</w:t>
      </w:r>
    </w:p>
    <w:p>
      <w:pPr>
        <w:sectPr>
          <w:pgSz w:w="11900" w:h="16838" w:orient="portrait"/>
          <w:cols w:equalWidth="0" w:num="1">
            <w:col w:w="10219"/>
          </w:cols>
          <w:pgMar w:left="240" w:top="676" w:right="1440" w:bottom="1440" w:gutter="0" w:footer="0" w:header="0"/>
        </w:sectPr>
      </w:pPr>
    </w:p>
    <w:bookmarkStart w:id="5" w:name="page6"/>
    <w:bookmarkEnd w:id="5"/>
    <w:p>
      <w:pPr>
        <w:ind w:left="2140"/>
        <w:spacing w:after="0"/>
        <w:rPr>
          <w:sz w:val="20"/>
          <w:szCs w:val="20"/>
          <w:color w:val="auto"/>
        </w:rPr>
      </w:pPr>
      <w:r>
        <w:rPr>
          <w:rFonts w:ascii="Courier New" w:cs="Courier New" w:eastAsia="Courier New" w:hAnsi="Courier New"/>
          <w:sz w:val="16"/>
          <w:szCs w:val="16"/>
          <w:color w:val="auto"/>
        </w:rPr>
        <w:t>COMPARISON OF CUMULATIVE TOTAL RETURN</w:t>
      </w:r>
    </w:p>
    <w:p>
      <w:pPr>
        <w:spacing w:after="0" w:line="191" w:lineRule="exact"/>
        <w:rPr>
          <w:sz w:val="20"/>
          <w:szCs w:val="20"/>
          <w:color w:val="auto"/>
        </w:rPr>
      </w:pPr>
    </w:p>
    <w:p>
      <w:pPr>
        <w:ind w:right="2800" w:firstLine="388"/>
        <w:spacing w:after="0" w:line="247" w:lineRule="auto"/>
        <w:rPr>
          <w:sz w:val="20"/>
          <w:szCs w:val="20"/>
          <w:color w:val="auto"/>
        </w:rPr>
      </w:pPr>
      <w:r>
        <w:rPr>
          <w:rFonts w:ascii="Courier New" w:cs="Courier New" w:eastAsia="Courier New" w:hAnsi="Courier New"/>
          <w:sz w:val="16"/>
          <w:szCs w:val="16"/>
          <w:color w:val="auto"/>
        </w:rPr>
        <w:t>The following graph compares the cumulative total return on the Common Stock of Ocwen since December 31, 1997 with the cumulative total return on the stocks included in the Standard &amp; Poor's 500 Market Index and the Standard &amp; Poor's Financial (Diversified) 500 Market Index.</w:t>
      </w:r>
    </w:p>
    <w:p>
      <w:pPr>
        <w:spacing w:after="0" w:line="37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Period Ending</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660" w:val="left"/>
          <w:tab w:leader="none" w:pos="4820" w:val="left"/>
          <w:tab w:leader="none" w:pos="5980" w:val="left"/>
          <w:tab w:leader="none" w:pos="7160" w:val="left"/>
          <w:tab w:leader="none" w:pos="8320" w:val="left"/>
          <w:tab w:leader="none" w:pos="9480" w:val="left"/>
        </w:tabs>
        <w:rPr>
          <w:sz w:val="20"/>
          <w:szCs w:val="20"/>
          <w:color w:val="auto"/>
        </w:rPr>
      </w:pPr>
      <w:r>
        <w:rPr>
          <w:rFonts w:ascii="Courier New" w:cs="Courier New" w:eastAsia="Courier New" w:hAnsi="Courier New"/>
          <w:sz w:val="16"/>
          <w:szCs w:val="16"/>
          <w:color w:val="auto"/>
        </w:rPr>
        <w:t>Index</w:t>
      </w:r>
      <w:r>
        <w:rPr>
          <w:sz w:val="20"/>
          <w:szCs w:val="20"/>
          <w:color w:val="auto"/>
        </w:rPr>
        <w:tab/>
      </w:r>
      <w:r>
        <w:rPr>
          <w:rFonts w:ascii="Courier New" w:cs="Courier New" w:eastAsia="Courier New" w:hAnsi="Courier New"/>
          <w:sz w:val="16"/>
          <w:szCs w:val="16"/>
          <w:color w:val="auto"/>
        </w:rPr>
        <w:t>12/31/97</w:t>
      </w:r>
      <w:r>
        <w:rPr>
          <w:sz w:val="20"/>
          <w:szCs w:val="20"/>
          <w:color w:val="auto"/>
        </w:rPr>
        <w:tab/>
      </w:r>
      <w:r>
        <w:rPr>
          <w:rFonts w:ascii="Courier New" w:cs="Courier New" w:eastAsia="Courier New" w:hAnsi="Courier New"/>
          <w:sz w:val="16"/>
          <w:szCs w:val="16"/>
          <w:color w:val="auto"/>
        </w:rPr>
        <w:t>12/31/98</w:t>
      </w:r>
      <w:r>
        <w:rPr>
          <w:sz w:val="20"/>
          <w:szCs w:val="20"/>
          <w:color w:val="auto"/>
        </w:rPr>
        <w:tab/>
      </w:r>
      <w:r>
        <w:rPr>
          <w:rFonts w:ascii="Courier New" w:cs="Courier New" w:eastAsia="Courier New" w:hAnsi="Courier New"/>
          <w:sz w:val="16"/>
          <w:szCs w:val="16"/>
          <w:color w:val="auto"/>
        </w:rPr>
        <w:t>12/31/99</w:t>
      </w:r>
      <w:r>
        <w:rPr>
          <w:sz w:val="20"/>
          <w:szCs w:val="20"/>
          <w:color w:val="auto"/>
        </w:rPr>
        <w:tab/>
      </w:r>
      <w:r>
        <w:rPr>
          <w:rFonts w:ascii="Courier New" w:cs="Courier New" w:eastAsia="Courier New" w:hAnsi="Courier New"/>
          <w:sz w:val="16"/>
          <w:szCs w:val="16"/>
          <w:color w:val="auto"/>
        </w:rPr>
        <w:t>12/31/00</w:t>
      </w:r>
      <w:r>
        <w:rPr>
          <w:sz w:val="20"/>
          <w:szCs w:val="20"/>
          <w:color w:val="auto"/>
        </w:rPr>
        <w:tab/>
      </w:r>
      <w:r>
        <w:rPr>
          <w:rFonts w:ascii="Courier New" w:cs="Courier New" w:eastAsia="Courier New" w:hAnsi="Courier New"/>
          <w:sz w:val="16"/>
          <w:szCs w:val="16"/>
          <w:color w:val="auto"/>
        </w:rPr>
        <w:t>12/31/01</w:t>
      </w:r>
      <w:r>
        <w:rPr>
          <w:sz w:val="20"/>
          <w:szCs w:val="20"/>
          <w:color w:val="auto"/>
        </w:rPr>
        <w:tab/>
      </w:r>
      <w:r>
        <w:rPr>
          <w:rFonts w:ascii="Courier New" w:cs="Courier New" w:eastAsia="Courier New" w:hAnsi="Courier New"/>
          <w:sz w:val="16"/>
          <w:szCs w:val="16"/>
          <w:color w:val="auto"/>
        </w:rPr>
        <w:t>12/31/02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Ocwen Financial</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48.39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24.57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25.08</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33.33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11.01</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500</w:t>
            </w:r>
          </w:p>
        </w:tc>
        <w:tc>
          <w:tcPr>
            <w:tcW w:w="194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126.67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151.40</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136.05</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90.66</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Diversified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Financial Index</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120.87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158.09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198.16</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171.42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133.01</w:t>
            </w:r>
          </w:p>
        </w:tc>
      </w:tr>
    </w:tbl>
    <w:p>
      <w:pPr>
        <w:spacing w:after="0" w:line="377" w:lineRule="exact"/>
        <w:rPr>
          <w:sz w:val="20"/>
          <w:szCs w:val="20"/>
          <w:color w:val="auto"/>
        </w:rPr>
      </w:pPr>
    </w:p>
    <w:p>
      <w:pPr>
        <w:ind w:right="2800"/>
        <w:spacing w:after="0" w:line="247" w:lineRule="auto"/>
        <w:rPr>
          <w:sz w:val="20"/>
          <w:szCs w:val="20"/>
          <w:color w:val="auto"/>
        </w:rPr>
      </w:pPr>
      <w:r>
        <w:rPr>
          <w:rFonts w:ascii="Courier New" w:cs="Courier New" w:eastAsia="Courier New" w:hAnsi="Courier New"/>
          <w:sz w:val="16"/>
          <w:szCs w:val="16"/>
          <w:color w:val="auto"/>
        </w:rPr>
        <w:t>The above graph represents $100 invested in Common Stock on December 31, 1997 at the closing price of $13.38 per share on that date and in each index on such date. The Common Stock has been listed on the New York Stock Exchange since August 1, 1997.</w:t>
      </w:r>
    </w:p>
    <w:p>
      <w:pPr>
        <w:sectPr>
          <w:pgSz w:w="11900" w:h="16838" w:orient="portrait"/>
          <w:cols w:equalWidth="0" w:num="1">
            <w:col w:w="10560"/>
          </w:cols>
          <w:pgMar w:left="240" w:top="676" w:right="1099" w:bottom="1440" w:gutter="0" w:footer="0" w:header="0"/>
        </w:sectPr>
      </w:pPr>
    </w:p>
    <w:bookmarkStart w:id="6" w:name="page7"/>
    <w:bookmarkEnd w:id="6"/>
    <w:p>
      <w:pPr>
        <w:ind w:left="2901"/>
        <w:spacing w:after="0"/>
        <w:rPr>
          <w:sz w:val="20"/>
          <w:szCs w:val="20"/>
          <w:color w:val="auto"/>
        </w:rPr>
      </w:pPr>
      <w:r>
        <w:rPr>
          <w:rFonts w:ascii="Courier New" w:cs="Courier New" w:eastAsia="Courier New" w:hAnsi="Courier New"/>
          <w:sz w:val="16"/>
          <w:szCs w:val="16"/>
          <w:color w:val="auto"/>
        </w:rPr>
        <w:t>ELECTION OF DIRECTORS</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(Proposal One)</w:t>
      </w:r>
    </w:p>
    <w:p>
      <w:pPr>
        <w:spacing w:after="0" w:line="191" w:lineRule="exact"/>
        <w:rPr>
          <w:sz w:val="20"/>
          <w:szCs w:val="20"/>
          <w:color w:val="auto"/>
        </w:rPr>
      </w:pPr>
    </w:p>
    <w:p>
      <w:pPr>
        <w:ind w:left="1" w:right="2620" w:firstLine="388"/>
        <w:spacing w:after="0" w:line="247" w:lineRule="auto"/>
        <w:rPr>
          <w:sz w:val="20"/>
          <w:szCs w:val="20"/>
          <w:color w:val="auto"/>
        </w:rPr>
      </w:pPr>
      <w:r>
        <w:rPr>
          <w:rFonts w:ascii="Courier New" w:cs="Courier New" w:eastAsia="Courier New" w:hAnsi="Courier New"/>
          <w:sz w:val="16"/>
          <w:szCs w:val="16"/>
          <w:color w:val="auto"/>
        </w:rPr>
        <w:t>Ocwen's Bylaws provide that the Board of Directors of Ocwen shall be comprised of between three and seven members, with the exact number to be fixed by the Board of Directors. On July 25, 2002, the Board of Directors fixed the number of directors at seven pursuant to the Bylaws of Ocwen. Directors are elected annually and hold office until the earlier of the election and qualification of their successors or their resignation and removal.</w:t>
      </w:r>
    </w:p>
    <w:p>
      <w:pPr>
        <w:spacing w:after="0" w:line="185"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Accordingly, Ocwen will propose seven directors for election at the annual meeting. Six of the seven persons standing for election at the annual meeting are currently directors of Ocwen. Hon. Thomas F. Lewis is not standing for re-election, as he has decided to retire from his service to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91" w:lineRule="exact"/>
        <w:rPr>
          <w:sz w:val="20"/>
          <w:szCs w:val="20"/>
          <w:color w:val="auto"/>
        </w:rPr>
      </w:pPr>
    </w:p>
    <w:p>
      <w:pPr>
        <w:ind w:left="1" w:right="2520" w:firstLine="388"/>
        <w:spacing w:after="0" w:line="247" w:lineRule="auto"/>
        <w:rPr>
          <w:sz w:val="20"/>
          <w:szCs w:val="20"/>
          <w:color w:val="auto"/>
        </w:rPr>
      </w:pPr>
      <w:r>
        <w:rPr>
          <w:rFonts w:ascii="Courier New" w:cs="Courier New" w:eastAsia="Courier New" w:hAnsi="Courier New"/>
          <w:sz w:val="16"/>
          <w:szCs w:val="16"/>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Director</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concerning the directors of Ocwen:</w:t>
      </w:r>
    </w:p>
    <w:p>
      <w:pPr>
        <w:spacing w:after="0" w:line="200" w:lineRule="exact"/>
        <w:rPr>
          <w:sz w:val="20"/>
          <w:szCs w:val="20"/>
          <w:color w:val="auto"/>
        </w:rPr>
      </w:pPr>
    </w:p>
    <w:p>
      <w:pPr>
        <w:spacing w:after="0" w:line="357" w:lineRule="exact"/>
        <w:rPr>
          <w:sz w:val="20"/>
          <w:szCs w:val="20"/>
          <w:color w:val="auto"/>
        </w:rPr>
      </w:pPr>
    </w:p>
    <w:p>
      <w:pPr>
        <w:ind w:left="8921"/>
        <w:spacing w:after="0"/>
        <w:rPr>
          <w:sz w:val="20"/>
          <w:szCs w:val="20"/>
          <w:color w:val="auto"/>
        </w:rPr>
      </w:pPr>
      <w:r>
        <w:rPr>
          <w:rFonts w:ascii="Courier New" w:cs="Courier New" w:eastAsia="Courier New" w:hAnsi="Courier New"/>
          <w:sz w:val="16"/>
          <w:szCs w:val="16"/>
          <w:color w:val="auto"/>
        </w:rPr>
        <w:t>Nomination/</w:t>
      </w:r>
    </w:p>
    <w:p>
      <w:pPr>
        <w:spacing w:after="0" w:line="5" w:lineRule="exact"/>
        <w:rPr>
          <w:sz w:val="20"/>
          <w:szCs w:val="20"/>
          <w:color w:val="auto"/>
        </w:rPr>
      </w:pPr>
    </w:p>
    <w:p>
      <w:pPr>
        <w:ind w:left="3301"/>
        <w:spacing w:after="0"/>
        <w:tabs>
          <w:tab w:leader="none" w:pos="4440" w:val="left"/>
          <w:tab w:leader="none" w:pos="6080" w:val="left"/>
          <w:tab w:leader="none" w:pos="7340" w:val="left"/>
          <w:tab w:leader="none" w:pos="8900"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Executive</w:t>
      </w:r>
      <w:r>
        <w:rPr>
          <w:sz w:val="20"/>
          <w:szCs w:val="20"/>
          <w:color w:val="auto"/>
        </w:rPr>
        <w:tab/>
      </w:r>
      <w:r>
        <w:rPr>
          <w:rFonts w:ascii="Courier New" w:cs="Courier New" w:eastAsia="Courier New" w:hAnsi="Courier New"/>
          <w:sz w:val="16"/>
          <w:szCs w:val="16"/>
          <w:color w:val="auto"/>
        </w:rPr>
        <w:t>Audit</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Governance</w:t>
      </w:r>
    </w:p>
    <w:p>
      <w:pPr>
        <w:spacing w:after="0" w:line="5" w:lineRule="exact"/>
        <w:rPr>
          <w:sz w:val="20"/>
          <w:szCs w:val="20"/>
          <w:color w:val="auto"/>
        </w:rPr>
      </w:pPr>
    </w:p>
    <w:p>
      <w:pPr>
        <w:ind w:left="101"/>
        <w:spacing w:after="0"/>
        <w:tabs>
          <w:tab w:leader="none" w:pos="2300" w:val="left"/>
          <w:tab w:leader="none" w:pos="3460" w:val="left"/>
          <w:tab w:leader="none" w:pos="4440" w:val="left"/>
          <w:tab w:leader="none" w:pos="5800" w:val="left"/>
          <w:tab w:leader="none" w:pos="7340" w:val="left"/>
          <w:tab w:leader="none" w:pos="8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Age (1)</w:t>
      </w:r>
      <w:r>
        <w:rPr>
          <w:sz w:val="20"/>
          <w:szCs w:val="20"/>
          <w:color w:val="auto"/>
        </w:rPr>
        <w:tab/>
      </w:r>
      <w:r>
        <w:rPr>
          <w:rFonts w:ascii="Courier New" w:cs="Courier New" w:eastAsia="Courier New" w:hAnsi="Courier New"/>
          <w:sz w:val="16"/>
          <w:szCs w:val="16"/>
          <w:color w:val="auto"/>
        </w:rPr>
        <w:t>Since</w:t>
      </w:r>
      <w:r>
        <w:rPr>
          <w:sz w:val="20"/>
          <w:szCs w:val="20"/>
          <w:color w:val="auto"/>
        </w:rPr>
        <w:tab/>
      </w: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6"/>
          <w:szCs w:val="16"/>
          <w:color w:val="auto"/>
        </w:rPr>
        <w:t>Committee (2)</w:t>
        <w:tab/>
        <w:t>Committee (2)</w:t>
      </w:r>
      <w:r>
        <w:rPr>
          <w:sz w:val="20"/>
          <w:szCs w:val="20"/>
          <w:color w:val="auto"/>
        </w:rPr>
        <w:tab/>
      </w:r>
      <w:r>
        <w:rPr>
          <w:rFonts w:ascii="Courier New" w:cs="Courier New" w:eastAsia="Courier New" w:hAnsi="Courier New"/>
          <w:sz w:val="15"/>
          <w:szCs w:val="15"/>
          <w:color w:val="auto"/>
        </w:rPr>
        <w:t>Committee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53</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40</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H. Lacy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58</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 Michael Linn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w w:val="95"/>
              </w:rPr>
              <w:t>X (3)</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W.C. Martin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1996</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 (3)</w:t>
            </w: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Herbert B. Tasker</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Barry N. Wish</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61</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77"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15, 2003.</w:t>
      </w:r>
    </w:p>
    <w:p>
      <w:pPr>
        <w:spacing w:after="0" w:line="191" w:lineRule="exact"/>
        <w:rPr>
          <w:rFonts w:ascii="Courier New" w:cs="Courier New" w:eastAsia="Courier New" w:hAnsi="Courier New"/>
          <w:sz w:val="16"/>
          <w:szCs w:val="16"/>
          <w:color w:val="auto"/>
        </w:rPr>
      </w:pPr>
    </w:p>
    <w:p>
      <w:pPr>
        <w:jc w:val="both"/>
        <w:ind w:left="481" w:right="2520" w:hanging="481"/>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Hon. Thomas F. Lewis, who is not seeking re-election due to his retirement, serves on this Committee. The Board determines Committee assignments at its annual organizational meeting.</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Chairman</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principal occupation for the last five years of each director of Ocwen, as well as some other information, is set forth below.</w:t>
      </w:r>
    </w:p>
    <w:p>
      <w:pPr>
        <w:spacing w:after="0" w:line="184"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William C. Erbey. Mr. Erbey has served as the Chairman of the Board of Directors of Ocwen since September 1996, as the Chief Executive Officer of Ocwen since January 1988, as the Chief Investment Officer of Ocwen from January 1992 to August 1999 and as the President of Ocwen from January 1988 to May 1998. Mr. Erbey has served as the Chairman of the Board of Directors of Ocwen Federal Bank FSB, a subsidiary of Ocwen, since February 1988 and as the Chief Executive Officer of the Bank since June 1990. He also serves as a director and officer of many other subsidiaries of Ocwen. From 1983 to 1995, Mr. Erbey served as a Managing General Partner of The Oxford Financial Group ("Oxford"),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w:t>
      </w:r>
    </w:p>
    <w:p>
      <w:pPr>
        <w:sectPr>
          <w:pgSz w:w="11900" w:h="16838" w:orient="portrait"/>
          <w:cols w:equalWidth="0" w:num="1">
            <w:col w:w="10281"/>
          </w:cols>
          <w:pgMar w:left="239" w:top="676" w:right="1379" w:bottom="1440" w:gutter="0" w:footer="0" w:header="0"/>
        </w:sectPr>
      </w:pPr>
    </w:p>
    <w:bookmarkStart w:id="7" w:name="page8"/>
    <w:bookmarkEnd w:id="7"/>
    <w:p>
      <w:pPr>
        <w:ind w:right="2559"/>
        <w:spacing w:after="0" w:line="247" w:lineRule="auto"/>
        <w:rPr>
          <w:sz w:val="20"/>
          <w:szCs w:val="20"/>
          <w:color w:val="auto"/>
        </w:rPr>
      </w:pPr>
      <w:r>
        <w:rPr>
          <w:rFonts w:ascii="Courier New" w:cs="Courier New" w:eastAsia="Courier New" w:hAnsi="Courier New"/>
          <w:sz w:val="16"/>
          <w:szCs w:val="16"/>
          <w:color w:val="auto"/>
        </w:rPr>
        <w:t>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Ronald M. Faris. Mr. Faris has served on the Board of Directors of Ocwen Federal Bank FSB since March 2001 and as the President of Ocwen and the Bank since March 2001. Mr. Faris served as Executive Vice President of Ocwen and the Bank from May 1998 to March 2001, as a Senior Vice President of the Bank from May 1997 to May 1998 and Vice President and Chief Accounting Officer of Ocwen from June 1995 to May 1997 and of the Bank from July 1994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Pennsylvania State University.</w:t>
      </w:r>
    </w:p>
    <w:p>
      <w:pPr>
        <w:spacing w:after="0" w:line="193"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William H. Lacy. Mr. Lacy has served as a director of Ocwen since May 2002. Mr. Lacy was formerly the Chairman of Mortgage Guaranty Insurance Corporation and Chairman and Chief Executive Officer of MGIC Investment Corporation, Milwaukee, Wisconsin from 1987 through 1999. Mr. Lacy is also a Director of C2 Corporation and of Johnson Controls, Inc.</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 Michael Linn. Mr. Linn has served as a director of Ocwen since August 2002. Mr. Linn is currently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Degree and earned a Masters of Business Administration from Harvard Business School in 1973.</w:t>
      </w:r>
    </w:p>
    <w:p>
      <w:pPr>
        <w:spacing w:after="0" w:line="19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W.C. Martin. Mr. Martin has served as a director of Ocwen since July 1996 and of the Bank since August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9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Herbert B. Tasker. Mr. Tasker has served on the Board of Directors of Ocwen since May 2002. He is currently the Vice Chairman and Managing Director of Centre Capital. Mr. Tasker also serves on the board of First American Title Company and the Board of Trustees of the University of San Diego. He is a former President of the Mortgage Bankers Association of America, the California Mortgage Bankers Association and the Southern California Mortgage Bankers.</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Barry N. Wish. Mr. Wish has served as Chairman Emeritus of the Board of Directors of Ocwen since September 1996, and he previously served as Chairman of the Board of Ocwen from January 1988 to September 1996. Mr. Wish has served as a director of Ocwen Federal Bank FSB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91" w:lineRule="exact"/>
        <w:rPr>
          <w:sz w:val="20"/>
          <w:szCs w:val="20"/>
          <w:color w:val="auto"/>
        </w:rPr>
      </w:pPr>
    </w:p>
    <w:p>
      <w:pPr>
        <w:ind w:right="2859" w:firstLine="388"/>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each of the nominees for director.</w:t>
      </w:r>
    </w:p>
    <w:p>
      <w:pPr>
        <w:sectPr>
          <w:pgSz w:w="11900" w:h="16838" w:orient="portrait"/>
          <w:cols w:equalWidth="0" w:num="1">
            <w:col w:w="10219"/>
          </w:cols>
          <w:pgMar w:left="240" w:top="676" w:right="1440" w:bottom="1440" w:gutter="0" w:footer="0" w:header="0"/>
        </w:sectPr>
      </w:pPr>
    </w:p>
    <w:bookmarkStart w:id="8" w:name="page9"/>
    <w:bookmarkEnd w:id="8"/>
    <w:p>
      <w:pPr>
        <w:ind w:left="1360"/>
        <w:spacing w:after="0"/>
        <w:rPr>
          <w:sz w:val="20"/>
          <w:szCs w:val="20"/>
          <w:color w:val="auto"/>
        </w:rPr>
      </w:pPr>
      <w:r>
        <w:rPr>
          <w:rFonts w:ascii="Courier New" w:cs="Courier New" w:eastAsia="Courier New" w:hAnsi="Courier New"/>
          <w:sz w:val="16"/>
          <w:szCs w:val="16"/>
          <w:color w:val="auto"/>
        </w:rPr>
        <w:t>MEETINGS OF THE BOARD OF DIRECTORS AND ITS COMMITTEES</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held seven meetings during 2002. No director of Ocwen attended fewer than 75% of the aggregate of the total number of meetings of the Board of Directors held during 2002 and the total number of meetings held by all committees thereof on which he served during the period.</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has established an Executive Committee, an Audit Committee, a Compensation Committee and a Nomination/Governance Committee. A brief description of these Committees is set forth below.</w:t>
      </w:r>
    </w:p>
    <w:p>
      <w:pPr>
        <w:spacing w:after="0" w:line="186"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The Executive Committee is generally responsible to act on behalf of the Board of Directors during the intervals between meetings of the Board of Directors. This Committee met 44 times during 2002.</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Audit Committee of the Board of Directors manages Ocwen's independent auditors, reviews and advises the Board of Directors with respect to reports by Ocwen's independent auditor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auditor. Each member of the Audit Committee is independent as defined in the listing standards of the New York Stock Exchange, on which Ocwen's Common Stock is listed. The Audit Committee operates under a written charter approved by the whole Board of Directors and included as Exhibit B to this Proxy. This Committee met five times during 2002.</w:t>
      </w:r>
    </w:p>
    <w:p>
      <w:pPr>
        <w:spacing w:after="0" w:line="193"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This Committee met four times during 2002.</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This Committee met four times during 2002.</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Stockholders wishing to recommend persons for consideration by the Nomination/Governance Committee as nominees for election to the Board of Directors can do so by writing to the Secretary of Ocwen Financial Corporation, 1675 Palm Beach Lakes Boulevard, West Palm Beach, Florida 33401, giving each proposed nominee's name, biographical data and qualifications. The recommendation should also include a written statement from the proposed nominee consenting to be named as a nominee and, if nominated and elected, to serve as a director. For consideration, such recommendations must be received by Ocwen by December 1, 2003.</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BOARD OF DIRECTORS COMPENSATION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Pursuant to a Directors Stock Plan adopted by the Board of Directors and Shareholders of Ocwen in July 1996, the Directors are currently compensated by delivering to each a total annual value of $16,000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Ocwen. An additional annual fee payable in shares of Common Stock, which currently amounts to $2,000, subject to review and adjustment by the Board of Directors from time to time, is paid to committee chairs after the annual organizational meeting of the Board of Directors. During 2002, an aggregate of 17,523 shares of Common Stock was granted to the seven directors of Ocwen, including the shares received by the three committee chairs.</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w:t>
      </w:r>
    </w:p>
    <w:p>
      <w:pPr>
        <w:sectPr>
          <w:pgSz w:w="11900" w:h="16838" w:orient="portrait"/>
          <w:cols w:equalWidth="0" w:num="1">
            <w:col w:w="10219"/>
          </w:cols>
          <w:pgMar w:left="240" w:top="676" w:right="1440" w:bottom="1440" w:gutter="0" w:footer="0" w:header="0"/>
        </w:sectPr>
      </w:pPr>
    </w:p>
    <w:bookmarkStart w:id="9" w:name="page10"/>
    <w:bookmarkEnd w:id="9"/>
    <w:p>
      <w:pPr>
        <w:ind w:right="2459" w:firstLine="388"/>
        <w:spacing w:after="0" w:line="247" w:lineRule="auto"/>
        <w:rPr>
          <w:sz w:val="20"/>
          <w:szCs w:val="20"/>
          <w:color w:val="auto"/>
        </w:rPr>
      </w:pPr>
      <w:r>
        <w:rPr>
          <w:rFonts w:ascii="Courier New" w:cs="Courier New" w:eastAsia="Courier New" w:hAnsi="Courier New"/>
          <w:sz w:val="16"/>
          <w:szCs w:val="16"/>
          <w:color w:val="auto"/>
        </w:rPr>
        <w:t>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Messers. Erbey, Faris, Martin and Wish also serve on the Board of Directors of Ocwen Federal Bank, FSB. During 2002, the Bank compensated its non-management directors by delivering to each a total annual value of $10,000 in cash, paid in equal quarterly installments in arrears, in respect of their service on the Bank's Board of Directors. An additional annual payment of $2,000 in cash, paid in equal quarterly installments in arrears, was paid to committee chairs. During 2002, an aggregate of $42,500 in cash was paid to five directors of Ocwen in respect of their service as members of the Board of Directors of the Bank, including as chairman of the committees of the Bank's Board of Directors.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EXECUTIVE OFFICERS WHO ARE NOT DIRECTORS</w:t>
      </w:r>
    </w:p>
    <w:p>
      <w:pPr>
        <w:spacing w:after="0" w:line="19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w:t>
      </w:r>
    </w:p>
    <w:p>
      <w:pPr>
        <w:spacing w:after="0" w:line="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Age(1)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53</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Chief Accounting</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57</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Ocwen Technology Xchange, Inc.</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 Chief Financial</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bl>
    <w:p>
      <w:pPr>
        <w:spacing w:after="0" w:line="190"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w:t>
        <w:tab/>
        <w:t>As of March 15, 2003.</w:t>
      </w:r>
    </w:p>
    <w:p>
      <w:pPr>
        <w:spacing w:after="0" w:line="191" w:lineRule="exact"/>
        <w:rPr>
          <w:sz w:val="20"/>
          <w:szCs w:val="20"/>
          <w:color w:val="auto"/>
        </w:rPr>
      </w:pPr>
    </w:p>
    <w:p>
      <w:pPr>
        <w:jc w:val="both"/>
        <w:ind w:right="2459" w:firstLine="388"/>
        <w:spacing w:after="0" w:line="248" w:lineRule="auto"/>
        <w:rPr>
          <w:sz w:val="20"/>
          <w:szCs w:val="20"/>
          <w:color w:val="auto"/>
        </w:rPr>
      </w:pPr>
      <w:r>
        <w:rPr>
          <w:rFonts w:ascii="Courier New" w:cs="Courier New" w:eastAsia="Courier New" w:hAnsi="Courier New"/>
          <w:sz w:val="16"/>
          <w:szCs w:val="16"/>
          <w:color w:val="auto"/>
        </w:rPr>
        <w:t>The background for the last five years of each executive officer of Ocwen who is not a director, as well as certain other information, is set forth below.</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Robert J. Leist, Jr. Mr. Leist has served as Vice President and Chief Accounting Officer of Ocwen and the Bank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Arthur D. Ringwald. Mr. Ringwald has served as President and Chief Executive Officer of Ocwen Technology Xchange, Inc. since April 2001. Prior to that, Mr. Ringwald served as President and Chief Executive Officer of Ellie Mae, a technology solutions provider to the mortgage brokerage industry. From 1993 to 2000, Mr. Ringwald served as Group Executive Vice President at Bank of America responsible for residential and secondary mortgage lending. Mr. Ringwald was Executive Vice President with the Sears Mortgage Corporation from 1989 until 1993. Mr. Ringwald holds a Bachelor of Science degree from Michigan State University and an MBA from the University of Detroit. Mr. Ringwald has also served on the Harvard Center for Joint Housing Studies Advisory Board, The Consumer Mortgage Coalition, The National Association of Home Builders Housing Finance Roundtable, The Fannie Mae National Advisory Counsel and a variety of other real estate finance related boards.</w:t>
      </w:r>
    </w:p>
    <w:p>
      <w:pPr>
        <w:spacing w:after="0" w:line="194"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Mark S. Zeidman. Mr. Zeidman has served as Senior Vice President and Chief Financial Officer of Ocwen and the Bank since May 1997 and as Chief Investment Officer of Ocwen since August 1999. He also serves as an officer of many subsidiaries of Ocwen. From 1986 until May 1997, Mr. Zeidman was employed by</w:t>
      </w:r>
    </w:p>
    <w:p>
      <w:pPr>
        <w:sectPr>
          <w:pgSz w:w="11900" w:h="16838" w:orient="portrait"/>
          <w:cols w:equalWidth="0" w:num="1">
            <w:col w:w="10219"/>
          </w:cols>
          <w:pgMar w:left="240" w:top="676" w:right="1440" w:bottom="1440" w:gutter="0" w:footer="0" w:header="0"/>
        </w:sectPr>
      </w:pPr>
    </w:p>
    <w:bookmarkStart w:id="10" w:name="page11"/>
    <w:bookmarkEnd w:id="10"/>
    <w:p>
      <w:pPr>
        <w:ind w:right="2800"/>
        <w:spacing w:after="0" w:line="247" w:lineRule="auto"/>
        <w:rPr>
          <w:sz w:val="20"/>
          <w:szCs w:val="20"/>
          <w:color w:val="auto"/>
        </w:rPr>
      </w:pPr>
      <w:r>
        <w:rPr>
          <w:rFonts w:ascii="Courier New" w:cs="Courier New" w:eastAsia="Courier New" w:hAnsi="Courier New"/>
          <w:sz w:val="16"/>
          <w:szCs w:val="16"/>
          <w:color w:val="auto"/>
        </w:rPr>
        <w:t>Nomura Securities International, Inc., most recently as Managing Director. Prior to 1986, he held positions with Shearson Lehman Brothers and Coopers &amp; Lybrand. He holds a Bachelor of Arts degree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pacing w:after="0" w:line="18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AND RELATED STOCKHOLDER MATTERS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91" w:lineRule="exact"/>
        <w:rPr>
          <w:sz w:val="20"/>
          <w:szCs w:val="20"/>
          <w:color w:val="auto"/>
        </w:rPr>
      </w:pPr>
    </w:p>
    <w:p>
      <w:pPr>
        <w:ind w:right="290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the Common Stock as of the date indicated by</w:t>
      </w:r>
    </w:p>
    <w:p>
      <w:pPr>
        <w:spacing w:after="0" w:line="184" w:lineRule="exact"/>
        <w:rPr>
          <w:sz w:val="20"/>
          <w:szCs w:val="20"/>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and named executive officer of Ocwen,</w:t>
      </w:r>
    </w:p>
    <w:p>
      <w:pPr>
        <w:spacing w:after="0" w:line="5" w:lineRule="exact"/>
        <w:rPr>
          <w:rFonts w:ascii="Courier New" w:cs="Courier New" w:eastAsia="Courier New" w:hAnsi="Courier New"/>
          <w:sz w:val="16"/>
          <w:szCs w:val="16"/>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of Ocwen as a group and</w:t>
      </w:r>
    </w:p>
    <w:p>
      <w:pPr>
        <w:spacing w:after="0" w:line="5" w:lineRule="exact"/>
        <w:rPr>
          <w:rFonts w:ascii="Courier New" w:cs="Courier New" w:eastAsia="Courier New" w:hAnsi="Courier New"/>
          <w:sz w:val="16"/>
          <w:szCs w:val="16"/>
          <w:color w:val="auto"/>
        </w:rPr>
      </w:pPr>
    </w:p>
    <w:p>
      <w:pPr>
        <w:ind w:left="1260" w:right="3100" w:hanging="873"/>
        <w:spacing w:after="0" w:line="248"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persons known by Ocwen to own beneficially 5% or more of the outstanding Common Stock.</w:t>
      </w:r>
    </w:p>
    <w:p>
      <w:pPr>
        <w:spacing w:after="0" w:line="184" w:lineRule="exact"/>
        <w:rPr>
          <w:sz w:val="20"/>
          <w:szCs w:val="20"/>
          <w:color w:val="auto"/>
        </w:rPr>
      </w:pPr>
    </w:p>
    <w:p>
      <w:pPr>
        <w:jc w:val="both"/>
        <w:ind w:right="2800"/>
        <w:spacing w:after="0" w:line="247" w:lineRule="auto"/>
        <w:rPr>
          <w:sz w:val="20"/>
          <w:szCs w:val="20"/>
          <w:color w:val="auto"/>
        </w:rPr>
      </w:pPr>
      <w:r>
        <w:rPr>
          <w:rFonts w:ascii="Courier New" w:cs="Courier New" w:eastAsia="Courier New" w:hAnsi="Courier New"/>
          <w:sz w:val="16"/>
          <w:szCs w:val="16"/>
          <w:color w:val="auto"/>
        </w:rPr>
        <w:t>The table is based upon information supplied to Ocwen by directors, officers and principal stockholders and filings under the Securities Exchange Act of 1934, as amended.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9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Shares Beneficially Owned as of</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March 15, 2003 (1)</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Name of Beneficial Owner:</w:t>
            </w:r>
          </w:p>
        </w:tc>
        <w:tc>
          <w:tcPr>
            <w:tcW w:w="242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Amount (1)</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NewSouth Capital Management, Inc.</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5,383,205</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1000 Ridgeway Loop Rd. - Suite 233</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Memphis, TN 38120</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Dimensional Fund Advisors, Inc.</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1299 Ocean Avenue, 11th Floor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3,575,500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5.31%</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Santa Monica, CA 90401</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Directors and Named Executive Officers: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19,256,133</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28.30%</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283,061</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H. Lacy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7,466</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 Michael Linn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19,497</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W.C. Martin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15,490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Herbert A. Tasker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8,505</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Barry N. Wish</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9,018,240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23,499</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34,478</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103,994</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All Directors and Executive Officers as a Group (10 persons)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28,770,363</w:t>
            </w:r>
          </w:p>
        </w:tc>
        <w:tc>
          <w:tcPr>
            <w:tcW w:w="880" w:type="dxa"/>
            <w:vAlign w:val="bottom"/>
          </w:tcPr>
          <w:p>
            <w:pPr>
              <w:spacing w:after="0"/>
              <w:rPr>
                <w:sz w:val="24"/>
                <w:szCs w:val="24"/>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42.03%</w:t>
            </w:r>
          </w:p>
        </w:tc>
      </w:tr>
      <w:tr>
        <w:trPr>
          <w:trHeight w:val="559"/>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3"/>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0" w:type="dxa"/>
            <w:vAlign w:val="bottom"/>
          </w:tcPr>
          <w:p>
            <w:pPr>
              <w:ind w:left="240"/>
              <w:spacing w:after="0"/>
              <w:rPr>
                <w:sz w:val="20"/>
                <w:szCs w:val="20"/>
                <w:color w:val="auto"/>
              </w:rPr>
            </w:pPr>
            <w:r>
              <w:rPr>
                <w:rFonts w:ascii="Courier New" w:cs="Courier New" w:eastAsia="Courier New" w:hAnsi="Courier New"/>
                <w:sz w:val="16"/>
                <w:szCs w:val="16"/>
                <w:color w:val="auto"/>
              </w:rPr>
              <w:t>Less than 1%</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560"/>
          </w:cols>
          <w:pgMar w:left="240" w:top="676" w:right="1099" w:bottom="1440" w:gutter="0" w:footer="0" w:header="0"/>
        </w:sectPr>
      </w:pPr>
    </w:p>
    <w:bookmarkStart w:id="11" w:name="page12"/>
    <w:bookmarkEnd w:id="11"/>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an individual is considered the beneficial owner of any shares of Common Stock if he or she directly or indirectly has or shares voting power or investment power. Unless otherwise indicated, an individual has sole voting power and sole investment power with respect to the indicated shares.</w:t>
      </w:r>
    </w:p>
    <w:p>
      <w:pPr>
        <w:spacing w:after="0" w:line="185" w:lineRule="exact"/>
        <w:rPr>
          <w:rFonts w:ascii="Courier New" w:cs="Courier New" w:eastAsia="Courier New" w:hAnsi="Courier New"/>
          <w:sz w:val="16"/>
          <w:szCs w:val="16"/>
          <w:color w:val="auto"/>
        </w:rPr>
      </w:pPr>
    </w:p>
    <w:p>
      <w:pPr>
        <w:ind w:left="481" w:right="27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13G/A filed with the Commission on February 11, 2003 by NewSouth Capital Management, Inc., an investment advisor that acquired the shares on behalf of its clients. Includes 4,693,005 shares as to which sole voting power is claimed and 5,383,205 shares as to which sole dispositive power is claimed.</w:t>
      </w:r>
    </w:p>
    <w:p>
      <w:pPr>
        <w:spacing w:after="0" w:line="185"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 filed with the Commission on February 10, 2003 by Dimensional Fund Advisors Inc., an investment advisor that acquired the shares on behalf of its clients.</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13,138,351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708,078 shares, which are exercisable at or within 60 days of March 14, 2003.</w:t>
      </w:r>
    </w:p>
    <w:p>
      <w:pPr>
        <w:spacing w:after="0" w:line="191"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25,680 shares held jointly with spouse. Also includes options to acquire 257,381 shares of Common Stock, which were exercisable at or within 60 days of March 14, 2003.</w:t>
      </w:r>
    </w:p>
    <w:p>
      <w:pPr>
        <w:spacing w:after="0" w:line="185" w:lineRule="exact"/>
        <w:rPr>
          <w:rFonts w:ascii="Courier New" w:cs="Courier New" w:eastAsia="Courier New" w:hAnsi="Courier New"/>
          <w:sz w:val="16"/>
          <w:szCs w:val="16"/>
          <w:color w:val="auto"/>
        </w:rPr>
      </w:pPr>
    </w:p>
    <w:p>
      <w:pPr>
        <w:ind w:left="481" w:right="35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5,110 shares held by the Martin &amp; Associates Management Consultants, Inc. Defined Contribution Pension Plan &amp; Trust.</w:t>
      </w:r>
    </w:p>
    <w:p>
      <w:pPr>
        <w:spacing w:after="0" w:line="184"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8,522,305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spacing w:after="0" w:line="2" w:lineRule="exact"/>
        <w:rPr>
          <w:rFonts w:ascii="Courier New" w:cs="Courier New" w:eastAsia="Courier New" w:hAnsi="Courier New"/>
          <w:sz w:val="16"/>
          <w:szCs w:val="16"/>
          <w:color w:val="auto"/>
        </w:rPr>
      </w:pPr>
    </w:p>
    <w:p>
      <w:pPr>
        <w:ind w:left="4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Wish; and 111,000 shares held by the Barry Wish Family Foundation, Inc., a charitable foundation of which Mr. Wish is a director.</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23,399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33,478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96,984 shares of Common Stock, which were exercisable at or within 60 days of March 14, 2003.</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ectPr>
          <w:pgSz w:w="11900" w:h="16838" w:orient="portrait"/>
          <w:cols w:equalWidth="0" w:num="1">
            <w:col w:w="10220"/>
          </w:cols>
          <w:pgMar w:left="239" w:top="676" w:right="1440" w:bottom="1440" w:gutter="0" w:footer="0" w:header="0"/>
        </w:sectPr>
      </w:pPr>
    </w:p>
    <w:bookmarkStart w:id="12" w:name="page13"/>
    <w:bookmarkEnd w:id="12"/>
    <w:p>
      <w:pPr>
        <w:ind w:left="3480"/>
        <w:spacing w:after="0"/>
        <w:tabs>
          <w:tab w:leader="none" w:pos="6080" w:val="left"/>
        </w:tabs>
        <w:rPr>
          <w:sz w:val="20"/>
          <w:szCs w:val="20"/>
          <w:color w:val="auto"/>
        </w:rPr>
      </w:pPr>
      <w:r>
        <w:rPr>
          <w:rFonts w:ascii="Courier New" w:cs="Courier New" w:eastAsia="Courier New" w:hAnsi="Courier New"/>
          <w:sz w:val="16"/>
          <w:szCs w:val="16"/>
          <w:color w:val="auto"/>
        </w:rPr>
        <w:t>Number of securities to</w:t>
      </w:r>
      <w:r>
        <w:rPr>
          <w:sz w:val="20"/>
          <w:szCs w:val="20"/>
          <w:color w:val="auto"/>
        </w:rPr>
        <w:tab/>
      </w:r>
      <w:r>
        <w:rPr>
          <w:rFonts w:ascii="Courier New" w:cs="Courier New" w:eastAsia="Courier New" w:hAnsi="Courier New"/>
          <w:sz w:val="16"/>
          <w:szCs w:val="16"/>
          <w:color w:val="auto"/>
        </w:rPr>
        <w:t>Weighted average exercise</w:t>
      </w:r>
    </w:p>
    <w:p>
      <w:pPr>
        <w:spacing w:after="0" w:line="5" w:lineRule="exact"/>
        <w:rPr>
          <w:sz w:val="20"/>
          <w:szCs w:val="20"/>
          <w:color w:val="auto"/>
        </w:rPr>
      </w:pPr>
    </w:p>
    <w:p>
      <w:pPr>
        <w:ind w:left="3480"/>
        <w:spacing w:after="0"/>
        <w:tabs>
          <w:tab w:leader="none" w:pos="6380" w:val="left"/>
          <w:tab w:leader="none" w:pos="9080" w:val="left"/>
        </w:tabs>
        <w:rPr>
          <w:sz w:val="20"/>
          <w:szCs w:val="20"/>
          <w:color w:val="auto"/>
        </w:rPr>
      </w:pPr>
      <w:r>
        <w:rPr>
          <w:rFonts w:ascii="Courier New" w:cs="Courier New" w:eastAsia="Courier New" w:hAnsi="Courier New"/>
          <w:sz w:val="16"/>
          <w:szCs w:val="16"/>
          <w:color w:val="auto"/>
        </w:rPr>
        <w:t>be issued upon exercise</w:t>
      </w:r>
      <w:r>
        <w:rPr>
          <w:sz w:val="20"/>
          <w:szCs w:val="20"/>
          <w:color w:val="auto"/>
        </w:rPr>
        <w:tab/>
      </w:r>
      <w:r>
        <w:rPr>
          <w:rFonts w:ascii="Courier New" w:cs="Courier New" w:eastAsia="Courier New" w:hAnsi="Courier New"/>
          <w:sz w:val="16"/>
          <w:szCs w:val="16"/>
          <w:color w:val="auto"/>
        </w:rPr>
        <w:t>price of outstanding</w:t>
      </w:r>
      <w:r>
        <w:rPr>
          <w:sz w:val="20"/>
          <w:szCs w:val="20"/>
          <w:color w:val="auto"/>
        </w:rPr>
        <w:tab/>
      </w:r>
      <w:r>
        <w:rPr>
          <w:rFonts w:ascii="Courier New" w:cs="Courier New" w:eastAsia="Courier New" w:hAnsi="Courier New"/>
          <w:sz w:val="16"/>
          <w:szCs w:val="16"/>
          <w:color w:val="auto"/>
        </w:rPr>
        <w:t>Number of securities</w:t>
      </w:r>
    </w:p>
    <w:p>
      <w:pPr>
        <w:spacing w:after="0" w:line="5" w:lineRule="exact"/>
        <w:rPr>
          <w:sz w:val="20"/>
          <w:szCs w:val="20"/>
          <w:color w:val="auto"/>
        </w:rPr>
      </w:pPr>
    </w:p>
    <w:p>
      <w:pPr>
        <w:ind w:left="3480"/>
        <w:spacing w:after="0"/>
        <w:tabs>
          <w:tab w:leader="none" w:pos="6280" w:val="left"/>
          <w:tab w:leader="none" w:pos="8900" w:val="left"/>
        </w:tabs>
        <w:rPr>
          <w:sz w:val="20"/>
          <w:szCs w:val="20"/>
          <w:color w:val="auto"/>
        </w:rPr>
      </w:pPr>
      <w:r>
        <w:rPr>
          <w:rFonts w:ascii="Courier New" w:cs="Courier New" w:eastAsia="Courier New" w:hAnsi="Courier New"/>
          <w:sz w:val="16"/>
          <w:szCs w:val="16"/>
          <w:color w:val="auto"/>
        </w:rPr>
        <w:t>of outstanding options,</w:t>
      </w:r>
      <w:r>
        <w:rPr>
          <w:sz w:val="20"/>
          <w:szCs w:val="20"/>
          <w:color w:val="auto"/>
        </w:rPr>
        <w:tab/>
      </w:r>
      <w:r>
        <w:rPr>
          <w:rFonts w:ascii="Courier New" w:cs="Courier New" w:eastAsia="Courier New" w:hAnsi="Courier New"/>
          <w:sz w:val="16"/>
          <w:szCs w:val="16"/>
          <w:color w:val="auto"/>
        </w:rPr>
        <w:t>options, warrants and</w:t>
      </w:r>
      <w:r>
        <w:rPr>
          <w:sz w:val="20"/>
          <w:szCs w:val="20"/>
          <w:color w:val="auto"/>
        </w:rPr>
        <w:tab/>
      </w:r>
      <w:r>
        <w:rPr>
          <w:rFonts w:ascii="Courier New" w:cs="Courier New" w:eastAsia="Courier New" w:hAnsi="Courier New"/>
          <w:sz w:val="16"/>
          <w:szCs w:val="16"/>
          <w:color w:val="auto"/>
        </w:rPr>
        <w:t>remaining available for</w:t>
      </w:r>
    </w:p>
    <w:p>
      <w:pPr>
        <w:spacing w:after="0" w:line="5" w:lineRule="exact"/>
        <w:rPr>
          <w:sz w:val="20"/>
          <w:szCs w:val="20"/>
          <w:color w:val="auto"/>
        </w:rPr>
      </w:pPr>
    </w:p>
    <w:p>
      <w:pPr>
        <w:ind w:left="960"/>
        <w:spacing w:after="0"/>
        <w:tabs>
          <w:tab w:leader="none" w:pos="3660" w:val="left"/>
          <w:tab w:leader="none" w:pos="7060" w:val="left"/>
          <w:tab w:leader="none" w:pos="9280" w:val="left"/>
        </w:tabs>
        <w:rPr>
          <w:sz w:val="20"/>
          <w:szCs w:val="20"/>
          <w:color w:val="auto"/>
        </w:rPr>
      </w:pPr>
      <w:r>
        <w:rPr>
          <w:rFonts w:ascii="Courier New" w:cs="Courier New" w:eastAsia="Courier New" w:hAnsi="Courier New"/>
          <w:sz w:val="16"/>
          <w:szCs w:val="16"/>
          <w:color w:val="auto"/>
        </w:rPr>
        <w:t>Plan category</w:t>
      </w:r>
      <w:r>
        <w:rPr>
          <w:sz w:val="20"/>
          <w:szCs w:val="20"/>
          <w:color w:val="auto"/>
        </w:rPr>
        <w:tab/>
      </w:r>
      <w:r>
        <w:rPr>
          <w:rFonts w:ascii="Courier New" w:cs="Courier New" w:eastAsia="Courier New" w:hAnsi="Courier New"/>
          <w:sz w:val="16"/>
          <w:szCs w:val="16"/>
          <w:color w:val="auto"/>
        </w:rPr>
        <w:t>warrants and rights</w:t>
      </w:r>
      <w:r>
        <w:rPr>
          <w:sz w:val="20"/>
          <w:szCs w:val="20"/>
          <w:color w:val="auto"/>
        </w:rPr>
        <w:tab/>
      </w:r>
      <w:r>
        <w:rPr>
          <w:rFonts w:ascii="Courier New" w:cs="Courier New" w:eastAsia="Courier New" w:hAnsi="Courier New"/>
          <w:sz w:val="16"/>
          <w:szCs w:val="16"/>
          <w:color w:val="auto"/>
        </w:rPr>
        <w:t>rights</w:t>
      </w:r>
      <w:r>
        <w:rPr>
          <w:sz w:val="20"/>
          <w:szCs w:val="20"/>
          <w:color w:val="auto"/>
        </w:rPr>
        <w:tab/>
      </w:r>
      <w:r>
        <w:rPr>
          <w:rFonts w:ascii="Courier New" w:cs="Courier New" w:eastAsia="Courier New" w:hAnsi="Courier New"/>
          <w:sz w:val="16"/>
          <w:szCs w:val="16"/>
          <w:color w:val="auto"/>
        </w:rPr>
        <w:t>future issuance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 not</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0</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right="3680" w:firstLine="388"/>
        <w:spacing w:after="0" w:line="247" w:lineRule="auto"/>
        <w:rPr>
          <w:sz w:val="20"/>
          <w:szCs w:val="20"/>
          <w:color w:val="auto"/>
        </w:rPr>
      </w:pPr>
      <w:r>
        <w:rPr>
          <w:rFonts w:ascii="Courier New" w:cs="Courier New" w:eastAsia="Courier New" w:hAnsi="Courier New"/>
          <w:sz w:val="16"/>
          <w:szCs w:val="16"/>
          <w:color w:val="auto"/>
        </w:rPr>
        <w:t>Section 16(a) of the Exchange Act requires Ocwen's executive officers and directors, and persons who own more than 10% of the Common Stock, to file reports of ownership and changes in ownership with the Securities and Exchange Commission. Officers, directors and greater than 10% shareholders are required by SEC regulations to furnish Ocwen with copies of all Section 16(a) forms they file.</w:t>
      </w:r>
    </w:p>
    <w:p>
      <w:pPr>
        <w:spacing w:after="0" w:line="185" w:lineRule="exact"/>
        <w:rPr>
          <w:sz w:val="20"/>
          <w:szCs w:val="20"/>
          <w:color w:val="auto"/>
        </w:rPr>
      </w:pPr>
    </w:p>
    <w:p>
      <w:pPr>
        <w:ind w:right="3580" w:firstLine="388"/>
        <w:spacing w:after="0" w:line="247" w:lineRule="auto"/>
        <w:rPr>
          <w:sz w:val="20"/>
          <w:szCs w:val="20"/>
          <w:color w:val="auto"/>
        </w:rPr>
      </w:pPr>
      <w:r>
        <w:rPr>
          <w:rFonts w:ascii="Courier New" w:cs="Courier New" w:eastAsia="Courier New" w:hAnsi="Courier New"/>
          <w:sz w:val="16"/>
          <w:szCs w:val="16"/>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2002, with the exception of one late filing with respect to one transaction by our Director, Herbert M. Tasker.</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1" w:lineRule="exact"/>
        <w:rPr>
          <w:sz w:val="20"/>
          <w:szCs w:val="20"/>
          <w:color w:val="auto"/>
        </w:rPr>
      </w:pPr>
    </w:p>
    <w:p>
      <w:pPr>
        <w:ind w:right="3880" w:firstLine="388"/>
        <w:spacing w:after="0" w:line="247" w:lineRule="auto"/>
        <w:rPr>
          <w:sz w:val="20"/>
          <w:szCs w:val="20"/>
          <w:color w:val="auto"/>
        </w:rPr>
      </w:pPr>
      <w:r>
        <w:rPr>
          <w:rFonts w:ascii="Courier New" w:cs="Courier New" w:eastAsia="Courier New" w:hAnsi="Courier New"/>
          <w:sz w:val="16"/>
          <w:szCs w:val="16"/>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1220" w:type="dxa"/>
            <w:vAlign w:val="bottom"/>
          </w:tcPr>
          <w:p>
            <w:pPr>
              <w:spacing w:after="0"/>
              <w:rPr>
                <w:sz w:val="16"/>
                <w:szCs w:val="16"/>
                <w:color w:val="auto"/>
              </w:rPr>
            </w:pPr>
          </w:p>
        </w:tc>
        <w:tc>
          <w:tcPr>
            <w:tcW w:w="4500" w:type="dxa"/>
            <w:vAlign w:val="bottom"/>
            <w:gridSpan w:val="6"/>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$271,000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84,688</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$351,000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141,475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$345,938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197,537</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$254,250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79,453</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$292,308</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$297,673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319,981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(7)</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2,973</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$266,906</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152,409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Arthur M. Ringwald (8)</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 and CEO</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$148,500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46,406</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Ocwen Technology Xchange</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$220,385</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$262,577</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60,491</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62,527</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0"/>
              </w:rPr>
              <w:t>(8)</w:t>
            </w:r>
          </w:p>
        </w:tc>
      </w:tr>
    </w:tbl>
    <w:p>
      <w:pPr>
        <w:sectPr>
          <w:pgSz w:w="11900" w:h="16838" w:orient="portrait"/>
          <w:cols w:equalWidth="0" w:num="1">
            <w:col w:w="11340"/>
          </w:cols>
          <w:pgMar w:left="240" w:top="1049"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00" w:type="dxa"/>
            <w:vAlign w:val="bottom"/>
            <w:gridSpan w:val="6"/>
          </w:tcPr>
          <w:p>
            <w:pPr>
              <w:jc w:val="center"/>
              <w:ind w:right="5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$357,731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148,955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$119,163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37,239</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Senior 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$355,000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124,250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(9)</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2,947</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$354,519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128,688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73,483</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$202,730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$ 37,236</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11,636</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$189,000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20,405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Accounting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$178,231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50,349</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34,479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bl>
    <w:p>
      <w:pPr>
        <w:spacing w:after="0" w:line="377" w:lineRule="exact"/>
        <w:rPr>
          <w:sz w:val="20"/>
          <w:szCs w:val="20"/>
          <w:color w:val="auto"/>
        </w:rPr>
      </w:pPr>
    </w:p>
    <w:p>
      <w:pPr>
        <w:ind w:left="960" w:hanging="476"/>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amounts paid in 2002.</w:t>
      </w:r>
    </w:p>
    <w:p>
      <w:pPr>
        <w:spacing w:after="0" w:line="191" w:lineRule="exact"/>
        <w:rPr>
          <w:rFonts w:ascii="Courier New" w:cs="Courier New" w:eastAsia="Courier New" w:hAnsi="Courier New"/>
          <w:sz w:val="16"/>
          <w:szCs w:val="16"/>
          <w:color w:val="auto"/>
        </w:rPr>
      </w:pPr>
    </w:p>
    <w:p>
      <w:pPr>
        <w:ind w:left="960" w:right="37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2002, 2001, and 2000, consists of bonuses awarded pursuant to Ocwen's 1998 Annual Incentive Plan in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award is a portion of the bonuses awarded in the first quarter of 2003 for services rendered in 2002 pursuant to Ocwen's 1998 Annual Incentive Plan, as amended and proposed for adoption herein. This award is subject to shareholder approval of the Amended 1998 Annual Incentive Plan.</w:t>
      </w:r>
    </w:p>
    <w:p>
      <w:pPr>
        <w:spacing w:after="0" w:line="185" w:lineRule="exact"/>
        <w:rPr>
          <w:rFonts w:ascii="Courier New" w:cs="Courier New" w:eastAsia="Courier New" w:hAnsi="Courier New"/>
          <w:sz w:val="16"/>
          <w:szCs w:val="16"/>
          <w:color w:val="auto"/>
        </w:rPr>
      </w:pPr>
    </w:p>
    <w:p>
      <w:pPr>
        <w:ind w:left="960" w:right="35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the Common Stock for the last five trading days of 2002.</w:t>
      </w:r>
    </w:p>
    <w:p>
      <w:pPr>
        <w:spacing w:after="0" w:line="184"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consists of options granted pursuant to Ocwen's 1991 Non-Qualified Stock Option Plan, as amended. The 2002, 2001, and 2000 amounts consist of grants made as of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2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consists of contributions by Ocwen pursuant to Ocwen's 401(k) Savings Plan.</w:t>
      </w:r>
    </w:p>
    <w:p>
      <w:pPr>
        <w:spacing w:after="0" w:line="184"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119,981 shares of Common Stock granted pursuant to the stock option plan and additional options to purchase 200,000 shares of Common Stock granted to Mr. Faris.</w:t>
      </w:r>
    </w:p>
    <w:p>
      <w:pPr>
        <w:spacing w:after="0" w:line="185"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Ringwald commenced his employment as President and Chief Executive Officer of Ocwen Technology Xchange on April 1, 2001. His annual salary is prorated for his period of employment in 2001. His other compensation represents reimbursed relocation expenses.</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50,081 shares of Common Stock granted pursuant to the stock option plan and additional options to purchase 40,000 shares of Common Stock granted to Mr. Zeidman.</w:t>
      </w:r>
    </w:p>
    <w:p>
      <w:pPr>
        <w:spacing w:after="0" w:line="185" w:lineRule="exact"/>
        <w:rPr>
          <w:rFonts w:ascii="Courier New" w:cs="Courier New" w:eastAsia="Courier New" w:hAnsi="Courier New"/>
          <w:sz w:val="16"/>
          <w:szCs w:val="16"/>
          <w:color w:val="auto"/>
        </w:rPr>
      </w:pPr>
    </w:p>
    <w:p>
      <w:pPr>
        <w:ind w:left="960" w:right="34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Leist commenced his employment as Vice President and Chief Accounting Officer of Ocwen in March of 1999. His other compensation represents reimbursed relocation expenses paid in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Ocwen has an employment agreement with Mr. Ringwald. This Agreement 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compensation, including base salary and minimum targets for annual bonus.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expires in 2006. Ocwen may terminate Mr. Ringwald's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"cause," as defined in the Agreement, and Mr. Ringwald may terminate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for any reason, including "good reason," as defined in the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termination by Ocwen without "cause," or termination by the employee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 reason," Mr. Ringwald is entitled to a lump sum cash payment of $750,000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any amounts payable to Mr. Ringwald as of the date of termination. If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is after a "change in control," Mr. Ringwald shall receive a lump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 payment of the greater of (x) $750,000 or (y) the base salary and guaranteed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specified for the Employment Term, plus all accrued amounts and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benefits and compensation payable to Mr. Ringwald under any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or incentive compensation plans then in effect (including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continuation of certain health, life, disability and pension benefits)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end of the employment term. Mr. Ringwald's current annual salary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this amount may not be reduced and will be increased on an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commencing on the third anniversary of the Agreement by an amount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the CPI-Urban Consumers for the current year over the prior year.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Ringwald's agreement also includes provision for confidentiality,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and non-competition.</w:t>
      </w:r>
    </w:p>
    <w:p>
      <w:pPr>
        <w:sectPr>
          <w:pgSz w:w="11900" w:h="16838" w:orient="portrait"/>
          <w:cols w:equalWidth="0" w:num="1">
            <w:col w:w="11040"/>
          </w:cols>
          <w:pgMar w:left="240" w:top="1235" w:right="619" w:bottom="509" w:gutter="0" w:footer="0" w:header="0"/>
        </w:sectPr>
      </w:pPr>
    </w:p>
    <w:bookmarkStart w:id="14" w:name="page15"/>
    <w:bookmarkEnd w:id="14"/>
    <w:p>
      <w:pPr>
        <w:ind w:left="1"/>
        <w:spacing w:after="0"/>
        <w:rPr>
          <w:sz w:val="20"/>
          <w:szCs w:val="20"/>
          <w:color w:val="auto"/>
        </w:rPr>
      </w:pPr>
      <w:r>
        <w:rPr>
          <w:rFonts w:ascii="Courier New" w:cs="Courier New" w:eastAsia="Courier New" w:hAnsi="Courier New"/>
          <w:sz w:val="16"/>
          <w:szCs w:val="16"/>
          <w:color w:val="auto"/>
        </w:rPr>
        <w:t>Option Grants for 2002</w:t>
      </w:r>
    </w:p>
    <w:p>
      <w:pPr>
        <w:spacing w:after="0" w:line="191" w:lineRule="exact"/>
        <w:rPr>
          <w:sz w:val="20"/>
          <w:szCs w:val="20"/>
          <w:color w:val="auto"/>
        </w:rPr>
      </w:pPr>
    </w:p>
    <w:p>
      <w:pPr>
        <w:ind w:left="1" w:right="39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grants made by Ocwen during 2002 and pursuant to Ocwen's stock option plan in 2003 to the individuals named in the Summary Compensation Table for services rendered in 2002.</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Percent of</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Securities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No. of</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Underlying</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Options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Potential</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Realizable Value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Granted to</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Expiration</w:t>
            </w:r>
          </w:p>
        </w:tc>
        <w:tc>
          <w:tcPr>
            <w:tcW w:w="386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at Assumed Rates of Stock Price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Granted</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Employees</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Date</w:t>
            </w: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Appreciation</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Option Term (3)</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w:t>
            </w:r>
          </w:p>
        </w:tc>
        <w:tc>
          <w:tcPr>
            <w:tcW w:w="386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(1)(2)</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($/sh)</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 / / )</w:t>
            </w: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0% ($)</w:t>
            </w:r>
          </w:p>
        </w:tc>
        <w:tc>
          <w:tcPr>
            <w:tcW w:w="200" w:type="dxa"/>
            <w:vAlign w:val="bottom"/>
          </w:tcPr>
          <w:p>
            <w:pPr>
              <w:spacing w:after="0"/>
              <w:rPr>
                <w:sz w:val="16"/>
                <w:szCs w:val="16"/>
                <w:color w:val="auto"/>
              </w:rPr>
            </w:pPr>
          </w:p>
        </w:tc>
        <w:tc>
          <w:tcPr>
            <w:tcW w:w="106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5% ($)</w:t>
            </w:r>
          </w:p>
        </w:tc>
        <w:tc>
          <w:tcPr>
            <w:tcW w:w="24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10% ($)</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84,688</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13.35%</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$78,760</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$227,895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456,638</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79,453</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12.53%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$73,891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$213,808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428,411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46,406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$43,158</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$124,879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250,221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37,239</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5.87%</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$34,632</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$100,210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200,793</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11,636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$10,821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$ 31,312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62,741</w:t>
            </w:r>
          </w:p>
        </w:tc>
      </w:tr>
    </w:tbl>
    <w:p>
      <w:pPr>
        <w:spacing w:after="0" w:line="377" w:lineRule="exact"/>
        <w:rPr>
          <w:sz w:val="20"/>
          <w:szCs w:val="20"/>
          <w:color w:val="auto"/>
        </w:rPr>
      </w:pPr>
    </w:p>
    <w:p>
      <w:pPr>
        <w:ind w:left="481" w:right="38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and, unless otherwise noted, one-fifth vests and becomes exercisable on the date of grant and on January 31, 2004, 2005, 2006 and 2007.</w:t>
      </w:r>
    </w:p>
    <w:p>
      <w:pPr>
        <w:spacing w:after="0" w:line="185" w:lineRule="exact"/>
        <w:rPr>
          <w:rFonts w:ascii="Courier New" w:cs="Courier New" w:eastAsia="Courier New" w:hAnsi="Courier New"/>
          <w:sz w:val="16"/>
          <w:szCs w:val="16"/>
          <w:color w:val="auto"/>
        </w:rPr>
      </w:pPr>
    </w:p>
    <w:p>
      <w:pPr>
        <w:ind w:left="481" w:right="37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were made in 2003 for service in 2002. The percentage of securities underlying these options is based on options to purchase a total of 634,227 shares of Common Stock granted to employees of Ocwen and its subsidiaries.</w:t>
      </w:r>
    </w:p>
    <w:p>
      <w:pPr>
        <w:spacing w:after="0" w:line="185" w:lineRule="exact"/>
        <w:rPr>
          <w:rFonts w:ascii="Courier New" w:cs="Courier New" w:eastAsia="Courier New" w:hAnsi="Courier New"/>
          <w:sz w:val="16"/>
          <w:szCs w:val="16"/>
          <w:color w:val="auto"/>
        </w:rPr>
      </w:pPr>
    </w:p>
    <w:p>
      <w:pPr>
        <w:ind w:left="481" w:right="39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future prices of shares of Common Stock of $2.80, $4.56 and $7.26 at compounded rates of return of 0%, 5% and 10%, respectively, from the average closing price per share on the New York Stock Exchange over the last five trading days of 2002.</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AGGREGATED OPTION EXERCISES IN 2002 AND YEAR-END OPTION VALUES</w:t>
      </w:r>
    </w:p>
    <w:p>
      <w:pPr>
        <w:spacing w:after="0" w:line="191" w:lineRule="exact"/>
        <w:rPr>
          <w:sz w:val="20"/>
          <w:szCs w:val="20"/>
          <w:color w:val="auto"/>
        </w:rPr>
      </w:pPr>
    </w:p>
    <w:p>
      <w:pPr>
        <w:jc w:val="both"/>
        <w:ind w:left="1" w:right="37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exercises during the year 2002 by the individuals named in the Summary Compensation Table and the value of each such individual's unexercised options at December 31, 2002 (1).</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Number of Securities</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Underlying Unexercised</w:t>
            </w:r>
          </w:p>
        </w:tc>
        <w:tc>
          <w:tcPr>
            <w:tcW w:w="316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Number of</w:t>
            </w: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Options at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In-the-Money Options at</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Shares</w:t>
            </w:r>
          </w:p>
        </w:tc>
        <w:tc>
          <w:tcPr>
            <w:tcW w:w="1160" w:type="dxa"/>
            <w:vAlign w:val="bottom"/>
          </w:tcPr>
          <w:p>
            <w:pPr>
              <w:spacing w:after="0"/>
              <w:rPr>
                <w:sz w:val="16"/>
                <w:szCs w:val="16"/>
                <w:color w:val="auto"/>
              </w:rPr>
            </w:pPr>
          </w:p>
        </w:tc>
        <w:tc>
          <w:tcPr>
            <w:tcW w:w="314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December 31, 2002 (1)</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December 31, 2002 (2)</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Acquired</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Value</w:t>
            </w: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on Exercise</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Realized</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Unexercisable</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708,078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231,650</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$15,752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63,008</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257,381</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396,515</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$14,778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59,113</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33,478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73,419</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$ 8,632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34,526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96,984</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129,233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$ 6,926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27,706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23,399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32,543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$ 2,164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8,657</w:t>
            </w:r>
          </w:p>
        </w:tc>
      </w:tr>
    </w:tbl>
    <w:p>
      <w:pPr>
        <w:spacing w:after="0" w:line="200" w:lineRule="exact"/>
        <w:rPr>
          <w:sz w:val="20"/>
          <w:szCs w:val="20"/>
          <w:color w:val="auto"/>
        </w:rPr>
      </w:pPr>
    </w:p>
    <w:p>
      <w:pPr>
        <w:spacing w:after="0" w:line="363" w:lineRule="exact"/>
        <w:rPr>
          <w:sz w:val="20"/>
          <w:szCs w:val="20"/>
          <w:color w:val="auto"/>
        </w:rPr>
      </w:pPr>
    </w:p>
    <w:p>
      <w:pPr>
        <w:ind w:left="481" w:right="4060" w:hanging="481"/>
        <w:spacing w:after="0" w:line="247"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Options listed as "exercisable" consist of options that became exercisable at or within 60 days of December 31, 2002.</w:t>
      </w:r>
    </w:p>
    <w:p>
      <w:pPr>
        <w:sectPr>
          <w:pgSz w:w="11900" w:h="16838" w:orient="portrait"/>
          <w:cols w:equalWidth="0" w:num="1">
            <w:col w:w="11521"/>
          </w:cols>
          <w:pgMar w:left="239" w:top="676" w:right="139" w:bottom="1440" w:gutter="0" w:footer="0" w:header="0"/>
        </w:sectPr>
      </w:pPr>
    </w:p>
    <w:bookmarkStart w:id="15" w:name="page16"/>
    <w:bookmarkEnd w:id="15"/>
    <w:p>
      <w:pPr>
        <w:ind w:left="481" w:right="2759" w:hanging="481"/>
        <w:spacing w:after="0" w:line="248"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a share of Common Stock on the New York Stock Exchange on the last five trading days of 2002.</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Determinations regarding compensation of Ocwen's employees are made by Ocwen's Compensation Committee. No member of the Committee is or at any time was an employee of Ocwen or any subsidiary, nor did any member of the Committee have an interest in a transaction, which would require disclosure hereunder.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is responsible for establishing management compensation policies and procedures to be reflected in the compensation program offered to the executive officers of Ocwen and the Bank. The Committee shares jurisdiction with the full Board of Directors over the administration of and grants under the Stock Option Plan.</w:t>
      </w:r>
    </w:p>
    <w:p>
      <w:pPr>
        <w:spacing w:after="0" w:line="18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 level financial performance of Ocwen. With respect to Ocwen's officers other than Mr. William C. Erbey, the Committee considered salary and bonus recommendations prepared by Mr. William C. Erbey or other executive officers to determine fiscal 2002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94"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Annual Incentive Compensation. Ocwen's primary incentive compensation plan for executives is the 1998 Annual Incentive Plan. Pursuant to the current plan, a participant can earn cash and stock option awards as determined by the Compensation Committee. In addition, the Committee has approved a proposal to amend this Plan, which is subject to shareholder approval, to include awards of restricted stock. The Committee believes that stock option and restricted stock awards help to focus attention on managing Ocwen from the perspective of an owner with an equity stake in the business. The awards are based on objective performance criteria established by the Committee pursuant to the Plan, which includes growth in our core businesses, reduction in non-core assets and cost savings through Six Sigma initiatives and utilization of India operations.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 minimum Company and individual performance levels. The incentive awards are structured so that the compensation opportunities for executives are related to the levels of business unit and individual performances actually achieved. In the case of corporate support functions, performance against budget is also considered in addition to the criteria listed above.</w:t>
      </w:r>
    </w:p>
    <w:p>
      <w:pPr>
        <w:spacing w:after="0" w:line="384"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Discretionary Stock Option Awards. During 2001, discretionary stock option awards were made to five individuals (Messrs. Faris and Zeidman are the only executive officers receiving awards) in an aggregate amount of 360,000 options to purchase an equal number of shares of Common Stock. The objective of these options, which have an exercise price of $12.55, was to create a direct link between executive compensation and long-term Company performance. The exercise price was based on the price of our Common Stock at the time of grant plus fifty percent of the difference between the terminal value and the price of Ocwen's Common Stock on the NYSE at the time of the grant. The terminal value was calculated assuming a twenty-five percent per annum appreciation in the price of the Common Stock at the time of the grant. In determining the appropriate individuals and level of each award, the Committee considered the executive's contribution toward Company performance and the executives who were in a position and had the responsibility to make a substantial contribution to the long-term success of Ocwen.</w:t>
      </w:r>
    </w:p>
    <w:p>
      <w:pPr>
        <w:spacing w:after="0" w:line="195"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Other Compensation. The Compensation Committee's policy with respect to other employee benefit plans is to provide competitive benefits to employees of Ocwen and the Bank, including executive officers. A competitive comprehensive benefit program is essential to achieving the goal of attracting and retaining highly qualified employees.</w:t>
      </w:r>
    </w:p>
    <w:p>
      <w:pPr>
        <w:sectPr>
          <w:pgSz w:w="11900" w:h="16838" w:orient="portrait"/>
          <w:cols w:equalWidth="0" w:num="1">
            <w:col w:w="10220"/>
          </w:cols>
          <w:pgMar w:left="239" w:top="676" w:right="1440" w:bottom="1440" w:gutter="0" w:footer="0" w:header="0"/>
        </w:sectPr>
      </w:pPr>
    </w:p>
    <w:bookmarkStart w:id="16" w:name="page17"/>
    <w:bookmarkEnd w:id="16"/>
    <w:p>
      <w:pPr>
        <w:ind w:right="2659" w:firstLine="388"/>
        <w:spacing w:after="0" w:line="246" w:lineRule="auto"/>
        <w:rPr>
          <w:sz w:val="20"/>
          <w:szCs w:val="20"/>
          <w:color w:val="auto"/>
        </w:rPr>
      </w:pPr>
      <w:r>
        <w:rPr>
          <w:rFonts w:ascii="Courier New" w:cs="Courier New" w:eastAsia="Courier New" w:hAnsi="Courier New"/>
          <w:sz w:val="16"/>
          <w:szCs w:val="16"/>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2002 was based largely on performance against specific goals including growth of our loan servicing business and growth in our other core businesses, reduction in non-core assets and cost savings, including those attributable to increased utilization of our India operations centers and to our Six Sigma initiatives.</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 Martin,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Michael Linn,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Herbert B. Tasker, Director</w:t>
      </w:r>
    </w:p>
    <w:p>
      <w:pPr>
        <w:sectPr>
          <w:pgSz w:w="11900" w:h="16838" w:orient="portrait"/>
          <w:cols w:equalWidth="0" w:num="2">
            <w:col w:w="3740" w:space="720"/>
            <w:col w:w="5759"/>
          </w:cols>
          <w:pgMar w:left="240" w:top="676" w:right="1440" w:bottom="1440" w:gutter="0" w:footer="0" w:header="0"/>
          <w:type w:val="continuous"/>
        </w:sectPr>
      </w:pPr>
    </w:p>
    <w:bookmarkStart w:id="17" w:name="page18"/>
    <w:bookmarkEnd w:id="17"/>
    <w:p>
      <w:pPr>
        <w:jc w:val="center"/>
        <w:ind w:right="2459"/>
        <w:spacing w:after="0"/>
        <w:rPr>
          <w:sz w:val="20"/>
          <w:szCs w:val="20"/>
          <w:color w:val="auto"/>
        </w:rPr>
      </w:pPr>
      <w:r>
        <w:rPr>
          <w:rFonts w:ascii="Courier New" w:cs="Courier New" w:eastAsia="Courier New" w:hAnsi="Courier New"/>
          <w:sz w:val="16"/>
          <w:szCs w:val="16"/>
          <w:color w:val="auto"/>
        </w:rPr>
        <w:t>PROPOSAL TO ADOPT THE AMENDED 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Two)</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Board of Directors of Ocwen has approved, subject to shareholder approval, the Ocwen Financial Corporation Amended 1998 Annual Incentive Plan (the "Annual Incentive Plan") to amend Ocwen's former annual incentive plan. The Annual Incentive Plan is substantially similar to the prior plan and was amended to provide the Compensation Committee the option to award Common Stock in lieu of cash. The Annual Incentive Plan is being submitted for shareholder approval in order to qualify compensation under the Annual Incentive Plan as performance-based compensation for purposes of Section 162(m) of the Internal Revenue Code of 1986, as amended (the "Code").</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purpose of the Annual Incentive Plan is to advance the success of Ocwen and to thereby increase shareholder value by promoting the attainment of significant business objectives by Ocwen and its business units by basing a portion of the annual compensation of selected officers and key employees on the attainment of such objectives.</w:t>
      </w:r>
    </w:p>
    <w:p>
      <w:pPr>
        <w:spacing w:after="0" w:line="185" w:lineRule="exact"/>
        <w:rPr>
          <w:sz w:val="20"/>
          <w:szCs w:val="20"/>
          <w:color w:val="auto"/>
        </w:rPr>
      </w:pPr>
    </w:p>
    <w:p>
      <w:pPr>
        <w:ind w:left="1" w:right="2859" w:firstLine="484"/>
        <w:spacing w:after="0" w:line="247" w:lineRule="auto"/>
        <w:rPr>
          <w:sz w:val="20"/>
          <w:szCs w:val="20"/>
          <w:color w:val="auto"/>
        </w:rPr>
      </w:pPr>
      <w:r>
        <w:rPr>
          <w:rFonts w:ascii="Courier New" w:cs="Courier New" w:eastAsia="Courier New" w:hAnsi="Courier New"/>
          <w:sz w:val="16"/>
          <w:szCs w:val="16"/>
          <w:color w:val="auto"/>
        </w:rPr>
        <w:t>Summary of the Annual Incentive Plan. The following is a summary of the Annual Incentive Plan. The complete text of the Annual Incentive Plan is attached as Exhibit A to this Proxy Statement.</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Term. The effective date of the Annual Incentive Plan is May 15, 2003, subject to approval of the Annual Incentive Plan by the shareholders of Ocwen. The Annual Incentive Plan does not have a fixed expiration date.</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Administration. The Annual Incentive Plan will be administered by the Compensation Committee of Ocwen's Board of Directors or, in certain events, by the full Board of Directors (the "Annual Incentive Plan Committee"). The Annual Incentive Plan Committee has sole and complete authority to make awards under the Annual Incentive Plan, to determine the terms and conditions of such awards and to interpret and make all other determinations affecting the Annual Incentive Plan. The Annual Incentive Plan Committee may, with respect to participants in the Annual Incentive Plan (each an "AIP Participant") who are not subject to Section 16 of the Exchange Act and Section 162(m) of the Code, delegate such of its powers and authority under the Annual Incentive Plan to Ocwen's Chairman, President or Chief Executive Officer as it deems appropriate.</w:t>
      </w:r>
    </w:p>
    <w:p>
      <w:pPr>
        <w:spacing w:after="0" w:line="193"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Participation. Participation in the Annual Incentive Plan is limited to officers and other key employees of Ocwen and designated subsidiaries who are selected from time to time by the Annual Incentive Plan Committee. Participation in the Annual Incentive Plan does not preclude participation in any other employee benefit plans of Ocwen and does not create any rights to continued employment.</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Performance Targets and Section 162(m) of the Code. The Annual Incentive Plan Committee will designate performance targets under the Annual Incentive Plan for each year. The performance targets will be and, unless otherwise determined by the Committee, shall be any one of the following measures: (i) net earnings; (ii) return on equity; (iii) average equity used; or (iv) growth in assets. Section 162(m) of the Code provides in general that compensation in excess of $1.0 million per year paid to the chief executive officer and the four other most highly compensated officers of a public company is not deductible by the corporation; provided, that certain performance-based compensation may be excluded from this deductibility limitation if, among other things, (i) the compensation is paid solely on account of the attainment of one or more performance goals, (ii) the performance goals are established by a compensation committee consisting solely of two or more outside directors, (iii) the material terms under which the compensation is to be paid, including the performance goals, are disclosed to and approved by the shareholders prior to payment, and</w:t>
      </w:r>
    </w:p>
    <w:p>
      <w:pPr>
        <w:spacing w:after="0" w:line="8" w:lineRule="exact"/>
        <w:rPr>
          <w:sz w:val="20"/>
          <w:szCs w:val="20"/>
          <w:color w:val="auto"/>
        </w:rPr>
      </w:pPr>
    </w:p>
    <w:p>
      <w:pPr>
        <w:ind w:left="1" w:right="2459" w:hanging="1"/>
        <w:spacing w:after="0" w:line="247" w:lineRule="auto"/>
        <w:tabs>
          <w:tab w:leader="none" w:pos="4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payment, the compensation committee certifies that the performance goals were, in fact, satisfied. Approval of the Annual Incentive Plan by the shareholders of Ocwen will constitute approval of the Annual Incentive Plan, including approval of the performance objectives, for purposes of Section 162(m). It is the current intention of the Board of Directors that all otherwise tax deductible compensation payable under the Annual Incentive Plan be excludable from the limitation on deductibility imposed by Section 162(m).</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Maximum Annual Awards. The maximum bonus amount payable under the Annual Incentive Plan to any AIP Participant shall not exceed $2,000,000 for any year. This maximum bonus amount represents only the maximum bonus awards under the Annual Incentive Plan. Additional discretionary bonuses may be awarded by Ocwen outside of the Annual Incentive Plan. Any such discretionary amounts would be subject to the $1,000,000 deductibility limit under Section 162(m) of the Code.</w:t>
      </w:r>
    </w:p>
    <w:p>
      <w:pPr>
        <w:sectPr>
          <w:pgSz w:w="11900" w:h="16838" w:orient="portrait"/>
          <w:cols w:equalWidth="0" w:num="1">
            <w:col w:w="10220"/>
          </w:cols>
          <w:pgMar w:left="239" w:top="676" w:right="1440" w:bottom="1440" w:gutter="0" w:footer="0" w:header="0"/>
        </w:sectPr>
      </w:pPr>
    </w:p>
    <w:bookmarkStart w:id="18" w:name="page19"/>
    <w:bookmarkEnd w:id="18"/>
    <w:p>
      <w:pPr>
        <w:ind w:right="2559"/>
        <w:spacing w:after="0" w:line="247" w:lineRule="auto"/>
        <w:rPr>
          <w:sz w:val="20"/>
          <w:szCs w:val="20"/>
          <w:color w:val="auto"/>
        </w:rPr>
      </w:pPr>
      <w:r>
        <w:rPr>
          <w:rFonts w:ascii="Courier New" w:cs="Courier New" w:eastAsia="Courier New" w:hAnsi="Courier New"/>
          <w:sz w:val="16"/>
          <w:szCs w:val="16"/>
          <w:color w:val="auto"/>
        </w:rPr>
        <w:t>Ocwen currently expects that all or a substantial majority of such compensation will fall within the deductibility limits (assuming shareholder approval of the Annual Incentive Plan and, therefore, be fully deductible). It is possible, however, that a portion of the compensation paid to an executive officer of Ocwen may not be deductible under the Code.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Certification of Achievement of Performance Standards. The Annual Incentive Plan Committee shall, prior to any payment under the Annual Incentive Plan, certify in writing the extent, if any, of achievement of performance standards for each AIP Participant. For purposes of this provision, the approved minutes of the Annual Incentive Plan Committee meeting in which the certification is made may be treated as a written certification.</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Reduction or Termination of Payment. The Annual Incentive Plan Committee may, in its sole discretion, establish certain additional performance-based conditions that must be satisfied by Ocwen, a business unit of Ocwen or the AIP Participant as a condition precedent to the payment of all or a portion of any awards. Such conditions precedent may include, among other things, the receipt by an AIP Participant of a specified annual performance rating and the achievement of specified performance goals by Ocwen, the business unit or AIP Participant.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Payment of Awards. Awards under the Annual Incentive Plan shall be paid in cash, as soon as practicable after appropriate financial statements for the performance period are available. However, the Annual Incentive Plan Committee may, in it sole discretion, elect to pay all or a portion of the total award value in the form of non-qualified stock options to purchase Common Stock and/or in the form of Common Stock, in lieu of paying such amount in cash. The Annual Incentive Plan Committee may also require an AIP Participant to defer up to 80% of any award otherwise payable to the AIP Participant.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Amendment or Termination. The Board of Directors of Ocwen may modify, amend or terminate the Annual Incentive Plan at any time, except that no modification, amendment or termination may adversely affect the rights of an AIP Participant under an award previously made to him without his consent.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No Assignment. Except as expressly authorized by the Annual Incentive Plan Committee, the rights under the Annual Incentive Plan, including without limitation the rights to receive any payment, shall not be sold, assigned, transferred, encumbered or hypothecated by an AIP Participant (except by testamentary disposition or intestate succession), and during the lifetime of any AIP Participant any payment shall be payable only to such AIP Participant.</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Governing Law. The validity, construction and effect of the Annual Incentive Plan and any action taken or relating to the Annual Incentive Plan shall be determined in accordance with the laws of the State of Florida and applicable federal law.</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Federal Income Tax Consequences. Under present federal income tax regulations, AIP Participants will realize ordinary income equal to the amount of the award received in the year of receipt. Ocwen will receive a deduction for the amount constituting ordinary income to the AIP Participant, provided that the Annual Incentive Plan satisfies the requirements of Section 162(m) of the Code. It is Ocwen's intention that the Annual Incentive Plan be constructed and administered in a manner that ensures the deductibility of compensation for Ocwen under Section 162(m) of the Code. The foregoing brief summary of the effect of federal income taxation upon AIP Participants and Ocwen with respect to the Annual Incentive Plan does not purport to be complete and reference should be made to the applicable provisions of the Code. In addition, this summary does not discuss the provisions of income tax laws of any municipality, state or foreign country in which an AIP Participant may reside. Because executive officers of Ocwen are eligible to receive awards under the Annual Incentive Plan, each of them has a personal interest in the adoption of the Annual Incentive Plan.</w:t>
      </w:r>
    </w:p>
    <w:p>
      <w:pPr>
        <w:sectPr>
          <w:pgSz w:w="11900" w:h="16838" w:orient="portrait"/>
          <w:cols w:equalWidth="0" w:num="1">
            <w:col w:w="10219"/>
          </w:cols>
          <w:pgMar w:left="240" w:top="67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Plans Subject to Shareholder Action</w:t>
      </w:r>
    </w:p>
    <w:p>
      <w:pPr>
        <w:spacing w:after="0" w:line="191" w:lineRule="exact"/>
        <w:rPr>
          <w:sz w:val="20"/>
          <w:szCs w:val="20"/>
          <w:color w:val="auto"/>
        </w:rPr>
      </w:pPr>
    </w:p>
    <w:p>
      <w:pPr>
        <w:ind w:right="3280" w:firstLine="484"/>
        <w:spacing w:after="0" w:line="247" w:lineRule="auto"/>
        <w:rPr>
          <w:sz w:val="20"/>
          <w:szCs w:val="20"/>
          <w:color w:val="auto"/>
        </w:rPr>
      </w:pPr>
      <w:r>
        <w:rPr>
          <w:rFonts w:ascii="Courier New" w:cs="Courier New" w:eastAsia="Courier New" w:hAnsi="Courier New"/>
          <w:sz w:val="16"/>
          <w:szCs w:val="16"/>
          <w:color w:val="auto"/>
        </w:rPr>
        <w:t>The table below describes the benefits or amounts that will be received by or allocated to each of the following under the Annual Incentive Plan being acted upon.</w:t>
      </w:r>
    </w:p>
    <w:p>
      <w:pPr>
        <w:spacing w:after="0" w:line="200" w:lineRule="exact"/>
        <w:rPr>
          <w:sz w:val="20"/>
          <w:szCs w:val="20"/>
          <w:color w:val="auto"/>
        </w:rPr>
      </w:pPr>
    </w:p>
    <w:p>
      <w:pPr>
        <w:spacing w:after="0" w:line="35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NEW PLAN BENEFITS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180" w:firstLine="4457"/>
        <w:spacing w:after="0" w:line="246" w:lineRule="auto"/>
        <w:rPr>
          <w:sz w:val="20"/>
          <w:szCs w:val="20"/>
          <w:color w:val="auto"/>
        </w:rPr>
      </w:pPr>
      <w:r>
        <w:rPr>
          <w:rFonts w:ascii="Courier New" w:cs="Courier New" w:eastAsia="Courier New" w:hAnsi="Courier New"/>
          <w:sz w:val="16"/>
          <w:szCs w:val="16"/>
          <w:color w:val="auto"/>
        </w:rPr>
        <w:t>Total Dollar Option Restricted Stock Name and Position Value ($) Cash Award($) Award (#) Award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677,500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84,688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101,498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635,625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79,453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95,225</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371,250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55,618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297,909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148,955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37,239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44,631</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93,090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11,636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13,946</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Executive Group (5 Officers)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2,075,374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1,037,688</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259,422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310,918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Director Group (5 Directors)</w:t>
            </w:r>
          </w:p>
        </w:tc>
        <w:tc>
          <w:tcPr>
            <w:tcW w:w="3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Officer Employee Group</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7,806,978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6,307,752</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374,806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449,205</w:t>
            </w:r>
          </w:p>
        </w:tc>
      </w:tr>
    </w:tbl>
    <w:p>
      <w:pPr>
        <w:spacing w:after="0" w:line="377" w:lineRule="exact"/>
        <w:rPr>
          <w:sz w:val="20"/>
          <w:szCs w:val="20"/>
          <w:color w:val="auto"/>
        </w:rPr>
      </w:pPr>
    </w:p>
    <w:p>
      <w:pPr>
        <w:ind w:right="3480" w:firstLine="484"/>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Annual Incentive Plan.</w:t>
      </w:r>
    </w:p>
    <w:p>
      <w:pPr>
        <w:sectPr>
          <w:pgSz w:w="11900" w:h="16838" w:orient="portrait"/>
          <w:cols w:equalWidth="0" w:num="1">
            <w:col w:w="10940"/>
          </w:cols>
          <w:pgMar w:left="240" w:top="676" w:right="719" w:bottom="1440" w:gutter="0" w:footer="0" w:header="0"/>
        </w:sectPr>
      </w:pPr>
    </w:p>
    <w:bookmarkStart w:id="20" w:name="page21"/>
    <w:bookmarkEnd w:id="20"/>
    <w:p>
      <w:pPr>
        <w:jc w:val="center"/>
        <w:ind w:right="2459"/>
        <w:spacing w:after="0"/>
        <w:rPr>
          <w:sz w:val="20"/>
          <w:szCs w:val="20"/>
          <w:color w:val="auto"/>
        </w:rPr>
      </w:pPr>
      <w:r>
        <w:rPr>
          <w:rFonts w:ascii="Courier New" w:cs="Courier New" w:eastAsia="Courier New" w:hAnsi="Courier New"/>
          <w:sz w:val="16"/>
          <w:szCs w:val="16"/>
          <w:color w:val="auto"/>
        </w:rPr>
        <w:t>RATIFICATION OF APPOINTMENT OF INDEPENDENT AUDITOR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Three)</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Audit Committee of the Board of Directors of Ocwen has appointed PricewaterhouseCoopers LLP, independent certified public accountants, to be Ocwen's independent auditor for the year ending December 31, 2003, and has further directed that the selection of the auditor be submitted for ratification by the shareholders at the annual meeting.</w:t>
      </w:r>
    </w:p>
    <w:p>
      <w:pPr>
        <w:spacing w:after="0" w:line="185" w:lineRule="exact"/>
        <w:rPr>
          <w:sz w:val="20"/>
          <w:szCs w:val="20"/>
          <w:color w:val="auto"/>
        </w:rPr>
      </w:pPr>
    </w:p>
    <w:p>
      <w:pPr>
        <w:jc w:val="both"/>
        <w:ind w:left="1" w:right="2559" w:firstLine="388"/>
        <w:spacing w:after="0" w:line="247" w:lineRule="auto"/>
        <w:rPr>
          <w:sz w:val="20"/>
          <w:szCs w:val="20"/>
          <w:color w:val="auto"/>
        </w:rPr>
      </w:pPr>
      <w:r>
        <w:rPr>
          <w:rFonts w:ascii="Courier New" w:cs="Courier New" w:eastAsia="Courier New" w:hAnsi="Courier New"/>
          <w:sz w:val="16"/>
          <w:szCs w:val="16"/>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86"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the appointment of PricewaterhouseCoopers LLP as the independent auditor for 2003.</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Audit Committee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Audit Committee of the Board of Directors has:</w:t>
      </w:r>
    </w:p>
    <w:p>
      <w:pPr>
        <w:spacing w:after="0" w:line="191" w:lineRule="exact"/>
        <w:rPr>
          <w:sz w:val="20"/>
          <w:szCs w:val="20"/>
          <w:color w:val="auto"/>
        </w:rPr>
      </w:pPr>
    </w:p>
    <w:p>
      <w:pPr>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management Ocwen's audited financial statements as of and for the year ended December 31, 2002;</w:t>
      </w:r>
    </w:p>
    <w:p>
      <w:pPr>
        <w:spacing w:after="0" w:line="1"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PricewaterhouseCoopers LLP, Ocwen's independent auditor, the matters required to be discussed by Statement on Auditing Standards No. 61, "Communication with Audit Committees"; and</w:t>
      </w:r>
    </w:p>
    <w:p>
      <w:pPr>
        <w:spacing w:after="0" w:line="1"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reliance on the review and discussion referred to above, the Committee recommends to the Board of Directors that the audited financial statements be included in Ocwen's Annual Report on Form 10-K for the year ended December 31, 2002.</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PricewaterhouseCoopers LLP Fees</w:t>
      </w:r>
    </w:p>
    <w:p>
      <w:pPr>
        <w:spacing w:after="0" w:line="191"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According to the statements made by PricewaterhouseCoopers LLP, their aggregate fees billed to Ocwen during 2002 are as follows:</w:t>
      </w:r>
    </w:p>
    <w:p>
      <w:pPr>
        <w:spacing w:after="0" w:line="184"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 and review of the Company's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970,170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Financial Information Systems design and implementation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Audit-related, Tax and other services (1)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842,818</w:t>
            </w:r>
          </w:p>
        </w:tc>
      </w:tr>
      <w:tr>
        <w:trPr>
          <w:trHeight w:val="186"/>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Fees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1,812,988</w:t>
            </w:r>
          </w:p>
        </w:tc>
      </w:tr>
    </w:tbl>
    <w:p>
      <w:pPr>
        <w:spacing w:after="0" w:line="190" w:lineRule="exact"/>
        <w:rPr>
          <w:sz w:val="20"/>
          <w:szCs w:val="20"/>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statutory audits of subsidiaries, employee benefit plan audits and other reports under generally accepted auditing standards. In considering the independence of PricewaterhouseCoopers LLP, the Audit Committee of the Board of Directors took into consideration the amount and nature of these fees.</w:t>
      </w:r>
    </w:p>
    <w:p>
      <w:pPr>
        <w:spacing w:after="0" w:line="18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Audit Committee:</w:t>
      </w:r>
    </w:p>
    <w:p>
      <w:pPr>
        <w:spacing w:after="0" w:line="191"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William H. Lacy, Chairman</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 C. Martin, Director</w:t>
      </w:r>
    </w:p>
    <w:p>
      <w:pPr>
        <w:sectPr>
          <w:pgSz w:w="11900" w:h="16838" w:orient="portrait"/>
          <w:cols w:equalWidth="0" w:num="1">
            <w:col w:w="10220"/>
          </w:cols>
          <w:pgMar w:left="239" w:top="676" w:right="1440" w:bottom="1440" w:gutter="0" w:footer="0" w:header="0"/>
        </w:sectPr>
      </w:pPr>
    </w:p>
    <w:bookmarkStart w:id="21" w:name="page22"/>
    <w:bookmarkEnd w:id="21"/>
    <w:p>
      <w:pPr>
        <w:ind w:left="2900"/>
        <w:spacing w:after="0"/>
        <w:rPr>
          <w:sz w:val="20"/>
          <w:szCs w:val="20"/>
          <w:color w:val="auto"/>
        </w:rPr>
      </w:pPr>
      <w:r>
        <w:rPr>
          <w:rFonts w:ascii="Courier New" w:cs="Courier New" w:eastAsia="Courier New" w:hAnsi="Courier New"/>
          <w:sz w:val="16"/>
          <w:szCs w:val="16"/>
          <w:color w:val="auto"/>
        </w:rPr>
        <w:t>SHAREHOLDER PROPOSALS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At the annual meeting, Ocwen may exercise discretionary authority when voting on a shareholder proposal that is not included as an agenda item in this Proxy Statement if the proposal was received by Ocwen after February 12, 2003 and the proposal is properly presented at the annual meeting. Ocwen did not receive notice of any shareholder proposal or nomination relating to the annual meeting.</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Any proposal which a shareholder desires to have included in the proxy materials of Ocwen relating to the next annual meeting of shareholders, which is scheduled to be held in May 2004 (the "2004 Annual Meeting"), must be received at the executive offices of Ocwen no later than December 1, 2003. All proposals and nominations should be directed to John R. Erbey, Secretary, 1675 Palm Beach Lakes Boulevard, West Palm Beach, Florida 33401. It is urged that any shareholder proposal or nomination be sent certified mail, return-receipt requested. If notice of a shareholder proposal relating to the 2004 Annual Meeting is received by Ocwen after February 11, 2004 and the proposal is properly presented at the 2004 Annual Meeting, Ocwen will be able to exercise discretionary authority when voting on the proposal. If notice of a shareholder proposal is received on or prior to February 11, 2004, the proposal is not included as an agenda item in the proxy statement and proxy card furnished to shareholders in connection with the 2004 Annual Meeting (the "2004 Proxy Statement"), and the proposal is properly presented at the 2004 Annual Meeting, the Company may exercise discretionary authority when voting on the proposal if in the 2004 Proxy Statement the Company advises shareholders on the nature of the proposal and how the Company intends to vote on the proposal, unless the shareholder satisfies certain requirements of the SEC, including mailing a separate proxy statement to Ocwen's shareholders.</w:t>
      </w:r>
    </w:p>
    <w:p>
      <w:pPr>
        <w:spacing w:after="0" w:line="19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REPORTS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 copy of Ocwen's Annual Report to Shareholders for the year ended December 31, 2002 was mailed to shareholders entitled to notice of the annual meeting commencing on or about March 28, 2003. Such report is not part of the proxy solicitation materials.</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2002 required to be filed by Ocwen with the SEC under the Exchange Act. Such requests should be directed to Investor Relations, Ocwen Financial Corporation, 1675 Palm Beach Lakes Boulevard, West Palm Beach, Florida 33401, telephone number (561) 682-8400. Such report is not part of the proxy solicitation materials.</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8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ectPr>
          <w:pgSz w:w="11900" w:h="16838" w:orient="portrait"/>
          <w:cols w:equalWidth="0" w:num="1">
            <w:col w:w="10219"/>
          </w:cols>
          <w:pgMar w:left="240" w:top="676" w:right="1440" w:bottom="1440" w:gutter="0" w:footer="0" w:header="0"/>
        </w:sectPr>
      </w:pPr>
    </w:p>
    <w:bookmarkStart w:id="22" w:name="page23"/>
    <w:bookmarkEnd w:id="22"/>
    <w:p>
      <w:pPr>
        <w:ind w:left="1"/>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As Amended Through</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May 15, 2003</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 - GENERAL PROVISIONS</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Purpose</w:t>
      </w:r>
    </w:p>
    <w:p>
      <w:pPr>
        <w:spacing w:after="0" w:line="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purpose of the Ocwen Financial Corporation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objectively determinable performance goals, and (iii) assist in the attraction and retention of employees vital to the Company's long-term success.</w:t>
      </w:r>
    </w:p>
    <w:p>
      <w:pPr>
        <w:spacing w:after="0" w:line="192"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Definitions</w:t>
      </w:r>
    </w:p>
    <w:p>
      <w:pPr>
        <w:spacing w:after="0" w:line="5" w:lineRule="exact"/>
        <w:rPr>
          <w:sz w:val="20"/>
          <w:szCs w:val="20"/>
          <w:color w:val="auto"/>
        </w:rPr>
      </w:pPr>
    </w:p>
    <w:p>
      <w:pPr>
        <w:ind w:left="881" w:right="3239"/>
        <w:spacing w:after="0" w:line="246" w:lineRule="auto"/>
        <w:rPr>
          <w:sz w:val="20"/>
          <w:szCs w:val="20"/>
          <w:color w:val="auto"/>
        </w:rPr>
      </w:pPr>
      <w:r>
        <w:rPr>
          <w:rFonts w:ascii="Courier New" w:cs="Courier New" w:eastAsia="Courier New" w:hAnsi="Courier New"/>
          <w:sz w:val="16"/>
          <w:szCs w:val="16"/>
          <w:color w:val="auto"/>
        </w:rPr>
        <w:t>For the purpose of the Plan, the following terms shall have the meanings indicated:</w:t>
      </w:r>
    </w:p>
    <w:p>
      <w:pPr>
        <w:spacing w:after="0" w:line="1" w:lineRule="exact"/>
        <w:rPr>
          <w:sz w:val="20"/>
          <w:szCs w:val="20"/>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2" w:lineRule="exact"/>
        <w:rPr>
          <w:rFonts w:ascii="Courier New" w:cs="Courier New" w:eastAsia="Courier New" w:hAnsi="Courier New"/>
          <w:sz w:val="16"/>
          <w:szCs w:val="16"/>
          <w:color w:val="auto"/>
        </w:rPr>
      </w:pPr>
    </w:p>
    <w:p>
      <w:pPr>
        <w:ind w:left="881" w:right="26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 including any successor law thereto.</w:t>
      </w:r>
    </w:p>
    <w:p>
      <w:pPr>
        <w:spacing w:after="0" w:line="1"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4"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4"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Company's Common Stock, par value $.01 per share.</w:t>
      </w:r>
    </w:p>
    <w:p>
      <w:pPr>
        <w:spacing w:after="0" w:line="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5"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person who has satisfied the eligibility requirements set forth in Section 1.4 and to whom an award has been made under the Plan.</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Measures" means the criteria upon which awards will be based and, unless otherwise determined by the Committee, shall be any one of the following measures: (i) net earnings; (ii) return on equity;</w:t>
      </w:r>
    </w:p>
    <w:p>
      <w:pPr>
        <w:spacing w:after="0" w:line="1" w:lineRule="exact"/>
        <w:rPr>
          <w:rFonts w:ascii="Courier New" w:cs="Courier New" w:eastAsia="Courier New" w:hAnsi="Courier New"/>
          <w:sz w:val="16"/>
          <w:szCs w:val="16"/>
          <w:color w:val="auto"/>
        </w:rPr>
      </w:pPr>
    </w:p>
    <w:p>
      <w:pPr>
        <w:ind w:left="1461" w:hanging="589"/>
        <w:spacing w:after="0"/>
        <w:tabs>
          <w:tab w:leader="none" w:pos="146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equity used; or (iv) growth in assets.</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spacing w:after="0" w:line="2"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Threshold" means, in relation to any Performance Period, the minimum level of performance that must be achieved with respect to the Performance Measure in order for an award to become payable pursuant to Section 2.5 hereof.</w:t>
      </w:r>
    </w:p>
    <w:p>
      <w:pPr>
        <w:spacing w:after="0" w:line="2" w:lineRule="exact"/>
        <w:rPr>
          <w:rFonts w:ascii="Courier New" w:cs="Courier New" w:eastAsia="Courier New" w:hAnsi="Courier New"/>
          <w:sz w:val="16"/>
          <w:szCs w:val="16"/>
          <w:color w:val="auto"/>
        </w:rPr>
      </w:pPr>
    </w:p>
    <w:p>
      <w:pPr>
        <w:ind w:left="881" w:right="2659" w:hanging="881"/>
        <w:spacing w:after="0" w:line="247"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Award" means that percentage of a Participant's annual base salary for the Performance Period which the Plan Administrator set as the maximum amount to be awarded under the Plan for such Performance Period.</w:t>
      </w:r>
    </w:p>
    <w:p>
      <w:pPr>
        <w:sectPr>
          <w:pgSz w:w="11900" w:h="16838" w:orient="portrait"/>
          <w:cols w:equalWidth="0" w:num="1">
            <w:col w:w="10220"/>
          </w:cols>
          <w:pgMar w:left="239" w:top="676" w:right="1440" w:bottom="1440" w:gutter="0" w:footer="0" w:header="0"/>
        </w:sectPr>
      </w:pPr>
    </w:p>
    <w:bookmarkStart w:id="23" w:name="page24"/>
    <w:bookmarkEnd w:id="23"/>
    <w:p>
      <w:pPr>
        <w:spacing w:after="0"/>
        <w:tabs>
          <w:tab w:leader="none" w:pos="8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Administration</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has been achieved. A majority of the Committee shall constitute a quorum, and the acts of a majority of the members present at any meeting at which a quorum is present, or acts approved in writing by a majority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President and Chief Executive Officer as it deems appropriate. In the event of such delegation, all references to the Committee in this Plan shall be deemed references to the President and Chief Executive Officer as it relates to those aspects of the Plan that have been delegated.</w:t>
      </w:r>
    </w:p>
    <w:p>
      <w:pPr>
        <w:spacing w:after="0" w:line="1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Eligibility and Participation</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Participation in the Plan shall be limited to officers, who may also be members of the Board, and other employees of the Company who are determined by the Committee to be eligible for participation in the Plan.</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II - AWARD TERMS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Granting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discretion, from time to time make awards to persons eligible for participation in the Plan pursuant to which the Participant will earn compensation in the event that the Company achieve the Performance Thresholds established by the Committee.</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Establishment of Performance Thresholds</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Each award shall be conditioned upon the Company's achievement of one or more Performance Thresholds with respect to the Performance Measure(s) established by the Committee prior to the beginning of the applicable Performance Period. The Committee, in its discretion, may establish Performance Thresholds for the Company as a whole or for only the business unit of the Company in which a given Participant is involved, or a combination thereof. In addition to establishing a minimum performance level below which no compensation shall be payable pursuant to an award, the Committee, in its discretion, may create a performance schedule under which an amount less than the Target Award may be paid so long as the Performance Threshold has been exceeded. The Committee may adjust the Performance Thresholds and measurements to reflect significant unforeseen events; provided, however, that the Committee may not make any such adjustment with respect to any award to an individual who is then a "covered employee" as such term is defined in Regulation 1.162-27(c)(2) promulgated under Section 162(m) of the Code, or any successor provision ("Section 162(m)"), if such adjustment would cause compensation pursuant to such award to cease to be performance-based compensation under Section 162(m).</w:t>
      </w:r>
    </w:p>
    <w:p>
      <w:pPr>
        <w:spacing w:after="0" w:line="19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Other Award Terms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sole discretion, establish certain additional performance based conditions that must be satisfied by the Company, a business unit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business unit or Participant.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Certification of Achievement of Performance Thresholds</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ectPr>
          <w:pgSz w:w="11900" w:h="16838" w:orient="portrait"/>
          <w:cols w:equalWidth="0" w:num="1">
            <w:col w:w="10219"/>
          </w:cols>
          <w:pgMar w:left="240" w:top="676" w:right="1440" w:bottom="1440" w:gutter="0" w:footer="0" w:header="0"/>
        </w:sectPr>
      </w:pPr>
    </w:p>
    <w:bookmarkStart w:id="24" w:name="page25"/>
    <w:bookmarkEnd w:id="24"/>
    <w:p>
      <w:pPr>
        <w:spacing w:after="0"/>
        <w:tabs>
          <w:tab w:leader="none" w:pos="86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Distribution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Awards under the Plan shall be paid in cash as soon as practicable after audited financial statements for the Performance Period have been prepared and the Committee has certified that the Performance Threshold has been achieved.</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Notwithstanding the foregoing, the Committee may, in it sole discretion, elect to pay all or a portion of the total award value in the form of non-qualified stock options to purchase Common Stock, in lieu of paying such amount in cash. Any options granted as payment of an award shall be granted pursuant to the Company's 1991 Non-Qualified Stock Option Plan or any successor thereto.</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Committee may also, in it sole discretion, elect to pay all or a portion of the total award value in the form of shares of Common Stock acquired by the Company in market transactions ("Treasury Stock"), in lieu of paying award in cash. Any Treasury Stock granted as payment of an award shall be granted on such terms, including deferred vesting, as the Committee may determine.</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Termination of Employment.</w:t>
      </w:r>
    </w:p>
    <w:p>
      <w:pPr>
        <w:spacing w:after="0" w:line="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 Participant must be actively employed by the Company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Maximum Amount Available for Awards.</w:t>
      </w:r>
    </w:p>
    <w:p>
      <w:pPr>
        <w:spacing w:after="0" w:line="5"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The aggregate maximum amount payable to any one Participant for any Performance Period shall be $2 million.</w:t>
      </w:r>
    </w:p>
    <w:p>
      <w:pPr>
        <w:spacing w:after="0" w:line="18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III - OTHER PROVISIONS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Withholding Taxes.</w:t>
      </w:r>
    </w:p>
    <w:p>
      <w:pPr>
        <w:spacing w:after="0" w:line="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Whenever payments under the Plan are to be made, the Company will withhold therefrom an amount sufficient to satisfy any applicable governmental withholding tax requirements related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3.2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Adjustment</w:t>
            </w:r>
          </w:p>
        </w:tc>
        <w:tc>
          <w:tcPr>
            <w:tcW w:w="3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Number of Shares</w:t>
            </w:r>
          </w:p>
        </w:tc>
        <w:tc>
          <w:tcPr>
            <w:tcW w:w="2380" w:type="dxa"/>
            <w:vAlign w:val="bottom"/>
          </w:tcPr>
          <w:p>
            <w:pPr>
              <w:spacing w:after="0"/>
              <w:rPr>
                <w:sz w:val="15"/>
                <w:szCs w:val="15"/>
                <w:color w:val="auto"/>
              </w:rPr>
            </w:pPr>
          </w:p>
        </w:tc>
      </w:tr>
      <w:tr>
        <w:trPr>
          <w:trHeight w:val="186"/>
        </w:trPr>
        <w:tc>
          <w:tcPr>
            <w:tcW w:w="5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Awards may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be adjusted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by the Committee in the</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manner and to the extent</w:t>
            </w:r>
          </w:p>
        </w:tc>
      </w:tr>
      <w:tr>
        <w:trPr>
          <w:trHeight w:val="186"/>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it determines to be</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appropriate</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in the event of changes</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in the outstanding</w:t>
            </w:r>
          </w:p>
        </w:tc>
      </w:tr>
    </w:tbl>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No Right to Employment</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Nontransferability</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 Participant's rights under the Plan, including the right to any</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shares or amounts</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payable may not be assigned, pledged, or otherwise transferred</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without the written consent of the Committee except, in the event of a</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Participant's death, to the Participant's designated beneficiary or, in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absence of such a</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designation, by will or by the laws of descent and</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6060" w:type="dxa"/>
            <w:vAlign w:val="bottom"/>
          </w:tcPr>
          <w:p>
            <w:pPr>
              <w:spacing w:after="0"/>
              <w:rPr>
                <w:sz w:val="16"/>
                <w:szCs w:val="16"/>
                <w:color w:val="auto"/>
              </w:rPr>
            </w:pPr>
          </w:p>
        </w:tc>
      </w:tr>
      <w:tr>
        <w:trPr>
          <w:trHeight w:val="373"/>
        </w:trPr>
        <w:tc>
          <w:tcPr>
            <w:tcW w:w="58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Deferral</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Payment</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At the discretion of the Committee, a Participant may be required to</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defer the receipt</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up to 80% of any award otherwise payable to such</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Participant. Such</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deferral shall be accomplished by the execution of a written</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deferral agreement approved by the Committee by the Participant prior to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expiration of the</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Performance Period.</w:t>
            </w:r>
          </w:p>
        </w:tc>
      </w:tr>
    </w:tbl>
    <w:p>
      <w:pPr>
        <w:sectPr>
          <w:pgSz w:w="11900" w:h="16838" w:orient="portrait"/>
          <w:cols w:equalWidth="0" w:num="1">
            <w:col w:w="10219"/>
          </w:cols>
          <w:pgMar w:left="240" w:top="676" w:right="1440" w:bottom="1440" w:gutter="0" w:footer="0" w:header="0"/>
        </w:sectPr>
      </w:pPr>
    </w:p>
    <w:bookmarkStart w:id="25" w:name="page26"/>
    <w:bookmarkEnd w:id="25"/>
    <w:p>
      <w:pPr>
        <w:spacing w:after="0"/>
        <w:tabs>
          <w:tab w:leader="none" w:pos="8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Unfunded Plan</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Foreign Jurisdictions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Other Compensation Plans</w:t>
      </w:r>
    </w:p>
    <w:p>
      <w:pPr>
        <w:spacing w:after="0" w:line="5" w:lineRule="exact"/>
        <w:rPr>
          <w:sz w:val="20"/>
          <w:szCs w:val="20"/>
          <w:color w:val="auto"/>
        </w:rPr>
      </w:pPr>
    </w:p>
    <w:p>
      <w:pPr>
        <w:jc w:val="both"/>
        <w:ind w:right="2559" w:firstLine="872"/>
        <w:spacing w:after="0" w:line="248" w:lineRule="auto"/>
        <w:rPr>
          <w:sz w:val="20"/>
          <w:szCs w:val="20"/>
          <w:color w:val="auto"/>
        </w:rPr>
      </w:pPr>
      <w:r>
        <w:rPr>
          <w:rFonts w:ascii="Courier New" w:cs="Courier New" w:eastAsia="Courier New" w:hAnsi="Courier New"/>
          <w:sz w:val="16"/>
          <w:szCs w:val="16"/>
          <w:color w:val="auto"/>
        </w:rPr>
        <w:t>Nothing contained in this Plan shall prevent the Company from adopting other or additional compensation arrangements for employees of the Company.</w:t>
      </w:r>
    </w:p>
    <w:p>
      <w:pPr>
        <w:spacing w:after="0" w:line="18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IV - AMENDMENT AND TERMINATION</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V - EFFECTIVE DATE</w:t>
      </w:r>
    </w:p>
    <w:p>
      <w:pPr>
        <w:spacing w:after="0" w:line="191" w:lineRule="exact"/>
        <w:rPr>
          <w:sz w:val="20"/>
          <w:szCs w:val="20"/>
          <w:color w:val="auto"/>
        </w:rPr>
      </w:pPr>
    </w:p>
    <w:p>
      <w:pPr>
        <w:ind w:right="3039" w:firstLine="872"/>
        <w:spacing w:after="0" w:line="247" w:lineRule="auto"/>
        <w:rPr>
          <w:sz w:val="20"/>
          <w:szCs w:val="20"/>
          <w:color w:val="auto"/>
        </w:rPr>
      </w:pPr>
      <w:r>
        <w:rPr>
          <w:rFonts w:ascii="Courier New" w:cs="Courier New" w:eastAsia="Courier New" w:hAnsi="Courier New"/>
          <w:sz w:val="16"/>
          <w:szCs w:val="16"/>
          <w:color w:val="auto"/>
        </w:rPr>
        <w:t>The Plan shall become effective immediately upon the approval and adoption thereof by the Board, but is subject to the further approval and adoption by the shareholders of the Company.</w:t>
      </w:r>
    </w:p>
    <w:p>
      <w:pPr>
        <w:sectPr>
          <w:pgSz w:w="11900" w:h="16838" w:orient="portrait"/>
          <w:cols w:equalWidth="0" w:num="1">
            <w:col w:w="10219"/>
          </w:cols>
          <w:pgMar w:left="240" w:top="676" w:right="1440" w:bottom="1440"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EXHIBIT B</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AUDIT COMMITTEE CHARTER</w:t>
      </w:r>
    </w:p>
    <w:p>
      <w:pPr>
        <w:spacing w:after="0" w:line="5"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NOVEMBER 7, 2002</w:t>
      </w:r>
    </w:p>
    <w:p>
      <w:pPr>
        <w:spacing w:after="0" w:line="200" w:lineRule="exact"/>
        <w:rPr>
          <w:sz w:val="20"/>
          <w:szCs w:val="20"/>
          <w:color w:val="auto"/>
        </w:rPr>
      </w:pPr>
    </w:p>
    <w:p>
      <w:pPr>
        <w:spacing w:after="0" w:line="364" w:lineRule="exact"/>
        <w:rPr>
          <w:sz w:val="20"/>
          <w:szCs w:val="20"/>
          <w:color w:val="auto"/>
        </w:rPr>
      </w:pPr>
    </w:p>
    <w:p>
      <w:pPr>
        <w:ind w:left="581" w:hanging="581"/>
        <w:spacing w:after="0"/>
        <w:tabs>
          <w:tab w:leader="none" w:pos="5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Committee's purpose is to provide assistance to the Board in fulfilling its legal and fiduciary obligations with respect to matters involving the accounting, auditing, financial reporting, internal control and legal compliance functions of the Corporation and its subsidiaries. This includes, without limitation, (a) assisting the Board's oversight of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and (b) preparing the report required to be prepared by the Committee pursuant to the rules of the Securities and Exchange Commission (the "SEC") for inclusion in the Corporation's annual proxy statement.</w:t>
      </w:r>
    </w:p>
    <w:p>
      <w:pPr>
        <w:spacing w:after="0" w:line="193" w:lineRule="exact"/>
        <w:rPr>
          <w:sz w:val="20"/>
          <w:szCs w:val="20"/>
          <w:color w:val="auto"/>
        </w:rPr>
      </w:pPr>
    </w:p>
    <w:p>
      <w:pPr>
        <w:ind w:left="581" w:hanging="581"/>
        <w:spacing w:after="0"/>
        <w:tabs>
          <w:tab w:leader="none" w:pos="5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be comprised of three or more directors as determined from time to time by resolution of the Board. Each member of the Committee shall be qualified to serve on the Committee pursuant to the requirements of the New York Stock Exchange (the "NYSE") and the Sarbanes - Oxley Act of 2002 (the "Act") and the rules and regulations promulgated by the SEC pursuant to the Act. Director's fees (including any additional amounts paid to chairs of committees and to members of committees of the Board) are the only compensation a member of the Committee may receive from the Corporation.</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No director may serve as a member of the Committee if such director serves on the audit committee of more than two other public companies, unless the Board determines that such simultaneous service would not impair the ability of such director to effectively serve on the Committee. Any such determination must be disclosed in the Corporation's annual proxy statement.</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chairperson of the Committee shall be designated by the Board, provided that if the Board does not so designate a chairperson, the members of the Committee, by a majority vote, may designate a chairperson. Each member of the Committee must be "financially literate", as such qualification is interpreted by the Board in its business judgment, or must become financially literate within a reasonable period of time after his or her appointment to the Committee. In addition, at least one member of the Committee must have "accounting or related financial management expertise", as the Board interprets such qualification in its business judgement. Further, either (i) at least one member of the Committee must be a "financial expert", as such term is defined in the rules and regulations promulgated by the SEC pursuant to the Act, or (ii) if no member of the Committee is a "financial expert", the Committee shall so inform the Corporation.</w:t>
      </w:r>
    </w:p>
    <w:p>
      <w:pPr>
        <w:spacing w:after="0" w:line="194"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Any vacancy on the Committee shall be filled by majority vote of the Board at the next meeting of the Board following the occurrence of the vacancy. No member of the Committee may be removed except by majority vote of the Board.</w:t>
      </w:r>
    </w:p>
    <w:p>
      <w:pPr>
        <w:spacing w:after="0" w:line="372" w:lineRule="exact"/>
        <w:rPr>
          <w:sz w:val="20"/>
          <w:szCs w:val="20"/>
          <w:color w:val="auto"/>
        </w:rPr>
      </w:pPr>
    </w:p>
    <w:p>
      <w:pPr>
        <w:ind w:left="581" w:hanging="581"/>
        <w:spacing w:after="0"/>
        <w:tabs>
          <w:tab w:leader="none" w:pos="5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meet once every fiscal quarter or more frequently as it shall determine is necessary to carry out its duties and responsibilities. The Committee, in its discretion, may ask members of management or others to attend its meetings (or portions thereof) and to provide pertinent information as necessary. The Committee should meet separately on a periodic basis with (i) management, (ii) the director of the Corporation's internal auditing department or other person responsible for the internal audit function and (iii) the Corporation's independent auditors, in each case to discuss any matters that the Committee or any of the above persons or firms believe should be discussed privately.</w:t>
      </w:r>
    </w:p>
    <w:p>
      <w:pPr>
        <w:sectPr>
          <w:pgSz w:w="11900" w:h="16838" w:orient="portrait"/>
          <w:cols w:equalWidth="0" w:num="1">
            <w:col w:w="10220"/>
          </w:cols>
          <w:pgMar w:left="239" w:top="676" w:right="1440" w:bottom="1440" w:gutter="0" w:footer="0" w:header="0"/>
        </w:sectPr>
      </w:pPr>
    </w:p>
    <w:bookmarkStart w:id="27" w:name="page28"/>
    <w:bookmarkEnd w:id="27"/>
    <w:p>
      <w:pPr>
        <w:ind w:right="2759"/>
        <w:spacing w:after="0" w:line="247" w:lineRule="auto"/>
        <w:rPr>
          <w:sz w:val="20"/>
          <w:szCs w:val="20"/>
          <w:color w:val="auto"/>
        </w:rPr>
      </w:pPr>
      <w:r>
        <w:rPr>
          <w:rFonts w:ascii="Courier New" w:cs="Courier New" w:eastAsia="Courier New" w:hAnsi="Courier New"/>
          <w:sz w:val="16"/>
          <w:szCs w:val="16"/>
          <w:color w:val="auto"/>
        </w:rPr>
        <w:t>A majority of the members of the Committee present in person or by means of a conference telephone or other communications equipment by means of which all persons participating in the meeting can hear each other shall constitute a quorum.</w:t>
      </w:r>
    </w:p>
    <w:p>
      <w:pPr>
        <w:spacing w:after="0" w:line="186"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The Committee shall maintain minutes of its meetings and records relating to those meetings and provide copies of such minutes to the Board.</w:t>
      </w:r>
    </w:p>
    <w:p>
      <w:pPr>
        <w:spacing w:after="0" w:line="18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IV.</w:t>
        <w:tab/>
        <w:t>DUTIES AND RESPONSIBILITIES OF THE COMMITTEE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carrying out its duties and responsibilities, the Committee's policies and procedures should remain flexible, so that it may be in a position to best react or respond to changing circumstances or conditions. The following are within the authority of the Committee:</w:t>
      </w:r>
    </w:p>
    <w:p>
      <w:pPr>
        <w:spacing w:after="0" w:line="186" w:lineRule="exact"/>
        <w:rPr>
          <w:sz w:val="20"/>
          <w:szCs w:val="20"/>
          <w:color w:val="auto"/>
        </w:rPr>
      </w:pPr>
    </w:p>
    <w:p>
      <w:pPr>
        <w:ind w:right="24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in its sole discretion (subject to shareholder ratification), the firm of independent auditors to audit the books and accounts of the Corporation and its subsidiaries for each fiscal year, instruct the Corporation's independent auditors that they are ultimately accountable to the Committee and approve the independent auditors' annual engagement letter as well as all audit and, as provided in the Act, all permitted non-audit engagements and relationships between the Corporation and such auditors;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185" w:lineRule="exact"/>
        <w:rPr>
          <w:rFonts w:ascii="Courier New" w:cs="Courier New" w:eastAsia="Courier New" w:hAnsi="Courier New"/>
          <w:sz w:val="16"/>
          <w:szCs w:val="16"/>
          <w:color w:val="auto"/>
        </w:rPr>
      </w:pPr>
    </w:p>
    <w:p>
      <w:pPr>
        <w:ind w:right="3339" w:firstLine="871"/>
        <w:spacing w:after="0" w:line="248"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review at least annually the report of the independent auditors describing: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independent auditors' internal quality-control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issues raised by the most recent</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quality-control review, by a peer review or by any inquiry or investigation by any governmental or professional authority of the independent auditors, within the preceding five years, respecting one or more independent audits carried out by the independent auditors, and any steps taken to deal with any such issues;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relationships between the independent auditors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the Corporation (including a description of each category of services provided by the independent auditors to the Corporation and a list of the fees billed for each such category;</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Committee should present its conclusions with respect to the above matters, as well as its review of the lead partner of the independent auditors, and its views on whether there should be a regular rotation of the independent auditors, to the Board.</w:t>
      </w:r>
    </w:p>
    <w:p>
      <w:pPr>
        <w:spacing w:after="0" w:line="186" w:lineRule="exact"/>
        <w:rPr>
          <w:sz w:val="20"/>
          <w:szCs w:val="20"/>
          <w:color w:val="auto"/>
        </w:rPr>
      </w:pPr>
    </w:p>
    <w:p>
      <w:pPr>
        <w:ind w:left="1740" w:hanging="869"/>
        <w:spacing w:after="0"/>
        <w:tabs>
          <w:tab w:leader="none" w:pos="1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the independence of the independent auditors by, among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things:</w:t>
      </w:r>
    </w:p>
    <w:p>
      <w:pPr>
        <w:spacing w:after="0" w:line="191"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actively engaging in a dialogue with the independent auditors with respect to any disclosed relationships or services that may impact the objectivity and independence of the independent auditors, and taking appropriate action to satisfy itself of the auditors' independence;</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lead audit partner and reviewing</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audit partner responsible for the audit of the Corporation's financials statements have not performed audit services for the Corporation for more than the previous five consecutive fiscal years of the Corporation;</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chief executive officer, controller, chief financial officer, chief accounting officer or other persons serving in an equivalent position of the Corporation, was not, within one year prior to the initiation of the audit, an employee of the independent auditor who participated in any capacity in the Corporation's audit; and</w:t>
      </w:r>
    </w:p>
    <w:p>
      <w:pPr>
        <w:sectPr>
          <w:pgSz w:w="11900" w:h="16838" w:orient="portrait"/>
          <w:cols w:equalWidth="0" w:num="1">
            <w:col w:w="10219"/>
          </w:cols>
          <w:pgMar w:left="240" w:top="676" w:right="1440" w:bottom="1440" w:gutter="0" w:footer="0" w:header="0"/>
        </w:sectPr>
      </w:pPr>
    </w:p>
    <w:bookmarkStart w:id="28" w:name="page29"/>
    <w:bookmarkEnd w:id="28"/>
    <w:p>
      <w:pPr>
        <w:ind w:left="2620" w:hanging="876"/>
        <w:spacing w:after="0"/>
        <w:tabs>
          <w:tab w:leader="none" w:pos="26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considering whether there should be a regular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rotation of the Corporation's independent auditors;</w:t>
      </w:r>
    </w:p>
    <w:p>
      <w:pPr>
        <w:spacing w:after="0" w:line="191"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annual audit plan of the Corporation's independent auditors, including the scope of audit activities and all critical accounting policies and practices to be used, and monitor such plan's progress and results during the year;</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results of the year-end audit of the Corporation, including any comments or recommendations of the Corporation's independent auditors;</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independent auditors and the director of the Corporation's internal auditing department, the following:</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Corporation's annual audited financial statements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quarterly financial statements, including the Corporation's disclosures under "Management's Discussion and Analysis of Financial Condition and Results of Operations", and any major issues related thereto;</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critical accounting policies and such other accounting policies of the Corporation as are deemed appropriate for review by the Committee prior to any interim or year-end filings with the SEC or other regulatory body, including any financial reporting issues which could have a material impact on the Corporation's financial statements;</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issues regarding accounting principles and financial statements presentations, including (A) any significant changes in the Corporation's selection or application of accounting principles and (B) any analyses prepared by management and/or the independent auditors setting forth significant financial reporting issues and judgments made in connection with the preparation of the financial statements, including analyses of the ramifications and effects of alternative generally accepted accounting principles on the Corporation's financial statements;</w:t>
      </w:r>
    </w:p>
    <w:p>
      <w:pPr>
        <w:spacing w:after="0" w:line="190"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treatments of financial information that have been discussed by the independent auditors and management, ramifications of the use of such alternative disclosures and treatments and the treatment preferred by the auditors;</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material written communications between the independent auditors and management, such as any management letter or schedule of unadjusted differences;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regulatory and accounting initiatives,</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well as offbalance sheet structures, on the financial statements of the Corporation;</w:t>
      </w:r>
    </w:p>
    <w:p>
      <w:pPr>
        <w:spacing w:after="0" w:line="184" w:lineRule="exact"/>
        <w:rPr>
          <w:rFonts w:ascii="Courier New" w:cs="Courier New" w:eastAsia="Courier New" w:hAnsi="Courier New"/>
          <w:sz w:val="16"/>
          <w:szCs w:val="16"/>
          <w:color w:val="auto"/>
        </w:rPr>
      </w:pPr>
    </w:p>
    <w:p>
      <w:pPr>
        <w:ind w:right="2759" w:firstLine="871"/>
        <w:spacing w:after="0" w:line="248"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chief executive officer and chief financial officer and independent auditors, periodically, the following: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 of internal controls which could adversely affect the Corporation's ability to record, process, summarize, and report financial data, including any material weaknesses in internal controls identified by the Corporation's independent auditors;</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Corporation's internal controls; and</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significant changes in internal controls or in other factors that could significantly affect internal controls, including any corrective actions with regard to significant deficiencies and material weaknesses.</w:t>
      </w:r>
    </w:p>
    <w:p>
      <w:pPr>
        <w:sectPr>
          <w:pgSz w:w="11900" w:h="16838" w:orient="portrait"/>
          <w:cols w:equalWidth="0" w:num="1">
            <w:col w:w="10219"/>
          </w:cols>
          <w:pgMar w:left="240" w:top="676" w:right="1440" w:bottom="1440" w:gutter="0" w:footer="0" w:header="0"/>
        </w:sectPr>
      </w:pPr>
    </w:p>
    <w:bookmarkStart w:id="29" w:name="page30"/>
    <w:bookmarkEnd w:id="29"/>
    <w:p>
      <w:pPr>
        <w:ind w:right="2559" w:firstLine="871"/>
        <w:spacing w:after="0" w:line="248"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Attempt to resolve all disagreements between the Corporation's independent auditors and management regarding financial reporting;</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on a regular basis with the Corporation's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w:t>
      </w:r>
    </w:p>
    <w:p>
      <w:pPr>
        <w:spacing w:after="0" w:line="185" w:lineRule="exact"/>
        <w:rPr>
          <w:rFonts w:ascii="Courier New" w:cs="Courier New" w:eastAsia="Courier New" w:hAnsi="Courier New"/>
          <w:sz w:val="16"/>
          <w:szCs w:val="16"/>
          <w:color w:val="auto"/>
        </w:rPr>
      </w:pPr>
    </w:p>
    <w:p>
      <w:pPr>
        <w:jc w:val="both"/>
        <w:ind w:right="323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accounting adjustments that were noted or proposed by the independent auditors but were rejected by management (as immaterial or otherwise);</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communications between the audit team and the independent auditor's national office respecting auditing or accounting issues presented by the engagement;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"management" or "internal control" letter issued,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proposed to be issued, by the independent auditors to the Corporation;</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that the Corporation's interim financial statements included in Quarterly Reports on Form 10- Q have been reviewed by the Corporation's independent auditors;</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adequacy and effectiveness of the Corporation's</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and internal control policies and procedures on a regular basis, including the responsibilities, budget and staffing of the Corporation's internal audit function, through inquiry and discussions with the Corporation's independent auditors and management of the Corporation;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yearly report prepared by management, and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attested to by the Corporation's independent auditors, assessing the effectiveness of the Corporation's internal control structure and procedures for financial reporting and stating management's responsibility to establish and maintain such structure and procedures, prior to its inclusion in the Corporation's annual report;</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administrative, operational and accounting internal controls, including any special audit steps adopted in light of the discovery of material control deficiencies, and evaluate whether the Corporation is operating in accordance with its prescribed policies, procedures and codes of conduct;</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periodic reports from the Corporation's independent auditors and management to assess the impact on the Corporation of significant accounting or financial reporting developments that may have a bearing on the Corporation;</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free and open means of communication between and among the Board, the Committee, the Corporation's independent auditors, the Corporation's internal auditing department and management, including providing such parties with appropriate opportunities to meet separately and privately with the Committee on a periodic basis;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earnings press releases (especially the use of "pro forma" or "adjusted" information not prepared in compliance with generally accepted accounting principles), as well as financial information and earnings guidance provided by the Corporation to analysts and rating agencies which review may be done generally (i.e., discussion of the types of information to be disclosed and type of presentations to be made), and the Committee need not discuss in advance each earnings release or each instance in which the Corporation may provide earnings guidance;</w:t>
      </w:r>
    </w:p>
    <w:p>
      <w:pPr>
        <w:spacing w:after="0" w:line="190" w:lineRule="exact"/>
        <w:rPr>
          <w:rFonts w:ascii="Courier New" w:cs="Courier New" w:eastAsia="Courier New" w:hAnsi="Courier New"/>
          <w:sz w:val="16"/>
          <w:szCs w:val="16"/>
          <w:color w:val="auto"/>
        </w:rPr>
      </w:pPr>
    </w:p>
    <w:p>
      <w:pPr>
        <w:ind w:right="29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clear hiring policies by the Corporation for employees or former employees of the Corporation's independent auditors, as needed;</w:t>
      </w:r>
    </w:p>
    <w:p>
      <w:pPr>
        <w:sectPr>
          <w:pgSz w:w="11900" w:h="16838" w:orient="portrait"/>
          <w:cols w:equalWidth="0" w:num="1">
            <w:col w:w="10219"/>
          </w:cols>
          <w:pgMar w:left="240" w:top="676" w:right="1440" w:bottom="1440" w:gutter="0" w:footer="0" w:header="0"/>
        </w:sectPr>
      </w:pPr>
    </w:p>
    <w:bookmarkStart w:id="30" w:name="page31"/>
    <w:bookmarkEnd w:id="30"/>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 guidelines and policies governing the process by which senior management of the Corporation assess and manage the Corporation's exposure to risk, as well as the Corporation's major financial risk exposures and the steps management has taken to monitor and control such exposures;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at least annually with the general counsel, and outside counsel when appropriate, to review legal and regulatory matters, including any matters that may have a material impact on the financial statements of the Corporation;</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the report required by the rules of the SEC to be included in the Corporation's annual proxy statement;</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program to monitor compliance with the Corporation's Code of Conduct, and meet periodically with the Corporation's Compliance Officer to discuss compliance with the Code of Conduct;</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Corporation's independent auditors any information pursuant to Section l0A of the Securities Exchange Act of 1934;</w:t>
      </w:r>
    </w:p>
    <w:p>
      <w:pPr>
        <w:spacing w:after="0" w:line="184" w:lineRule="exact"/>
        <w:rPr>
          <w:rFonts w:ascii="Courier New" w:cs="Courier New" w:eastAsia="Courier New" w:hAnsi="Courier New"/>
          <w:sz w:val="16"/>
          <w:szCs w:val="16"/>
          <w:color w:val="auto"/>
        </w:rPr>
      </w:pPr>
    </w:p>
    <w:p>
      <w:pPr>
        <w:ind w:left="1" w:right="28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procedures for (i) the receipt, retention and treatment of complaints received by the Corporation regarding accounting, internal accounting controls or auditing matters, and (ii) the confidential, anonymous submission by employees of the Corporation of concerns regarding questionable accounting or auditing matters;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independent expert advice to the extent the Committee determines it to be appropriate, including retaining independent counsel, accountants, consultants or others, to assist the Committee in fulfilling its duties and responsibilities, the cost of such independent expert advisors to be borne by the Corporation;</w:t>
      </w:r>
    </w:p>
    <w:p>
      <w:pPr>
        <w:spacing w:after="0" w:line="185" w:lineRule="exact"/>
        <w:rPr>
          <w:rFonts w:ascii="Courier New" w:cs="Courier New" w:eastAsia="Courier New" w:hAnsi="Courier New"/>
          <w:sz w:val="16"/>
          <w:szCs w:val="16"/>
          <w:color w:val="auto"/>
        </w:rPr>
      </w:pPr>
    </w:p>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Eeach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w:t>
      </w:r>
    </w:p>
    <w:p>
      <w:pPr>
        <w:spacing w:after="0" w:line="5" w:lineRule="exact"/>
        <w:rPr>
          <w:sz w:val="20"/>
          <w:szCs w:val="20"/>
          <w:color w:val="auto"/>
        </w:rPr>
      </w:pPr>
    </w:p>
    <w:p>
      <w:pPr>
        <w:ind w:left="581" w:hanging="581"/>
        <w:spacing w:after="0"/>
        <w:tabs>
          <w:tab w:leader="none" w:pos="5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made by management or third parties as to any information</w:t>
      </w:r>
    </w:p>
    <w:p>
      <w:pPr>
        <w:spacing w:after="0" w:line="5" w:lineRule="exact"/>
        <w:rPr>
          <w:rFonts w:ascii="Courier New" w:cs="Courier New" w:eastAsia="Courier New" w:hAnsi="Courier New"/>
          <w:sz w:val="16"/>
          <w:szCs w:val="16"/>
          <w:color w:val="auto"/>
        </w:rPr>
      </w:pPr>
    </w:p>
    <w:p>
      <w:pPr>
        <w:ind w:left="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internal audit and other non-audit services provided by the auditors to the Corporation.</w:t>
      </w:r>
    </w:p>
    <w:p>
      <w:pPr>
        <w:sectPr>
          <w:pgSz w:w="11900" w:h="16838" w:orient="portrait"/>
          <w:cols w:equalWidth="0" w:num="1">
            <w:col w:w="10220"/>
          </w:cols>
          <w:pgMar w:left="239" w:top="676" w:right="1440" w:bottom="1440" w:gutter="0" w:footer="0" w:header="0"/>
        </w:sectPr>
      </w:pPr>
    </w:p>
    <w:bookmarkStart w:id="31" w:name="page32"/>
    <w:bookmarkEnd w:id="31"/>
    <w:p>
      <w:pPr>
        <w:jc w:val="center"/>
        <w:ind w:right="237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1675 Palm Beach Lakes Boulevard - West Palm Beach, Florida 33401</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REVOCABLE PROXY</w:t>
      </w:r>
    </w:p>
    <w:p>
      <w:pPr>
        <w:spacing w:after="0" w:line="191" w:lineRule="exact"/>
        <w:rPr>
          <w:sz w:val="20"/>
          <w:szCs w:val="20"/>
          <w:color w:val="auto"/>
        </w:rPr>
      </w:pPr>
    </w:p>
    <w:p>
      <w:pPr>
        <w:jc w:val="center"/>
        <w:ind w:right="2459"/>
        <w:spacing w:after="0" w:line="247" w:lineRule="auto"/>
        <w:rPr>
          <w:sz w:val="20"/>
          <w:szCs w:val="20"/>
          <w:color w:val="auto"/>
        </w:rPr>
      </w:pPr>
      <w:r>
        <w:rPr>
          <w:rFonts w:ascii="Courier New" w:cs="Courier New" w:eastAsia="Courier New" w:hAnsi="Courier New"/>
          <w:sz w:val="16"/>
          <w:szCs w:val="16"/>
          <w:color w:val="auto"/>
        </w:rPr>
        <w:t>THIS PROXY IS BEING SOLICITED ON BEHALF OF THE BOARD OF DIRECTORS OF OCWEN FINANCIAL CORPORATION, FOR USE ONLY AT THE ANNUAL MEETING OF SHAREHOLDERS TO BE HELD ON MAY 15, 2003 AND AT ANY ADJOURNMENT THEREOF.</w:t>
      </w:r>
    </w:p>
    <w:p>
      <w:pPr>
        <w:spacing w:after="0" w:line="18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14, 2003 at the Annual Meeting of Shareholders to be held at the offices of the Company located at 1675 Palm Beach Lakes Boulevard, West Palm Beach, Florida 33401 on Thursday, May 15, 2003 at 9:00 a.m., Eastern Time, and at any adjournment thereof.</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85"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of Ocwen Financial Corporation to be held on May 15, 2003, or any adjournment thereof, a Proxy Statement for the Annual Meeting and the 2002 Annual Report to Shareholders of the Company prior to the signing of this proxy.</w:t>
      </w:r>
    </w:p>
    <w:p>
      <w:pPr>
        <w:spacing w:after="0" w:line="185" w:lineRule="exact"/>
        <w:rPr>
          <w:sz w:val="20"/>
          <w:szCs w:val="20"/>
          <w:color w:val="auto"/>
        </w:rPr>
      </w:pPr>
    </w:p>
    <w:p>
      <w:pPr>
        <w:jc w:val="center"/>
        <w:ind w:right="2379"/>
        <w:spacing w:after="0" w:line="247" w:lineRule="auto"/>
        <w:rPr>
          <w:sz w:val="20"/>
          <w:szCs w:val="20"/>
          <w:color w:val="auto"/>
        </w:rPr>
      </w:pPr>
      <w:r>
        <w:rPr>
          <w:rFonts w:ascii="Courier New" w:cs="Courier New" w:eastAsia="Courier New" w:hAnsi="Courier New"/>
          <w:sz w:val="16"/>
          <w:szCs w:val="16"/>
          <w:color w:val="auto"/>
        </w:rPr>
        <w:t>PLEASE MARK, SIGN, DATE AND RETURN THIS PROXY PROMPTLY USING THE ENCLOSED ENVELOPE ADDRESSED TO: AMERICAN STOCK TRANSFER &amp; TRUST COMPANY, 59 MAIDEN LANE, NEW YORK, N.Y. 10038</w:t>
      </w:r>
    </w:p>
    <w:p>
      <w:pPr>
        <w:spacing w:after="0" w:line="186"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78"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COMMENTS: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76" w:right="1440" w:bottom="1440" w:gutter="0" w:footer="0" w:header="0"/>
        </w:sectPr>
      </w:pPr>
    </w:p>
    <w:bookmarkStart w:id="32" w:name="page33"/>
    <w:bookmarkEnd w:id="32"/>
    <w:p>
      <w:pPr>
        <w:jc w:val="center"/>
        <w:ind w:right="3299"/>
        <w:spacing w:after="0"/>
        <w:rPr>
          <w:sz w:val="20"/>
          <w:szCs w:val="20"/>
          <w:color w:val="auto"/>
        </w:rPr>
      </w:pPr>
      <w:r>
        <w:rPr>
          <w:rFonts w:ascii="Courier New" w:cs="Courier New" w:eastAsia="Courier New" w:hAnsi="Courier New"/>
          <w:sz w:val="16"/>
          <w:szCs w:val="16"/>
          <w:color w:val="auto"/>
        </w:rPr>
        <w:t>ANNUAL MEETING OF SHAREHOLDERS OF</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MAY 15,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Please date, sign and mail</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proxy card in the</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envelope provided as soon</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Please detach and mail in the envelope provided.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PLEASE SIGN, DATE AND RETUNR PROMPTLY IN THE ENCLOSED ENVELOPE. PLEASE MARK</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VOTE IN BLUE OR BLACK INK AS SHOWN HERE [X]</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141"/>
          </w:cols>
          <w:pgMar w:left="239" w:top="676" w:right="519" w:bottom="1440" w:gutter="0" w:footer="0" w:header="0"/>
        </w:sectPr>
      </w:pP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700" w:type="dxa"/>
            <w:vAlign w:val="bottom"/>
          </w:tcPr>
          <w:p>
            <w:pPr>
              <w:ind w:left="580"/>
              <w:spacing w:after="0"/>
              <w:rPr>
                <w:sz w:val="20"/>
                <w:szCs w:val="20"/>
                <w:color w:val="auto"/>
              </w:rPr>
            </w:pPr>
            <w:r>
              <w:rPr>
                <w:rFonts w:ascii="Courier New" w:cs="Courier New" w:eastAsia="Courier New" w:hAnsi="Courier New"/>
                <w:sz w:val="16"/>
                <w:szCs w:val="16"/>
                <w:color w:val="auto"/>
                <w:w w:val="99"/>
              </w:rPr>
              <w:t>Election Of Directors:</w:t>
            </w:r>
          </w:p>
        </w:tc>
        <w:tc>
          <w:tcPr>
            <w:tcW w:w="2040" w:type="dxa"/>
            <w:vAlign w:val="bottom"/>
          </w:tcPr>
          <w:p>
            <w:pPr>
              <w:spacing w:after="0"/>
              <w:rPr>
                <w:sz w:val="15"/>
                <w:szCs w:val="15"/>
                <w:color w:val="auto"/>
              </w:rPr>
            </w:pPr>
          </w:p>
        </w:tc>
      </w:tr>
      <w:tr>
        <w:trPr>
          <w:trHeight w:val="559"/>
        </w:trPr>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NOMINEES: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C. Erbey</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Ronald M. Faris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WITHHOLD AUTHORITY</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H. Lacy</w:t>
            </w:r>
          </w:p>
        </w:tc>
      </w:tr>
      <w:tr>
        <w:trPr>
          <w:trHeight w:val="186"/>
        </w:trPr>
        <w:tc>
          <w:tcPr>
            <w:tcW w:w="300" w:type="dxa"/>
            <w:vAlign w:val="bottom"/>
          </w:tcPr>
          <w:p>
            <w:pPr>
              <w:spacing w:after="0"/>
              <w:rPr>
                <w:sz w:val="16"/>
                <w:szCs w:val="16"/>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 Michael Linn</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W.C. Martin</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EXCEPT</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Herbert B. Tasker</w:t>
            </w:r>
          </w:p>
        </w:tc>
      </w:tr>
      <w:tr>
        <w:trPr>
          <w:trHeight w:val="186"/>
        </w:trPr>
        <w:tc>
          <w:tcPr>
            <w:tcW w:w="300" w:type="dxa"/>
            <w:vAlign w:val="bottom"/>
          </w:tcPr>
          <w:p>
            <w:pPr>
              <w:spacing w:after="0"/>
              <w:rPr>
                <w:sz w:val="16"/>
                <w:szCs w:val="16"/>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6"/>
                <w:szCs w:val="16"/>
                <w:color w:val="auto"/>
              </w:rPr>
              <w:t>(See instructions below)</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Barry N. Wish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INSTRUCTION: To withhold authority to vote for 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individual nominee(s), mark "FOR ALL EXCEPT" and fill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circle next to each nominee you wish to withhold,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shown here: (X)</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80" w:right="680" w:hanging="480"/>
        <w:spacing w:after="0" w:line="248" w:lineRule="auto"/>
        <w:tabs>
          <w:tab w:leader="none" w:pos="4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OR THE AMENDMENTS TO THE 1998 ANNUAL INCENTIVE PLAN.</w:t>
      </w:r>
    </w:p>
    <w:p>
      <w:pPr>
        <w:spacing w:after="0" w:line="184"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hanging="480"/>
        <w:spacing w:after="0"/>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APPOINTMENT BY THE BOARD</w:t>
      </w:r>
    </w:p>
    <w:p>
      <w:pPr>
        <w:spacing w:after="0" w:line="5" w:lineRule="exact"/>
        <w:rPr>
          <w:rFonts w:ascii="Courier New" w:cs="Courier New" w:eastAsia="Courier New" w:hAnsi="Courier New"/>
          <w:sz w:val="16"/>
          <w:szCs w:val="16"/>
          <w:color w:val="auto"/>
        </w:rPr>
      </w:pPr>
    </w:p>
    <w:p>
      <w:pPr>
        <w:ind w:left="480" w:right="28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DIRECTORS OF PRICEWATERHOUSECOOPERS LLP AS THE INDEPENDENT AUDITOR OF THE COMPANY FOR THE YEAR ENDING DECEMBER 31, 2003.</w:t>
      </w:r>
    </w:p>
    <w:p>
      <w:pPr>
        <w:spacing w:after="0" w:line="186"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right="380" w:hanging="480"/>
        <w:spacing w:after="0" w:line="247" w:lineRule="auto"/>
        <w:tabs>
          <w:tab w:leader="none" w:pos="4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ANNUAL MEETING.</w:t>
      </w:r>
    </w:p>
    <w:p>
      <w:pPr>
        <w:spacing w:after="0" w:line="37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CHECK IF YOU PLAN TO ATTEND THE MEETING [ ]</w:t>
      </w:r>
    </w:p>
    <w:p>
      <w:pPr>
        <w:spacing w:after="0" w:line="200" w:lineRule="exact"/>
        <w:rPr>
          <w:sz w:val="20"/>
          <w:szCs w:val="20"/>
          <w:color w:val="auto"/>
        </w:rPr>
      </w:pPr>
    </w:p>
    <w:p>
      <w:pPr>
        <w:spacing w:after="0" w:line="364" w:lineRule="exact"/>
        <w:rPr>
          <w:sz w:val="20"/>
          <w:szCs w:val="20"/>
          <w:color w:val="auto"/>
        </w:rPr>
      </w:pPr>
    </w:p>
    <w:p>
      <w:pPr>
        <w:ind w:left="300" w:right="200"/>
        <w:spacing w:after="0" w:line="248" w:lineRule="auto"/>
        <w:rPr>
          <w:sz w:val="20"/>
          <w:szCs w:val="20"/>
          <w:color w:val="auto"/>
        </w:rPr>
      </w:pPr>
      <w:r>
        <w:rPr>
          <w:rFonts w:ascii="Courier New" w:cs="Courier New" w:eastAsia="Courier New" w:hAnsi="Courier New"/>
          <w:sz w:val="16"/>
          <w:szCs w:val="16"/>
          <w:color w:val="auto"/>
        </w:rPr>
        <w:t>TO INCLUDE ANY COMMENTS, USE THE COMMENTS BOX ON THE REVERSE SIDE HEREOF.</w:t>
      </w:r>
    </w:p>
    <w:p>
      <w:pPr>
        <w:spacing w:after="0" w:line="184" w:lineRule="exact"/>
        <w:rPr>
          <w:sz w:val="20"/>
          <w:szCs w:val="20"/>
          <w:color w:val="auto"/>
        </w:rPr>
      </w:pPr>
    </w:p>
    <w:p>
      <w:pPr>
        <w:sectPr>
          <w:pgSz w:w="11900" w:h="16838" w:orient="portrait"/>
          <w:cols w:equalWidth="0" w:num="2">
            <w:col w:w="5421" w:space="200"/>
            <w:col w:w="5520"/>
          </w:cols>
          <w:pgMar w:left="239" w:top="676" w:right="519" w:bottom="1440" w:gutter="0" w:footer="0" w:header="0"/>
          <w:type w:val="continuous"/>
        </w:sect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552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address on your account, please check he box at right and indicate your new address in the address space above. Please note that changes to the registered name(s) on the account may not be submitted via this</w:t>
      </w:r>
    </w:p>
    <w:p>
      <w:pPr>
        <w:spacing w:after="0" w:line="2" w:lineRule="exact"/>
        <w:rPr>
          <w:sz w:val="20"/>
          <w:szCs w:val="20"/>
          <w:color w:val="auto"/>
        </w:rPr>
      </w:pPr>
    </w:p>
    <w:p>
      <w:pPr>
        <w:ind w:left="1"/>
        <w:spacing w:after="0"/>
        <w:tabs>
          <w:tab w:leader="none" w:pos="5400" w:val="left"/>
        </w:tabs>
        <w:rPr>
          <w:sz w:val="20"/>
          <w:szCs w:val="20"/>
          <w:color w:val="auto"/>
        </w:rPr>
      </w:pPr>
      <w:r>
        <w:rPr>
          <w:rFonts w:ascii="Courier New" w:cs="Courier New" w:eastAsia="Courier New" w:hAnsi="Courier New"/>
          <w:sz w:val="16"/>
          <w:szCs w:val="16"/>
          <w:color w:val="auto"/>
        </w:rPr>
        <w:t>method.</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 of Shareholder ___________________ Date: _____ Signature of Shareholder ___________________ Date: _____</w:t>
      </w:r>
    </w:p>
    <w:p>
      <w:pPr>
        <w:spacing w:after="0" w:line="378" w:lineRule="exact"/>
        <w:rPr>
          <w:sz w:val="20"/>
          <w:szCs w:val="20"/>
          <w:color w:val="auto"/>
        </w:rPr>
      </w:pPr>
    </w:p>
    <w:p>
      <w:pPr>
        <w:ind w:left="1" w:right="3480"/>
        <w:spacing w:after="0" w:line="247" w:lineRule="auto"/>
        <w:rPr>
          <w:sz w:val="20"/>
          <w:szCs w:val="20"/>
          <w:color w:val="auto"/>
        </w:rPr>
      </w:pPr>
      <w:r>
        <w:rPr>
          <w:rFonts w:ascii="Courier New" w:cs="Courier New" w:eastAsia="Courier New" w:hAnsi="Courier New"/>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1141"/>
      </w:cols>
      <w:pgMar w:left="239" w:top="67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upperLetter"/>
      <w:start w:val="24"/>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upperLetter"/>
      <w:start w:val="24"/>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lowerRoman"/>
      <w:start w:val="4"/>
    </w:lvl>
  </w:abstractNum>
  <w:abstractNum w:abstractNumId="20">
    <w:nsid w:val="8138641"/>
    <w:multiLevelType w:val="hybridMultilevel"/>
    <w:lvl w:ilvl="0">
      <w:lvlJc w:val="left"/>
      <w:lvlText w:val="o"/>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Letter"/>
      <w:start w:val="1"/>
    </w:lvl>
    <w:lvl w:ilvl="1">
      <w:lvlJc w:val="left"/>
      <w:lvlText w:val="(%2)"/>
      <w:numFmt w:val="lowerLetter"/>
      <w:start w:val="61"/>
    </w:lvl>
  </w:abstractNum>
  <w:abstractNum w:abstractNumId="23">
    <w:nsid w:val="737B8DDC"/>
    <w:multiLevelType w:val="hybridMultilevel"/>
    <w:lvl w:ilvl="0">
      <w:lvlJc w:val="left"/>
      <w:lvlText w:val="%1."/>
      <w:numFmt w:val="upperLetter"/>
      <w:start w:val="9"/>
    </w:lvl>
  </w:abstractNum>
  <w:abstractNum w:abstractNumId="24">
    <w:nsid w:val="6CEAF087"/>
    <w:multiLevelType w:val="hybridMultilevel"/>
    <w:lvl w:ilvl="0">
      <w:lvlJc w:val="left"/>
      <w:lvlText w:val="%1."/>
      <w:numFmt w:val="upperLetter"/>
      <w:start w:val="35"/>
    </w:lvl>
  </w:abstractNum>
  <w:abstractNum w:abstractNumId="25">
    <w:nsid w:val="22221A70"/>
    <w:multiLevelType w:val="hybridMultilevel"/>
    <w:lvl w:ilvl="0">
      <w:lvlJc w:val="left"/>
      <w:lvlText w:val="%1."/>
      <w:numFmt w:val="upperLetter"/>
      <w:start w:val="61"/>
    </w:lvl>
  </w:abstractNum>
  <w:abstractNum w:abstractNumId="26">
    <w:nsid w:val="4516DDE9"/>
    <w:multiLevelType w:val="hybridMultilevel"/>
    <w:lvl w:ilvl="0">
      <w:lvlJc w:val="left"/>
      <w:lvlText w:val="(%1)"/>
      <w:numFmt w:val="lowerLetter"/>
      <w:start w:val="1"/>
    </w:lvl>
    <w:lvl w:ilvl="1">
      <w:lvlJc w:val="left"/>
      <w:lvlText w:val="(%2)"/>
      <w:numFmt w:val="lowerRoman"/>
      <w:start w:val="1"/>
    </w:lvl>
  </w:abstractNum>
  <w:abstractNum w:abstractNumId="27">
    <w:nsid w:val="3006C83E"/>
    <w:multiLevelType w:val="hybridMultilevel"/>
    <w:lvl w:ilvl="0">
      <w:lvlJc w:val="left"/>
      <w:lvlText w:val="(%1)"/>
      <w:numFmt w:val="lowerLetter"/>
      <w:start w:val="4"/>
    </w:lvl>
    <w:lvl w:ilvl="1">
      <w:lvlJc w:val="left"/>
      <w:lvlText w:val="(%2)"/>
      <w:numFmt w:val="lowerRoman"/>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4"/>
    </w:lvl>
  </w:abstractNum>
  <w:abstractNum w:abstractNumId="29">
    <w:nsid w:val="419AC241"/>
    <w:multiLevelType w:val="hybridMultilevel"/>
    <w:lvl w:ilvl="0">
      <w:lvlJc w:val="left"/>
      <w:lvlText w:val="(%1)"/>
      <w:numFmt w:val="lowerLetter"/>
      <w:start w:val="5"/>
    </w:lvl>
    <w:lvl w:ilvl="1">
      <w:lvlJc w:val="left"/>
      <w:lvlText w:val="(%2)"/>
      <w:numFmt w:val="lowerRoman"/>
      <w:start w:val="1"/>
    </w:lvl>
  </w:abstractNum>
  <w:abstractNum w:abstractNumId="30">
    <w:nsid w:val="5577F8E1"/>
    <w:multiLevelType w:val="hybridMultilevel"/>
    <w:lvl w:ilvl="0">
      <w:lvlJc w:val="left"/>
      <w:lvlText w:val="(%1)"/>
      <w:numFmt w:val="lowerLetter"/>
      <w:start w:val="9"/>
    </w:lvl>
    <w:lvl w:ilvl="1">
      <w:lvlJc w:val="left"/>
      <w:lvlText w:val="(%2)"/>
      <w:numFmt w:val="lowerRoman"/>
      <w:start w:val="1"/>
    </w:lvl>
  </w:abstractNum>
  <w:abstractNum w:abstractNumId="31">
    <w:nsid w:val="440BADFC"/>
    <w:multiLevelType w:val="hybridMultilevel"/>
    <w:lvl w:ilvl="0">
      <w:lvlJc w:val="left"/>
      <w:lvlText w:val="(%1)"/>
      <w:numFmt w:val="lowerLetter"/>
      <w:start w:val="18"/>
    </w:lvl>
  </w:abstractNum>
  <w:abstractNum w:abstractNumId="32">
    <w:nsid w:val="5072367"/>
    <w:multiLevelType w:val="hybridMultilevel"/>
    <w:lvl w:ilvl="0">
      <w:lvlJc w:val="left"/>
      <w:lvlText w:val="(%1)"/>
      <w:numFmt w:val="lowerRoman"/>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3"/>
    </w:lvl>
  </w:abstractNum>
  <w:abstractNum w:abstractNumId="36">
    <w:nsid w:val="5C482A97"/>
    <w:multiLevelType w:val="hybridMultilevel"/>
    <w:lvl w:ilvl="0">
      <w:lvlJc w:val="left"/>
      <w:lvlText w:val="%1."/>
      <w:numFmt w:val="decimal"/>
      <w:start w:val="4"/>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2019-12-11T22:39:03Z</dcterms:created>
  <dcterms:modified xsi:type="dcterms:W3CDTF">2019-12-11T22:39:03Z</dcterms:modified>
</cp:coreProperties>
</file>