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[X] Preliminary Proxy Statement</w:t>
      </w:r>
    </w:p>
    <w:p>
      <w:pPr>
        <w:spacing w:after="0" w:line="23" w:lineRule="exact"/>
        <w:rPr>
          <w:sz w:val="24"/>
          <w:szCs w:val="24"/>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Proxy Statement</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ss.240.14a-12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 Fee computed on table below per Exchange Act Rules 14a-6(i)(1) and 0-11</w:t>
      </w:r>
    </w:p>
    <w:p>
      <w:pPr>
        <w:spacing w:after="0" w:line="211"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 Fee paid previously with preliminary materials.</w:t>
      </w:r>
    </w:p>
    <w:p>
      <w:pPr>
        <w:spacing w:after="0" w:line="23" w:lineRule="exact"/>
        <w:rPr>
          <w:sz w:val="24"/>
          <w:szCs w:val="24"/>
          <w:color w:val="auto"/>
        </w:rPr>
      </w:pPr>
    </w:p>
    <w:p>
      <w:pPr>
        <w:ind w:left="660" w:hanging="328"/>
        <w:spacing w:after="0" w:line="290" w:lineRule="auto"/>
        <w:tabs>
          <w:tab w:leader="none" w:pos="486" w:val="left"/>
        </w:tabs>
        <w:numPr>
          <w:ilvl w:val="1"/>
          <w:numId w:val="3"/>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448945</wp:posOffset>
            </wp:positionV>
            <wp:extent cx="1371600" cy="1645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behalf of the Board of Directors, I cordially invite you to participate in the Annual Meeting of Shareholders of Ocwen Financial Corporation, which will be held on Wednesday, May 27, 2020, at 9:00 a.m., Eastern Daylight Time. In light of public health concerns regarding the coronavirus outbreak, we will be hosting this year’s Annual Meeting in a virtual format only via live audiocast on the Internet at </w:t>
      </w:r>
      <w:r>
        <w:rPr>
          <w:rFonts w:ascii="Arial" w:cs="Arial" w:eastAsia="Arial" w:hAnsi="Arial"/>
          <w:sz w:val="18"/>
          <w:szCs w:val="18"/>
          <w:u w:val="single" w:color="auto"/>
          <w:color w:val="auto"/>
        </w:rPr>
        <w:t>www.virtualshareholdermeeting.com/OCN2020</w:t>
      </w:r>
      <w:r>
        <w:rPr>
          <w:rFonts w:ascii="Arial" w:cs="Arial" w:eastAsia="Arial" w:hAnsi="Arial"/>
          <w:sz w:val="18"/>
          <w:szCs w:val="18"/>
          <w:color w:val="auto"/>
        </w:rPr>
        <w:t>. To participate, vote or submit questions during the Annual Meeting via live audiocast, please review the detailed procedures included in our Notice of Annual Meeting. You will not be able to attend the Annual Meeting in person. This does not represent a change in our shareholder engagement philosophy and we intend to return to an in-person meeting next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matters to be considered by shareholders at the Annual Meeting are described in detail in the accompanying materials.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cannot vote your shares at the Annual Meeting unless you have obtained a legal proxy from your brokerage firm, bank, broker-dealer, or similar organization.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1661 Worthington Road, Suite 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27,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21" w:lineRule="exact"/>
        <w:rPr>
          <w:sz w:val="20"/>
          <w:szCs w:val="20"/>
          <w:color w:val="auto"/>
        </w:rPr>
      </w:pPr>
    </w:p>
    <w:p>
      <w:pPr>
        <w:ind w:left="1360"/>
        <w:spacing w:after="0"/>
        <w:tabs>
          <w:tab w:leader="none" w:pos="26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27, 2020</w:t>
      </w:r>
    </w:p>
    <w:p>
      <w:pPr>
        <w:spacing w:after="0" w:line="27" w:lineRule="exact"/>
        <w:rPr>
          <w:sz w:val="20"/>
          <w:szCs w:val="20"/>
          <w:color w:val="auto"/>
        </w:rPr>
      </w:pPr>
    </w:p>
    <w:p>
      <w:pPr>
        <w:ind w:left="1360"/>
        <w:spacing w:after="0"/>
        <w:tabs>
          <w:tab w:leader="none" w:pos="268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Eastern Daylight Time</w:t>
      </w:r>
    </w:p>
    <w:p>
      <w:pPr>
        <w:spacing w:after="0" w:line="9" w:lineRule="exact"/>
        <w:rPr>
          <w:sz w:val="20"/>
          <w:szCs w:val="20"/>
          <w:color w:val="auto"/>
        </w:rPr>
      </w:pPr>
    </w:p>
    <w:p>
      <w:pPr>
        <w:ind w:left="1360"/>
        <w:spacing w:after="0"/>
        <w:tabs>
          <w:tab w:leader="none" w:pos="26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Virtual Meeting Only via Live Audiocast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review the instructions contained in this Proxy Statement if you wish to participate in the virtual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for one-year terms or until their successors are elected and qualified;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(“Say-on-Pay”);</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an amendment to our Articles of Incorporation to implement a reverse stock split of our issued and outstanding common stock in a ratio between 1-for-5 and 1-for-25 and reduce the number of authorized shares of our common stock by the same proportion as the ratio of our reverse stock split;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proposal to adjourn the Annual Meeting, if necessary or appropriate, to solicit additional proxies if there are not sufficient votes at the time of the Annual Meeting to approve Proposal Four;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postponement or adjournment of the meeting. Management is not aware of any such other business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27, 2020 as the record date for the determination of shareholders entitled to notice of and to vote at the Annual Meeting.</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p>
      <w:pPr>
        <w:spacing w:after="0" w:line="183"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If you would like to attend the virtual meeting and you have your control number, please go to </w:t>
      </w:r>
      <w:r>
        <w:rPr>
          <w:rFonts w:ascii="Arial" w:cs="Arial" w:eastAsia="Arial" w:hAnsi="Arial"/>
          <w:sz w:val="16"/>
          <w:szCs w:val="16"/>
          <w:u w:val="single" w:color="auto"/>
          <w:color w:val="auto"/>
        </w:rPr>
        <w:t>www.virtualshareholdermeeting.com/OCN2020</w:t>
      </w:r>
      <w:r>
        <w:rPr>
          <w:rFonts w:ascii="Arial" w:cs="Arial" w:eastAsia="Arial" w:hAnsi="Arial"/>
          <w:sz w:val="16"/>
          <w:szCs w:val="16"/>
          <w:color w:val="auto"/>
        </w:rPr>
        <w:t xml:space="preserve"> 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Ocwen’s Annual Meeting, please call 855-449-0991 (US) or 720-378-5962 (International).</w:t>
      </w:r>
    </w:p>
    <w:p>
      <w:pPr>
        <w:spacing w:after="0" w:line="16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If you wish to submit a question during the Annual Meeting, log into the virtual meeting platform at </w:t>
      </w:r>
      <w:r>
        <w:rPr>
          <w:rFonts w:ascii="Arial" w:cs="Arial" w:eastAsia="Arial" w:hAnsi="Arial"/>
          <w:sz w:val="18"/>
          <w:szCs w:val="18"/>
          <w:u w:val="single" w:color="auto"/>
          <w:color w:val="auto"/>
        </w:rPr>
        <w:t>www.virtualshareholdermeeting.com/OCN2020</w:t>
      </w:r>
      <w:r>
        <w:rPr>
          <w:rFonts w:ascii="Arial" w:cs="Arial" w:eastAsia="Arial" w:hAnsi="Arial"/>
          <w:sz w:val="18"/>
          <w:szCs w:val="18"/>
          <w:color w:val="auto"/>
        </w:rPr>
        <w:t>, type your question into the “Ask a Question” field, and click “Submit.”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This proxy statement for our 2020 Annual Meeting of Shareholders and our Annual Report to shareholders on Form 10-K for the year ended December 31, 2019 will be available on or about April [•], 2020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in the Financial Information section under the “Shareholders” tab. The approximate date on which this proxy statement, the proxy card and other accompanying materials are first being sent or given to shareholders is April [•], 2020. Additionally, and in accordance with Securities and Exchange Commission rules, you may access our annual report and proxy materials at </w:t>
      </w:r>
      <w:r>
        <w:rPr>
          <w:rFonts w:ascii="Arial" w:cs="Arial" w:eastAsia="Arial" w:hAnsi="Arial"/>
          <w:sz w:val="17"/>
          <w:szCs w:val="17"/>
          <w:u w:val="single" w:color="auto"/>
          <w:color w:val="auto"/>
        </w:rPr>
        <w:t>http://shareholders.ocwen.com/sec.cfm</w:t>
      </w:r>
      <w:r>
        <w:rPr>
          <w:rFonts w:ascii="Arial" w:cs="Arial" w:eastAsia="Arial" w:hAnsi="Arial"/>
          <w:sz w:val="17"/>
          <w:szCs w:val="17"/>
          <w:color w:val="auto"/>
        </w:rPr>
        <w:t>, a website that does not identify or track visitors of the site.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have questions for Ocwen Financial Corporation regarding this virtual Annual Meeting, please contact our shareholder relations department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Joseph J. Samarias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38"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This proxy statement is being furnished to you in connection with the solicitation of proxies by the Board of Directors of Ocwen Financial Corporation (“Ocwen,” the “Company,” “we,” “us,” or “our”) for use at our 2020 Annual Meeting of Shareholders (the “Annual Meeting”) and at any postponement or adjournment of this meeting. The approximate date on which this proxy statement, the proxy card and other accompanying materials are first being sent or given to shareholders is April [•], 2020. The Annual Meeting will be held on Wednesday, May 27, 2020, at 9:00 a.m., Eastern Daylight Time, for the purposes listed in the Notice of Annual Meeting of Shareholders. In light of public health concerns regarding the coronavirus outbreak, we will be hosting this year’s Annual Meeting via live audiocast on the Internet at </w:t>
      </w:r>
      <w:r>
        <w:rPr>
          <w:rFonts w:ascii="Arial" w:cs="Arial" w:eastAsia="Arial" w:hAnsi="Arial"/>
          <w:sz w:val="17"/>
          <w:szCs w:val="17"/>
          <w:u w:val="single" w:color="auto"/>
          <w:color w:val="auto"/>
        </w:rPr>
        <w:t>www.virtualshareholdermeeting.com/OCN2020</w:t>
      </w:r>
      <w:r>
        <w:rPr>
          <w:rFonts w:ascii="Arial" w:cs="Arial" w:eastAsia="Arial" w:hAnsi="Arial"/>
          <w:sz w:val="17"/>
          <w:szCs w:val="17"/>
          <w:color w:val="auto"/>
        </w:rPr>
        <w:t>. This does not represent a change in our shareholder engagement philosophy and we intend to return to an in-person meeting next year. If you are interested in participating in the virtual meeting, voting or submitting questions at that time, please see “Annual Meeting Participation” below for further details. Please note that except as otherwise specified, all share and dollar amounts set forth in this Proxy Statement are on a pre-Reverse Stock Split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has appointed Glen A. Messina, President and Chief Executive Officer, and Joseph J. Samarias, Executive Vice President, General Counsel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ALL” of the seven nominees for Director;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2020;</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Three (Advisory Resolution on Named Executive Officer Compensation) - “FOR” approval, on an advisory basis, of the compensation of Ocwen’s executive officers whose compensation is disclosed in this proxy statement (“named executive officers”) (“Say-on-Pay”);</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Four (Advisory Approval of an Amendment to the Articles of Incorporation to Effect a Reverse Stock Split) - “FOR” approval, on an advisory basis, to approve an amendment to our Articles of Incorporation to implement a reverse stock split of our issued and outstanding common stock in a ratio between 1-for-5 and 1-for-25 and reduce the number of authorized shares of our common stock by the same proportion as the ratio of our reverse stock split</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Five (Adjournment of Meeting to Solicit Additional Proxies for Proposal Four) - “FOR” approval of a proposal to adjourn the Annual Meeting, if necessary or appropriate, to solicit additional proxies if there are not sufficient votes at the time of the Annual Meeting to approve Proposal Four;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49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written notice of revocation with our Secretary at the following address: Joseph J. Samarias,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 Ocwen Financial Corporation</w:t>
      </w:r>
    </w:p>
    <w:p>
      <w:pPr>
        <w:spacing w:after="0" w:line="9" w:lineRule="exact"/>
        <w:rPr>
          <w:rFonts w:ascii="Arial" w:cs="Arial" w:eastAsia="Arial" w:hAnsi="Arial"/>
          <w:sz w:val="18"/>
          <w:szCs w:val="18"/>
          <w:color w:val="auto"/>
        </w:rPr>
      </w:pPr>
    </w:p>
    <w:p>
      <w:pPr>
        <w:ind w:left="660" w:right="8080"/>
        <w:spacing w:after="0" w:line="323"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13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properly executed proxy card bearing a later date or submitting another proxy using the Internet or by telephone (your latest Internet or telephone voting instructions will be followed),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participating in the virtual Annual Meeting and giving the Secretary notice of your intention to vote at that 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are interested in participating in the virtual Annual Meeting, voting or submitting questions at that time, please see “Annual Meeting Participation” below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all matters properly presented at the Annual Meeting, each share of our common stock is entitled to one vote. All shareholders who owned our common stock as of the close of business on March 27, 2020 (the “Record Date”) are cordially invited to participate in the 2020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American Stock Transfer &amp; Trust Company,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134,956,288 shares of common stock issued and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if you are a Shareholder of Record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cannot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then the rules of the New York Stock Exchange provide Brokers discretionary power to vote your shares even if you do not provide instructions. “Routine” matters include proposals to ratify the appointment of the independent registered public accounting firm, provide advisory approval of an amendment to our Articles of Incorporation to implement a reverse stock split, and approve a proposal to authorize an adjournment of the Annual Meeting to solicit additional proxies for Proposal Four. If, however, the proposal involves a “non-routine” matter, such as the proposals to elect directors and vote on executive compensation, then Brokers are not permitted to vote your shares without instruction from you. If you do not submit voting instructions to your Broker and your Broker exercises its discretion to vote your shares on Proposal Two to ratify the appointment of Deloitte &amp; Touche LLP as our independent registered public accounting firm for 2020, Proposal Four to approve a reverse stock split of our issued and outstanding common stock and reduce the number of authorized shares of our common stock by the same proportion as the ratio of our reverse stock split, or Proposal Five to authorize an adjournment of the Annual Meeting to solicit additional proxies for Proposal Four, your shares will constitute broker “non-votes” on each of the other proposals at the Annual Meeting. Therefore, it is important that you provide instructions to your Broker if your shares are held by a Broker so that your votes with respect to election of directors and Say-on-Pay are counted.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Assuming a quorum, the seven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 &amp; Touche LLP as our independent registered public accounting firm for 2020, Proposal Three to approve the Say-on-Pay, Proposal Four to approve a reverse stock split of our issued and outstanding common stock and reduce the number of authorized shares of our common stock by the same proportion as the ratio of our reverse stock split, and Proposal Five to authorize an adjournment of the Annual Meeting to solicit additional proxies for Proposal Four, the proposal will be approved if the votes cast by the holders of the shares represented at the Annual Meeting and entitled to vote in favor of the action exceed the votes cast opposing the action. Because Proposal Two to ratify the appointment of Deloitte &amp; Touche LLP as our independent registered public accounting firm for 2020 and Proposal Three to approve the Say-on-Pay are advisory in nature, there is no specific requirement for approval for these proposals. It will be up to the Audit Committee and the Compensation and Human Capital Committee with respect to Proposals Two and Three, respectively, as well as the Board of Directors, to determine whether and how to implement the advisory votes on the ratification of the appointment of our independent registered public accounting firm and Say-on-Pay. In addition, Proposal Four to approve a reverse stock split of our issued and outstanding common stock and reduce the number of authorized shares of our common stock by the same proportion as the ratio of our reverse stock split is also advisory in nature. Under Florida law, because we are reducing our authorized shares proportionately, our Board is not required to submit the proposal regarding our reverse stock split to shareholders and may elect, as it determines to be in the best interests of the Company and our shareholders, whether or not to effect a Reverse Stock Split, and if so, at which split ratio. However, while our Board is seeking, and will give appropriate consideration to, advisory feedback from our shareholders in the form of Proposal Four, our Board may elect to implement a Reverse Stock Split at its sole discretion, even if the proposed Reverse Stock Split is not approved by our shareholders.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89" w:lineRule="auto"/>
        <w:rPr>
          <w:sz w:val="20"/>
          <w:szCs w:val="20"/>
          <w:color w:val="auto"/>
        </w:rPr>
      </w:pPr>
      <w:r>
        <w:rPr>
          <w:rFonts w:ascii="Arial" w:cs="Arial" w:eastAsia="Arial" w:hAnsi="Arial"/>
          <w:sz w:val="16"/>
          <w:szCs w:val="16"/>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2020, Proposal Three to approve the Say-on-Pay, Proposal Four to implement a reverse stock split of our issued and outstanding common stock and reduce the number of authorized shares of our common stock by the same proportion as the ratio of our reverse stock split, or Proposal Five to authorize an adjournment of the Annual Meeting to solicit additional proxies for Proposal Four and therefore will not be counted in determining the outcome of those proposals.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or Proposal Three to approve the Say-on-Pay.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Participation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light of public health concerns regarding the coronavirus outbreak and to support the health and wellbeing of our shareholders, our directors, and our employees, we will be hosting this year’s Annual Meeting via live audiocast on the Internet at </w:t>
      </w:r>
      <w:r>
        <w:rPr>
          <w:rFonts w:ascii="Arial" w:cs="Arial" w:eastAsia="Arial" w:hAnsi="Arial"/>
          <w:sz w:val="18"/>
          <w:szCs w:val="18"/>
          <w:u w:val="single" w:color="auto"/>
          <w:color w:val="auto"/>
        </w:rPr>
        <w:t>www.virtualshareholdermeeting.com/OCN2020</w:t>
      </w:r>
      <w:r>
        <w:rPr>
          <w:rFonts w:ascii="Arial" w:cs="Arial" w:eastAsia="Arial" w:hAnsi="Arial"/>
          <w:sz w:val="18"/>
          <w:szCs w:val="18"/>
          <w:color w:val="auto"/>
        </w:rPr>
        <w:t>. You will not be able to attend the Annual Meeting in person. This does not represent a change in our stockholder engagement philosophy and we intend to return to an in-person meeting next year. Our shareholders will be afforded the same opportunities to participate at the virtual Annual Meeting as they would at an in-person annual meeting of stockholders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color w:val="auto"/>
        </w:rPr>
        <w:t>hareholders of record will be able to vote and ask questions online during the meeting. If you would like to attend the virtual Annual Meeting and you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your control number, please go to </w:t>
      </w:r>
      <w:r>
        <w:rPr>
          <w:rFonts w:ascii="Arial" w:cs="Arial" w:eastAsia="Arial" w:hAnsi="Arial"/>
          <w:sz w:val="18"/>
          <w:szCs w:val="18"/>
          <w:u w:val="single" w:color="auto"/>
          <w:color w:val="auto"/>
        </w:rPr>
        <w:t>www.virtualshareholdermeeting.com/OCN2020</w:t>
      </w:r>
      <w:r>
        <w:rPr>
          <w:rFonts w:ascii="Arial" w:cs="Arial" w:eastAsia="Arial" w:hAnsi="Arial"/>
          <w:sz w:val="18"/>
          <w:szCs w:val="18"/>
          <w:color w:val="auto"/>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cannot vote your shares at the Annual Meeting unless you have obtained a legal proxy from your Broker. Please contact your Broker for further information.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Arial" w:cs="Arial" w:eastAsia="Arial" w:hAnsi="Arial"/>
          <w:sz w:val="18"/>
          <w:szCs w:val="18"/>
          <w:u w:val="single" w:color="auto"/>
          <w:color w:val="auto"/>
        </w:rPr>
        <w:t>http://www.ocwen.com</w:t>
      </w:r>
      <w:r>
        <w:rPr>
          <w:rFonts w:ascii="Arial" w:cs="Arial" w:eastAsia="Arial" w:hAnsi="Arial"/>
          <w:sz w:val="18"/>
          <w:szCs w:val="18"/>
          <w:color w:val="auto"/>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technical assistance when logging into the virtual Annual Meeting, please call 855-449-0991 (US) or 720-378-5962 (International).</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If you plan to attend the virtual Annual Meeting, we request you notify us no less than seven days in advance at </w:t>
      </w:r>
      <w:r>
        <w:rPr>
          <w:rFonts w:ascii="Arial" w:cs="Arial" w:eastAsia="Arial" w:hAnsi="Arial"/>
          <w:sz w:val="18"/>
          <w:szCs w:val="18"/>
          <w:b w:val="1"/>
          <w:bCs w:val="1"/>
          <w:u w:val="single" w:color="auto"/>
          <w:color w:val="auto"/>
        </w:rPr>
        <w:t>shareholderrelations@ocwen.com</w:t>
      </w:r>
      <w:r>
        <w:rPr>
          <w:rFonts w:ascii="Arial" w:cs="Arial" w:eastAsia="Arial" w:hAnsi="Arial"/>
          <w:sz w:val="18"/>
          <w:szCs w:val="18"/>
          <w:b w:val="1"/>
          <w:bCs w:val="1"/>
          <w:color w:val="auto"/>
        </w:rPr>
        <w:t xml:space="preserve"> (i.e. no later than May 20, 2020) to assist us in our preparations for the virtual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by their nature address matters that are, to different degrees, uncertain. Our business has been undergoing substantial change and we are in the midst of a period of significant capital markets volatility and experiencing significant changes within the mortgage lending and servicing ecosystem which has magnified such uncertainties. In addition, there is significant uncertainty relating to the economic impact of the global COVID-19 pandemic, including the response of the U.S. government, state governments, and regulators, and disruption in the financial markets. Readers should bear these factors in mind when considering such statements and should not place undue reliance on such statements. 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those described in Ocwen’s reports and filings with the SEC, including our Annual Report on Form 10-K for the year ended December 31, 2019 and any current and quarterly reports since such date. Anyone wishing to understand Ocwen’s business should review our SEC filings. Ocwen’s forward-looking statements speak only as of the date they are made and we disclaim any obligation to update or revise forward-looking statements whether as a result of new information, future events or otherwise. Ocwen may post information that is important to investors on our website.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eleven members with the exact number to be fixed by our Board of Directors. Effective May 30, 2019, our Board of Directors fixed the number of directors at nine. Following the retirement of Robert A. Salcetti effective July 31, 2019, our Board has had eight directors. As Robert J. Lipstein has informed the Board of Directors that he does not intend to stand for re-election and is retiring from the Board of Directors immediately prior to the Annual Meeting, our Board of Directors has fixed the number of directors at seven, effective immediately prior to the commencement of the Annual Meeting.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leadership of our Board, the Company demonstrated strong execution on our key strategic initiatives throughout 2019, including integrating PHH Corporation, growing our originations platform, re-engineering our cost structure, diversifying our funding sources, and fulfilling our regulatory commitments. The Company built a significant originations platform which includes all our channels for sourcing owned MSRs and subservicing, reduced costs and complexity through a legal entity reorganization in which we merged two of our licensed operating entities, Ocwen Loan Servicing, LLC and Homeward Residential, Inc., into PHH Mortgage Corporation, and completed the transition to the Black Knight Financial Services, Inc. LoanSphere MSP® servicing system. During the current highly challenging environment created by the global COVID-19 pandemic and related disruption in the financial markets and our industry, the Board remains committed to addressing our critical near-term challenges and positioning the Company to execute on our strategic priorities while maximizing value for our shareholders.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put the Company in the best position to execute on these initiatives, the Nomination/Governance Committee and the Board evaluated the skillsets and experiential perspectives of our directors as well as individuals recommended as potential nominees and, consistent with our Board Diversity Policy and our Corporate Governance Guidelines, identified a set of director nominees with individual backgrounds that, when combined, provide a portfolio of experience and knowledge that will best serve the Company’s strategic and governance needs.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Phyllis R. Caldwell. </w:t>
      </w:r>
      <w:r>
        <w:rPr>
          <w:rFonts w:ascii="Arial" w:cs="Arial" w:eastAsia="Arial" w:hAnsi="Arial"/>
          <w:sz w:val="16"/>
          <w:szCs w:val="16"/>
          <w:color w:val="auto"/>
        </w:rPr>
        <w:t>Ms. Caldwell became Chair of the Board of Directors on March 15, 2016. Ms. Caldwell has served as a director of Ocwen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2015. Ms. Caldwell is founder and managing member of Wroxton Civic Ventures, LLC, which provides advisory services on various financial, housing and economic development matters, a position she has held since January 2012.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from November 2009 to December 2011. From December 2007 to November 2009, Ms. Caldwell was the President and Chief Executive Officer of the Washington Area Women’s Foundation. Prior to such time, Ms. Caldwell held various leadership roles in commercial real estate finance during her eleven years at Bank of America until her retirement from Bank of America in 2007, serving most recently as President of Community Development Banking. Since January 2014, Ms. Caldwell has served as an independent director of City First Bank of DC. Since October 2018, Ms. Caldwell has also served as a member of the board of directors of MicroVest Holdings, Inc. From January 2014 through September 2018, Ms. Caldwell served as an independent director of American Capital Senior Floating, Ltd. (NASDAQ: ACSF), a publicly traded business development company. Ms. Caldwell has also served on the boards of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Jenne K. Britell. </w:t>
      </w:r>
      <w:r>
        <w:rPr>
          <w:rFonts w:ascii="Arial" w:cs="Arial" w:eastAsia="Arial" w:hAnsi="Arial"/>
          <w:sz w:val="17"/>
          <w:szCs w:val="17"/>
          <w:color w:val="auto"/>
        </w:rPr>
        <w:t>Dr. Britell has served as a director of Ocwen since February 2019. Dr. Britell served as a director of United Rentals, Inc. from 2006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including as its non-executive Chairman from 2008 to 2019. Dr. Britell also served as a director of Quest Diagnostics Inc., including as a member of its Audit and Finance Committee, from 2005 to 2019. From 2000 through 2017, Dr. Britell served as a director of Crown Holdings, Inc., including as Chairman of the Audit Committee. From 2001 to 2009, Dr. Britell was Chairman and Chief Executive Officer of Structured Ventures, Inc., advisors to U.S. and multinational companies. From 1996 to 2000, Dr. Britell was a senior executive of GE Capital. At GE Capital, she most recently served as the Executive Vice President of Global Consumer Finance and President of Global Commercial and Mortgage Banking. From January 1998 to July 1999, she was President and Chief Executive Officer of GE Capital, Central and Eastern Europe. Before joining GE Capital, she held significant management positions with Dime Bancorp, Inc., HomePower, Inc., Citicorp and Republic New York Corporation. Earlier, she was the founding Chairman and Chief Executive Officer of the Polish-American Mortgage Bank. Dr. Britell’s extensive prior board service also includes serving as Lead Director for Aames Investment Corp., as a trustee for the Teachers Insurance and Annuity Association (TIAA-CREF), including as a member of its Executive, Strategic Planning, and Mortgage Banking Committees, and as a director for Lincoln National Corp., including as a member of its Audit and Governance Committees, in addition to numerous civic and philanthropic boards.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Alan J. Bowers. </w:t>
      </w:r>
      <w:r>
        <w:rPr>
          <w:rFonts w:ascii="Arial" w:cs="Arial" w:eastAsia="Arial" w:hAnsi="Arial"/>
          <w:sz w:val="16"/>
          <w:szCs w:val="16"/>
          <w:color w:val="auto"/>
        </w:rPr>
        <w:t>Mr. Bowers has served as a director of Ocwen since May 2015. Mr. Bowers has also served as a Director of Walker &amp; Dunlop,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traded commercial real estate finance company, since December 2010, serves as its Lead Director, and serves on its Audit Committee and its Nominating and Corporate Governance Committee (Chair). Mr. Bowers also serves on the board and as Audit Committee Chair of CorePoint Lodging Group, a publicly traded lodging REIT, and serves on its Nominating/Governance and Compensation Committees. From July 2013 to May 2018, Mr. Bowers served as a Director of La Quinta Inns &amp; Suites, a publicly traded hotel chain. From 2006 to 2015, Mr. Bowers served as a Director of American Achievement Corp., a privately-held manufacturer and distributer of graduation products. Prior to Mr. Bowers’ retirement in 2005, he was the President and Chief Executive Officer and a board member of Cape Success, LLC, a private equity-backed staffing service and information technology solutions business, from 2001 to 2004. Mr. Bowers was also the President and Chief Executive Officer and a board member of MarketSource Corporation, a marketing and sales support service firm, from 2000 to 2001, and of MBL Life Assurance Corporation, a life insurance company, from 1995 to 1999. Mr. Bowers previously served on the boards and as Audit Committee Chair of Refrigerated Holdings, Inc., a temperature controlled logistics firm (from January 2009 to April 2013); Roadlink Inc., a trucking and logistics firm (from February 2010 to April 2013); and Fastfrate Holdings, Inc., a Canadian trucking and logistics firm (from July 2008 to June 2011), each a privately held company. Mr. Bowers has been a Certified Public Accountant since 1978 and served as Staff Auditor, Audit Partner and Managing Partner, serving a diverse client base during his tenure at Coopers &amp; Lybrand, L.L.P. from 1978 to 1995 and as a Staff Accountant with Laventhol &amp; Horwath, CPAs from 1976 to 1978. Mr. Bowers received his Bachelor of Science in Accounting from Montclair State University and his Master of Business Administration from St. John’s University.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Jacques J. Busquet. </w:t>
      </w:r>
      <w:r>
        <w:rPr>
          <w:rFonts w:ascii="Arial" w:cs="Arial" w:eastAsia="Arial" w:hAnsi="Arial"/>
          <w:sz w:val="16"/>
          <w:szCs w:val="16"/>
          <w:color w:val="auto"/>
        </w:rPr>
        <w:t>Mr. Busquet has served as a director of Ocwen since January 2016. Mr. Busquet was formerly Chief Risk Officer and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Natixis North America LLC and a member of the Executive Committee from April 2008 to February 2015. Prior to that, Mr. Busquet was Executive Vice President and member of the Executive Committee of Calyon Americas (formerly Credit Lyonnais Americas) in charge of Risks, Compliance, Legal, Regulatory Affairs and Asset Recovery from 1998 to March 2008. Since July 1, 2016, Mr. Busquet has served as a director of Mizuho Americas LLC, the US Bank Holding Company of Mizuho Financial Group, Inc. Since 2005, Mr. Busquet has served as a director of Prolitec Inc., a privately-held commercial air scenting company. From 2012 to March 2015, Mr. Busquet was a trustee of the Institute of International Bankers. From 2003 to 2009, Mr. Busquet was a trustee of the African Wildlife Foundation and the Chair of its Audit Committee for two years. Mr. Busquet has a Master of Business Administration in Finance from each of The Wharton School of the University of Pennsylvania and Hautes Études Commerciales (HEC), Paris.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Glen A. Messina. </w:t>
      </w:r>
      <w:r>
        <w:rPr>
          <w:rFonts w:ascii="Arial" w:cs="Arial" w:eastAsia="Arial" w:hAnsi="Arial"/>
          <w:sz w:val="17"/>
          <w:szCs w:val="17"/>
          <w:color w:val="auto"/>
        </w:rPr>
        <w:t>Mr. Messina has served as President and Chief Executive Officer and as a director of Ocwen since October 2018. He previously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President and Chief Executive Officer of PHH Corporation (“PHH”) from January 2012 to June 2017 and Chief Operating Officer of PHH from July 2011 to December 2011. Mr. Messina also served as a director of PHH from January 2012 to June 2017 and as a consultant to PHH through March 2018. Prior to joining PHH, Mr. Messina spent 17 years at General Electric Company (“GE”), most recently as Chief Executive Officer of GE Chemical and Monitoring Solutions, a global water and process specialty chemicals services business, from 2008 until July 2011.</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DeForest B. Soaries Jr. </w:t>
      </w:r>
      <w:r>
        <w:rPr>
          <w:rFonts w:ascii="Arial" w:cs="Arial" w:eastAsia="Arial" w:hAnsi="Arial"/>
          <w:sz w:val="18"/>
          <w:szCs w:val="18"/>
          <w:color w:val="auto"/>
        </w:rPr>
        <w:t>Dr. Soaries has served as a director of Ocwen since January 2015. Dr. Soaries has served as Senior Pastor of First Baptist Church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Lincoln Gardens since 1990. He formerly served as New Jersey Secretary of State from 1999 to 2002 and as Chair of the United States Election Assistance Commission from 2004 to 2005. Dr. Soaries was a director of New Era Bank from 1996 to 1998. He currently serves as an independent director at Independence Realty Trust, a publicly traded real estate investment trust, a position he has held since February 2011 and is Chair of the Compensation Committee. Dr. Soaries has also served as an independent director of the Federal Home Loan Bank of New York since January 2009, where he is Chair of the Compensation and Human Resources Committee and also serves as a member of the Technology Committee and the Housing Committee. Dr. Soaries earned a Bachelor of Arts from Fordham University, a Master of Divinity from Princeton Theological Seminary and a Doctor of Ministry from United Theological Seminary.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Kevin Stein. </w:t>
      </w:r>
      <w:r>
        <w:rPr>
          <w:rFonts w:ascii="Arial" w:cs="Arial" w:eastAsia="Arial" w:hAnsi="Arial"/>
          <w:sz w:val="16"/>
          <w:szCs w:val="16"/>
          <w:color w:val="auto"/>
        </w:rPr>
        <w:t>Mr. Stein has served as a director of Ocwen since February 2019. He is a Senior Managing Director of EJF Capital LLC. From March 2017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2019, Mr. Stein served as Chief Executive Officer of Resolution Analytica Corp., a buyer of commercial judgments. From March 2016 through March 2017, he served as Senior Managing Director of KCK US, Inc., a private equity firm. Mr. Stein was previously a Managing Director in the Financial Institutions Group of Barclays until 2016. Prior to joining Barclays in 2011, Mr. Stein was a Partner at FBR Capital Markets &amp; Co. From 1994 to 2004, Mr. Stein was an executive of GreenPoint Financial Corporation, a bank holding company. Prior to joining GreenPoint in 1994, Mr. Stein was an Associate Director of the Federal Deposit Insurance Corporation, Division of Resolutions. Mr. Stein is the Audit Chair of Dime Community Bancshares, Inc., and has served as a director since December 2017. Mr. Stein also served as a director of PHH from June 2017 until its acquisition by the Company in October 2018. Mr. Stein is also a director and Chair of the Audit Committee of Bedford Stuyvesant Restoration Corporation.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Stein was selected to serve as a member of our Board of Directors due to his knowledge regarding the financial services industry and his mortgage servicing experience, including his prior service as a director of PHH.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Robert J. Lipstein. </w:t>
      </w:r>
      <w:r>
        <w:rPr>
          <w:rFonts w:ascii="Arial" w:cs="Arial" w:eastAsia="Arial" w:hAnsi="Arial"/>
          <w:sz w:val="17"/>
          <w:szCs w:val="17"/>
          <w:color w:val="auto"/>
        </w:rPr>
        <w:t>Mr. Lipstein has served as a director of Ocwen since March 2017. Since May 2019, Mr. Lipstein has served as a board member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Chair of Seacoast Banking Corp. Mr. Lipstein was formerly a partner with KPMG LLP and served as the Global IT Partner in Charge of Business Services from 2014 to 2016 and as an Advisory Business Unit Partner in Charge for its Mid-Atlantic Region from 2009 to 2014. His career at KPMG LLP began in 1977. In January 2017, he became a director at CrossCountry Consulting, a privately-held consulting firm that focuses on corporate advisory services. Since January 2013, he has served as an Advisory Board Member of the Weinberg Center for Corporate Governance at the University of Delaware. Mr. Lipstein has a Bachelor of Science in Accounting from the University of Delaware.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THAT YOU VOTE “FOR ALL” OF THE NOMINEES FOR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held 14 meetings and acted by unanimous written consent six times in 2019. Each incumbent director who served as a director during 2019 attended at least 75% of the aggregate of these meetings and all meetings held by all committees of our Board of Directors on which he or she served during 2019. Directors are expected to attend the annual meeting of shareholders (including via electronic participation) and a director who is unable to attend is expected to notify the Company Secretary in advance of such meeting. Our 2019 Annual Meeting of Shareholders was attended by all directors in office on the date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affirmatively determined that Ms. Caldwell, Messrs. Bowers, Busquet, and Stein, and Drs. Britell and Soaries are independent directors. In addition, our Board of Directors has previously determined that Mr. Salcetti, who served as a director through July 31, 2019, qualified as an independent director, and Mr. Lipstein, who is retiring immediately prior to the Annual Meeting, is an independent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2019 performance self-assessments were conducted in the first quarter of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believes that separating the positions of Chief Executive Officer and Chair is the best structure to fit the Company’s needs at this time. However, 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 As Chair of the Board, Ms. Caldwell leads the Board of Directors and oversees Board meetings and the delivery of information necessary for the Board’s informed decision-making. As our President and Chief Executive Officer, Mr. Messina is responsible for our day-to-day operations and for formulating and executing our long-term strategies in collaboration with the Board of Directors.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Compensation</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and Human</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Nomination/</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Risk and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Age</w:t>
            </w:r>
            <w:r>
              <w:rPr>
                <w:rFonts w:ascii="Arial" w:cs="Arial" w:eastAsia="Arial" w:hAnsi="Arial"/>
                <w:sz w:val="26"/>
                <w:szCs w:val="26"/>
                <w:b w:val="1"/>
                <w:bCs w:val="1"/>
                <w:color w:val="auto"/>
                <w:w w:val="85"/>
                <w:vertAlign w:val="superscript"/>
              </w:rPr>
              <w:t>(1)</w:t>
            </w:r>
          </w:p>
        </w:tc>
        <w:tc>
          <w:tcPr>
            <w:tcW w:w="100" w:type="dxa"/>
            <w:vAlign w:val="bottom"/>
            <w:vMerge w:val="restart"/>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Director</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Audit</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Capital</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Governance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Compliance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Executive</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Since</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Committee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Committee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Committee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0" w:type="dxa"/>
            <w:vAlign w:val="bottom"/>
          </w:tcPr>
          <w:p>
            <w:pPr>
              <w:spacing w:after="0"/>
              <w:rPr>
                <w:sz w:val="1"/>
                <w:szCs w:val="1"/>
                <w:color w:val="auto"/>
              </w:rPr>
            </w:pPr>
          </w:p>
        </w:tc>
      </w:tr>
      <w:tr>
        <w:trPr>
          <w:trHeight w:val="232"/>
        </w:trPr>
        <w:tc>
          <w:tcPr>
            <w:tcW w:w="1940" w:type="dxa"/>
            <w:vAlign w:val="bottom"/>
            <w:gridSpan w:val="2"/>
          </w:tcPr>
          <w:p>
            <w:pPr>
              <w:spacing w:after="0"/>
              <w:rPr>
                <w:sz w:val="20"/>
                <w:szCs w:val="20"/>
                <w:color w:val="auto"/>
              </w:rPr>
            </w:pPr>
            <w:r>
              <w:rPr>
                <w:rFonts w:ascii="Arial" w:cs="Arial" w:eastAsia="Arial" w:hAnsi="Arial"/>
                <w:sz w:val="16"/>
                <w:szCs w:val="16"/>
                <w:color w:val="auto"/>
              </w:rPr>
              <w:t>Alan J. Bowers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0"/>
                <w:szCs w:val="20"/>
                <w:color w:val="auto"/>
              </w:rPr>
            </w:pPr>
          </w:p>
        </w:tc>
        <w:tc>
          <w:tcPr>
            <w:tcW w:w="1100" w:type="dxa"/>
            <w:vAlign w:val="bottom"/>
          </w:tcPr>
          <w:p>
            <w:pPr>
              <w:jc w:val="center"/>
              <w:spacing w:after="0" w:line="232" w:lineRule="exact"/>
              <w:rPr>
                <w:sz w:val="20"/>
                <w:szCs w:val="20"/>
                <w:color w:val="auto"/>
              </w:rPr>
            </w:pPr>
            <w:r>
              <w:rPr>
                <w:rFonts w:ascii="Arial" w:cs="Arial" w:eastAsia="Arial" w:hAnsi="Arial"/>
                <w:sz w:val="26"/>
                <w:szCs w:val="26"/>
                <w:color w:val="auto"/>
                <w:vertAlign w:val="subscript"/>
              </w:rPr>
              <w:t>X</w:t>
            </w:r>
            <w:r>
              <w:rPr>
                <w:rFonts w:ascii="Arial" w:cs="Arial" w:eastAsia="Arial" w:hAnsi="Arial"/>
                <w:sz w:val="12"/>
                <w:szCs w:val="12"/>
                <w:color w:val="auto"/>
              </w:rPr>
              <w:t>(2)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940" w:type="dxa"/>
            <w:vAlign w:val="bottom"/>
            <w:gridSpan w:val="2"/>
          </w:tcPr>
          <w:p>
            <w:pPr>
              <w:spacing w:after="0"/>
              <w:rPr>
                <w:sz w:val="20"/>
                <w:szCs w:val="20"/>
                <w:color w:val="auto"/>
              </w:rPr>
            </w:pPr>
            <w:r>
              <w:rPr>
                <w:rFonts w:ascii="Arial" w:cs="Arial" w:eastAsia="Arial" w:hAnsi="Arial"/>
                <w:sz w:val="16"/>
                <w:szCs w:val="16"/>
                <w:color w:val="auto"/>
              </w:rPr>
              <w:t>Jacques J. Busquet</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line="243" w:lineRule="exact"/>
              <w:rPr>
                <w:sz w:val="20"/>
                <w:szCs w:val="20"/>
                <w:color w:val="auto"/>
              </w:rPr>
            </w:pPr>
            <w:r>
              <w:rPr>
                <w:rFonts w:ascii="Arial" w:cs="Arial" w:eastAsia="Arial" w:hAnsi="Arial"/>
                <w:sz w:val="28"/>
                <w:szCs w:val="28"/>
                <w:color w:val="auto"/>
                <w:w w:val="95"/>
                <w:vertAlign w:val="subscript"/>
              </w:rPr>
              <w:t>X</w:t>
            </w:r>
            <w:r>
              <w:rPr>
                <w:rFonts w:ascii="Arial" w:cs="Arial" w:eastAsia="Arial" w:hAnsi="Arial"/>
                <w:sz w:val="12"/>
                <w:szCs w:val="12"/>
                <w:color w:val="auto"/>
                <w:w w:val="95"/>
              </w:rPr>
              <w:t>(2)</w:t>
            </w: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rPr>
                <w:sz w:val="20"/>
                <w:szCs w:val="20"/>
                <w:color w:val="auto"/>
              </w:rPr>
            </w:pPr>
            <w:r>
              <w:rPr>
                <w:rFonts w:ascii="Arial" w:cs="Arial" w:eastAsia="Arial" w:hAnsi="Arial"/>
                <w:sz w:val="16"/>
                <w:szCs w:val="16"/>
                <w:color w:val="auto"/>
              </w:rPr>
              <w:t>Jenne K. Britell</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77</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spacing w:after="0"/>
              <w:rPr>
                <w:sz w:val="20"/>
                <w:szCs w:val="20"/>
                <w:color w:val="auto"/>
              </w:rPr>
            </w:pPr>
            <w:r>
              <w:rPr>
                <w:rFonts w:ascii="Arial" w:cs="Arial" w:eastAsia="Arial" w:hAnsi="Arial"/>
                <w:sz w:val="16"/>
                <w:szCs w:val="16"/>
                <w:color w:val="auto"/>
              </w:rPr>
              <w:t>Phyllis R. Caldwell</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line="243" w:lineRule="exact"/>
              <w:rPr>
                <w:sz w:val="20"/>
                <w:szCs w:val="20"/>
                <w:color w:val="auto"/>
              </w:rPr>
            </w:pPr>
            <w:r>
              <w:rPr>
                <w:rFonts w:ascii="Arial" w:cs="Arial" w:eastAsia="Arial" w:hAnsi="Arial"/>
                <w:sz w:val="28"/>
                <w:szCs w:val="28"/>
                <w:color w:val="auto"/>
                <w:w w:val="95"/>
                <w:vertAlign w:val="subscript"/>
              </w:rPr>
              <w:t>X</w:t>
            </w:r>
            <w:r>
              <w:rPr>
                <w:rFonts w:ascii="Arial" w:cs="Arial" w:eastAsia="Arial" w:hAnsi="Arial"/>
                <w:sz w:val="12"/>
                <w:szCs w:val="12"/>
                <w:color w:val="auto"/>
                <w:w w:val="95"/>
              </w:rPr>
              <w:t>(2)</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line="243" w:lineRule="exact"/>
              <w:rPr>
                <w:sz w:val="20"/>
                <w:szCs w:val="20"/>
                <w:color w:val="auto"/>
              </w:rPr>
            </w:pPr>
            <w:r>
              <w:rPr>
                <w:rFonts w:ascii="Arial" w:cs="Arial" w:eastAsia="Arial" w:hAnsi="Arial"/>
                <w:sz w:val="28"/>
                <w:szCs w:val="28"/>
                <w:color w:val="auto"/>
                <w:w w:val="95"/>
                <w:vertAlign w:val="subscript"/>
              </w:rPr>
              <w:t>X</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244"/>
        </w:trPr>
        <w:tc>
          <w:tcPr>
            <w:tcW w:w="1940" w:type="dxa"/>
            <w:vAlign w:val="bottom"/>
            <w:gridSpan w:val="2"/>
          </w:tcPr>
          <w:p>
            <w:pPr>
              <w:spacing w:after="0" w:line="243" w:lineRule="exact"/>
              <w:rPr>
                <w:sz w:val="20"/>
                <w:szCs w:val="20"/>
                <w:color w:val="auto"/>
              </w:rPr>
            </w:pPr>
            <w:r>
              <w:rPr>
                <w:rFonts w:ascii="Arial" w:cs="Arial" w:eastAsia="Arial" w:hAnsi="Arial"/>
                <w:sz w:val="16"/>
                <w:szCs w:val="16"/>
                <w:color w:val="auto"/>
              </w:rPr>
              <w:t>Robert J. Lipstein</w:t>
            </w:r>
            <w:r>
              <w:rPr>
                <w:rFonts w:ascii="Arial" w:cs="Arial" w:eastAsia="Arial" w:hAnsi="Arial"/>
                <w:sz w:val="26"/>
                <w:szCs w:val="26"/>
                <w:color w:val="auto"/>
                <w:vertAlign w:val="superscript"/>
              </w:rPr>
              <w:t>(3)</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spacing w:after="0"/>
              <w:rPr>
                <w:sz w:val="20"/>
                <w:szCs w:val="20"/>
                <w:color w:val="auto"/>
              </w:rPr>
            </w:pPr>
            <w:r>
              <w:rPr>
                <w:rFonts w:ascii="Arial" w:cs="Arial" w:eastAsia="Arial" w:hAnsi="Arial"/>
                <w:sz w:val="16"/>
                <w:szCs w:val="16"/>
                <w:color w:val="auto"/>
              </w:rPr>
              <w:t>Glen A. Messina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32"/>
                <w:szCs w:val="32"/>
                <w:color w:val="auto"/>
                <w:w w:val="86"/>
                <w:vertAlign w:val="subscript"/>
              </w:rPr>
              <w:t>X</w:t>
            </w:r>
            <w:r>
              <w:rPr>
                <w:rFonts w:ascii="Arial" w:cs="Arial" w:eastAsia="Arial" w:hAnsi="Arial"/>
                <w:sz w:val="13"/>
                <w:szCs w:val="13"/>
                <w:color w:val="auto"/>
                <w:w w:val="86"/>
              </w:rPr>
              <w:t>(2)</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39"/>
        </w:trPr>
        <w:tc>
          <w:tcPr>
            <w:tcW w:w="1940" w:type="dxa"/>
            <w:vAlign w:val="bottom"/>
            <w:gridSpan w:val="2"/>
          </w:tcPr>
          <w:p>
            <w:pPr>
              <w:spacing w:after="0"/>
              <w:rPr>
                <w:sz w:val="20"/>
                <w:szCs w:val="20"/>
                <w:color w:val="auto"/>
              </w:rPr>
            </w:pPr>
            <w:r>
              <w:rPr>
                <w:rFonts w:ascii="Arial" w:cs="Arial" w:eastAsia="Arial" w:hAnsi="Arial"/>
                <w:sz w:val="16"/>
                <w:szCs w:val="16"/>
                <w:color w:val="auto"/>
              </w:rPr>
              <w:t>DeForest B. Soaries, Jr.</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spacing w:after="0"/>
              <w:rPr>
                <w:sz w:val="20"/>
                <w:szCs w:val="20"/>
                <w:color w:val="auto"/>
              </w:rPr>
            </w:pPr>
            <w:r>
              <w:rPr>
                <w:rFonts w:ascii="Arial" w:cs="Arial" w:eastAsia="Arial" w:hAnsi="Arial"/>
                <w:sz w:val="16"/>
                <w:szCs w:val="16"/>
                <w:color w:val="auto"/>
              </w:rPr>
              <w:t>Kevin Stein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As of April 15, 2020</w:t>
      </w:r>
    </w:p>
    <w:p>
      <w:pPr>
        <w:spacing w:after="0" w:line="42" w:lineRule="exact"/>
        <w:rPr>
          <w:rFonts w:ascii="Arial" w:cs="Arial" w:eastAsia="Arial" w:hAnsi="Arial"/>
          <w:sz w:val="26"/>
          <w:szCs w:val="26"/>
          <w:color w:val="auto"/>
          <w:vertAlign w:val="superscript"/>
        </w:rPr>
      </w:pPr>
    </w:p>
    <w:p>
      <w:pPr>
        <w:ind w:left="220" w:hanging="212"/>
        <w:spacing w:after="0" w:line="194" w:lineRule="auto"/>
        <w:tabs>
          <w:tab w:leader="none" w:pos="22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Committee Chair</w:t>
      </w:r>
    </w:p>
    <w:p>
      <w:pPr>
        <w:spacing w:after="0" w:line="42" w:lineRule="exact"/>
        <w:rPr>
          <w:rFonts w:ascii="Arial" w:cs="Arial" w:eastAsia="Arial" w:hAnsi="Arial"/>
          <w:sz w:val="23"/>
          <w:szCs w:val="23"/>
          <w:color w:val="auto"/>
          <w:vertAlign w:val="superscript"/>
        </w:rPr>
      </w:pPr>
    </w:p>
    <w:p>
      <w:pPr>
        <w:ind w:firstLine="8"/>
        <w:spacing w:after="0"/>
        <w:tabs>
          <w:tab w:leader="none" w:pos="212"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In connection with his retirement from our Board of Directors at the Annual Meeting, Mr. Lipstein will step down from his membership on the Audit Committee.</w:t>
      </w:r>
    </w:p>
    <w:p>
      <w:pPr>
        <w:spacing w:after="0" w:line="3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public accounting firm,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reviews 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members of the Audit Committee are Messrs. Bowers (Chair), Lipstein and Stein.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other public companies.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Audit Committee generally reviews its charter annually and occasionally reviews it more frequently. When circumstances require, the charter is amended and the revised version posted on our website. This Committee met 11 times in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Compensation and Human Capital Committee. </w:t>
      </w:r>
      <w:r>
        <w:rPr>
          <w:rFonts w:ascii="Arial" w:cs="Arial" w:eastAsia="Arial" w:hAnsi="Arial"/>
          <w:sz w:val="16"/>
          <w:szCs w:val="16"/>
          <w:color w:val="auto"/>
        </w:rPr>
        <w:t>The Compensation and Human Capital Committee (Compensation Committee) of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oversees our compensation and employee benefit plans and practices.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and the 2017 Performance Incentive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members of the Compensation Committee are Dr. Soaries (Chair), Mr. Busquet and Dr. Britell.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Our Compensation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Compensation Committee generally reviews its charter annually and occasionally reviews it more frequently. When circumstances require, the charter is amended and the revised version posted on our website. This Committee met nine times in 2019.</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Soaries, Messrs. Busquet and Lipstein, and Dr. Britell served as members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during 2019. None of such members were, at any time during the 2019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2019 fiscal year. No member of the Compensation Committee had any relationship with us requiring disclosure under Item 404 of Securities and Exchange Commission Regulation S-K.</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current members of the Nomination/Governance Committee are Ms. Caldwell (Chair) and Drs. Britell and Soaries. Each member of our Nomination/Governance Committee is independent as defined in the listing standards of the New York Stock Exchange.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The Nomination/Governance Committee generally reviews its charter annually and occasionally reviews it more frequently. When circumstances require, the charter is amended and the revised version posted on our website. This Committee met 13 times in 2019.</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Risk and Compliance Committee. </w:t>
      </w:r>
      <w:r>
        <w:rPr>
          <w:rFonts w:ascii="Arial" w:cs="Arial" w:eastAsia="Arial" w:hAnsi="Arial"/>
          <w:sz w:val="16"/>
          <w:szCs w:val="16"/>
          <w:color w:val="auto"/>
        </w:rPr>
        <w:t>The Risk and Compliance Committee of our Board of Directors provides assistance to the Board of Directors with (i)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The current members of the Risk and Compliance Committee are Messrs. Busquet (Chair) and Messrs. Bowers and Stein, all of whom are independent directors as defined in the listing standards of the New York Stock Exchange.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Risk and Compliance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Risk and Compliance Committee generally reviews its charter annually and occasionally reviews it more frequently. When circumstances require, the charter will be amended and the revised version posted on our website. This Committee met eight times in 2019.</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of Directors, if necessary. The current members of the Executive Committee are Ms. Caldwell (Chair) and Messrs. Messina and Busquet.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Other Committees. </w:t>
      </w:r>
      <w:r>
        <w:rPr>
          <w:rFonts w:ascii="Arial" w:cs="Arial" w:eastAsia="Arial" w:hAnsi="Arial"/>
          <w:sz w:val="17"/>
          <w:szCs w:val="17"/>
          <w:color w:val="auto"/>
        </w:rPr>
        <w:t>Our Board of Directors has the authority to form additional standing or temporary committees, and delegate appropriate authority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Nomination/Governance Committee periodically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January 1, 2015, the Nomination/Governance Committee has recommended, and the Board of Directors has appointed, eight new independent directors, including three new independent directors appointed in 2015, two new independent directors appointed in 2016, one new independent director appointed in 2017, and two new independent directors appointed in 2019. Effective May 30, 2019, our Board of Directors fixed the number of directors at nine. Following the retirement of Mr. Salcetti effective July 31, 2019, our Board has had eight directors. As Mr. Lipstein has informed the Board of Directors that he does not intend to stand for re-election and is retiring from the Board of Directors immediately prior to the Annual Meeting, our Board of Directors has fixed the number of directors at seven, effective immediately prior to the commencement of the Annual Meeting.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In February 2019, we revised our prior policy that directors who have reached the age of 78 may generally not be nominated, as we believe it is more beneficial to focus on the qualifications, experience, and performance of our directors and director nominees and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Arial" w:cs="Arial" w:eastAsia="Arial" w:hAnsi="Arial"/>
          <w:sz w:val="16"/>
          <w:szCs w:val="16"/>
          <w:u w:val="single" w:color="auto"/>
          <w:color w:val="auto"/>
        </w:rPr>
        <w:t>www.ocwen.com.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spacing w:after="0" w:line="288" w:lineRule="auto"/>
        <w:rPr>
          <w:sz w:val="20"/>
          <w:szCs w:val="20"/>
          <w:color w:val="auto"/>
        </w:rPr>
      </w:pPr>
      <w:r>
        <w:rPr>
          <w:rFonts w:ascii="Arial" w:cs="Arial" w:eastAsia="Arial" w:hAnsi="Arial"/>
          <w:sz w:val="16"/>
          <w:szCs w:val="16"/>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diverse ethnicities, geographic origins and genders in building an inclusive corporate culture that reflects and supports Ocwen’s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you wish to recommend persons for consideration by our Nomination/Governance Committee as nominees for election to our Board of Directors, you may do so by written notice to our Secretary at Ocwen Financial Corporation, 1661 Worthington Road, Suite 100, West Palm Beach, Florida 33409. Such notice must contain all the information set forth in Section 2.2 of our Bylaws and comply with the procedures and deadline set forth therein. See “Submission of Shareholder Proposals for 2021 Annual Meeting,” below for additional information about this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against Short Sales, Hedging and Margin Accounts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Insider Trading Prevention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or engaging in any other transaction that hedges the economic risk associated with ownership of the Company’s securities. This policy is designed to encourage investment in the Company’s stock for the long term, on a buy and hold basis,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Our Nomination/Governance Committee reviews our Corporate Governance Guidelines annually and recommends amendments to the Board of Directors for approval.</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Board of Directors has also adopted a Clawback Policy as further described under “Clawback Policy” in the “Executive Compensation” section below.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Ms. Caldwell chairs executive sessions of the full Board of Directors. Our non-management directors met in executive sessions of the full Board without management during seven meetings in 2019. In addition, our Audit and Risk and Compliance Committees generally met in executive session at each regularly scheduled quarterly meeting and on other occasions when the members believed it was advisable to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with Management Independent of the Chief Executive Officer</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Chair,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General Counsel from time to time and the chair of the Risk and Compliance Committee meets independently with the Chief Risk and Compliance Officer and the General Counsel from time to time. Our directors have also visited various of our U.S. and international sites to meet generally with employees and senior management in those locations.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also write to our Board of Directors through our website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Communications received in writing are distributed to our Board of Directors or to individual directors, as the General Counsel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One of our Board of Directors’ key responsibilities is the oversight of risk associated with the Company. Certain of these responsibilities have been delegated to specific Committees, in which case the Board oversees the work of the Committee. As discussed above, our Risk and Compliance Committee is responsible for monitoring the Company’s enterprise risk management framework, and regularly meets with the Chief Risk and Compliance Officer to discuss risk exposures and mitigation plans. This Committee monitors the Company’s evaluation and management of risks, including operational risk, regulatory compliance risks and cybersecurity risks, through reviews with management and it reviews and approves related party transactions. The Audit Committee monitors the Company’s financial risks through regular reviews of the Company’s financial activities with management and internal and external auditors. The Nomination/Governance Committee monitors the Company’s governance risk by regular review with management. The Compensation Committee monitors the Company’s compensation policies and related risks by regular reviews with management. 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compensation received for fiscal year 2019 by each member of our Board of Directors who was not employed by us or one of our subsidiaries and who served as a director during fiscal year 2019 (our “non-management directors”).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Fees Earned</w:t>
            </w: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Or Paid in Cash</w:t>
            </w:r>
          </w:p>
        </w:tc>
        <w:tc>
          <w:tcPr>
            <w:tcW w:w="2100" w:type="dxa"/>
            <w:vAlign w:val="bottom"/>
            <w:gridSpan w:val="2"/>
          </w:tcPr>
          <w:p>
            <w:pPr>
              <w:jc w:val="center"/>
              <w:ind w:right="300"/>
              <w:spacing w:after="0" w:line="252" w:lineRule="exact"/>
              <w:rPr>
                <w:sz w:val="20"/>
                <w:szCs w:val="20"/>
                <w:color w:val="auto"/>
              </w:rPr>
            </w:pPr>
            <w:r>
              <w:rPr>
                <w:rFonts w:ascii="Arial" w:cs="Arial" w:eastAsia="Arial" w:hAnsi="Arial"/>
                <w:sz w:val="29"/>
                <w:szCs w:val="29"/>
                <w:b w:val="1"/>
                <w:bCs w:val="1"/>
                <w:color w:val="auto"/>
                <w:w w:val="95"/>
                <w:vertAlign w:val="subscript"/>
              </w:rPr>
              <w:t>Awards</w:t>
            </w:r>
            <w:r>
              <w:rPr>
                <w:rFonts w:ascii="Arial" w:cs="Arial" w:eastAsia="Arial" w:hAnsi="Arial"/>
                <w:sz w:val="13"/>
                <w:szCs w:val="13"/>
                <w:b w:val="1"/>
                <w:bCs w:val="1"/>
                <w:color w:val="auto"/>
                <w:w w:val="95"/>
              </w:rPr>
              <w:t>(1)(2)(3)</w:t>
            </w: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w:t>
            </w:r>
          </w:p>
        </w:tc>
      </w:tr>
      <w:tr>
        <w:trPr>
          <w:trHeight w:val="24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Phyllis R. Caldwell</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34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Jenne K. Britell </w:t>
            </w:r>
            <w:r>
              <w:rPr>
                <w:rFonts w:ascii="Arial" w:cs="Arial" w:eastAsia="Arial" w:hAnsi="Arial"/>
                <w:sz w:val="29"/>
                <w:szCs w:val="29"/>
                <w:color w:val="auto"/>
                <w:vertAlign w:val="superscript"/>
              </w:rPr>
              <w:t>(4)</w:t>
            </w:r>
          </w:p>
        </w:tc>
        <w:tc>
          <w:tcPr>
            <w:tcW w:w="1800" w:type="dxa"/>
            <w:vAlign w:val="bottom"/>
          </w:tcPr>
          <w:p>
            <w:pPr>
              <w:jc w:val="right"/>
              <w:spacing w:after="0"/>
              <w:rPr>
                <w:sz w:val="20"/>
                <w:szCs w:val="20"/>
                <w:color w:val="auto"/>
              </w:rPr>
            </w:pPr>
            <w:r>
              <w:rPr>
                <w:rFonts w:ascii="Arial" w:cs="Arial" w:eastAsia="Arial" w:hAnsi="Arial"/>
                <w:sz w:val="18"/>
                <w:szCs w:val="18"/>
                <w:color w:val="auto"/>
              </w:rPr>
              <w:t>74,460</w:t>
            </w:r>
          </w:p>
        </w:tc>
        <w:tc>
          <w:tcPr>
            <w:tcW w:w="2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125,205</w:t>
            </w: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199,665</w:t>
            </w:r>
          </w:p>
        </w:tc>
        <w:tc>
          <w:tcPr>
            <w:tcW w:w="100" w:type="dxa"/>
            <w:vAlign w:val="bottom"/>
          </w:tcPr>
          <w:p>
            <w:pPr>
              <w:spacing w:after="0"/>
              <w:rPr>
                <w:sz w:val="22"/>
                <w:szCs w:val="22"/>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J. Bowers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123,500</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223,500</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Jacques J. Busquet</w:t>
            </w:r>
          </w:p>
        </w:tc>
        <w:tc>
          <w:tcPr>
            <w:tcW w:w="1800" w:type="dxa"/>
            <w:vAlign w:val="bottom"/>
          </w:tcPr>
          <w:p>
            <w:pPr>
              <w:jc w:val="right"/>
              <w:spacing w:after="0"/>
              <w:rPr>
                <w:sz w:val="20"/>
                <w:szCs w:val="20"/>
                <w:color w:val="auto"/>
              </w:rPr>
            </w:pPr>
            <w:r>
              <w:rPr>
                <w:rFonts w:ascii="Arial" w:cs="Arial" w:eastAsia="Arial" w:hAnsi="Arial"/>
                <w:sz w:val="18"/>
                <w:szCs w:val="18"/>
                <w:color w:val="auto"/>
              </w:rPr>
              <w:t>124,500</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224,500</w:t>
            </w:r>
          </w:p>
        </w:tc>
        <w:tc>
          <w:tcPr>
            <w:tcW w:w="100" w:type="dxa"/>
            <w:vAlign w:val="bottom"/>
          </w:tcPr>
          <w:p>
            <w:pPr>
              <w:spacing w:after="0"/>
              <w:rPr>
                <w:sz w:val="18"/>
                <w:szCs w:val="18"/>
                <w:color w:val="auto"/>
              </w:rPr>
            </w:pPr>
          </w:p>
        </w:tc>
      </w:tr>
      <w:tr>
        <w:trPr>
          <w:trHeight w:val="257"/>
        </w:trPr>
        <w:tc>
          <w:tcPr>
            <w:tcW w:w="3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Carol J. Galante </w:t>
            </w:r>
            <w:r>
              <w:rPr>
                <w:rFonts w:ascii="Arial" w:cs="Arial" w:eastAsia="Arial" w:hAnsi="Arial"/>
                <w:sz w:val="29"/>
                <w:szCs w:val="29"/>
                <w:color w:val="auto"/>
                <w:vertAlign w:val="superscript"/>
              </w:rPr>
              <w:t>(5)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28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100" w:type="dxa"/>
            <w:vAlign w:val="bottom"/>
            <w:shd w:val="clear" w:color="auto" w:fill="CCEEFF"/>
          </w:tcPr>
          <w:p>
            <w:pPr>
              <w:spacing w:after="0"/>
              <w:rPr>
                <w:sz w:val="22"/>
                <w:szCs w:val="22"/>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Robert J. Lipstein</w:t>
            </w:r>
          </w:p>
        </w:tc>
        <w:tc>
          <w:tcPr>
            <w:tcW w:w="1800" w:type="dxa"/>
            <w:vAlign w:val="bottom"/>
          </w:tcPr>
          <w:p>
            <w:pPr>
              <w:jc w:val="right"/>
              <w:spacing w:after="0"/>
              <w:rPr>
                <w:sz w:val="20"/>
                <w:szCs w:val="20"/>
                <w:color w:val="auto"/>
              </w:rPr>
            </w:pPr>
            <w:r>
              <w:rPr>
                <w:rFonts w:ascii="Arial" w:cs="Arial" w:eastAsia="Arial" w:hAnsi="Arial"/>
                <w:sz w:val="18"/>
                <w:szCs w:val="18"/>
                <w:color w:val="auto"/>
              </w:rPr>
              <w:t>103,651</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203,651</w:t>
            </w:r>
          </w:p>
        </w:tc>
        <w:tc>
          <w:tcPr>
            <w:tcW w:w="100" w:type="dxa"/>
            <w:vAlign w:val="bottom"/>
          </w:tcPr>
          <w:p>
            <w:pPr>
              <w:spacing w:after="0"/>
              <w:rPr>
                <w:sz w:val="18"/>
                <w:szCs w:val="18"/>
                <w:color w:val="auto"/>
              </w:rPr>
            </w:pPr>
          </w:p>
        </w:tc>
      </w:tr>
      <w:tr>
        <w:trPr>
          <w:trHeight w:val="256"/>
        </w:trPr>
        <w:tc>
          <w:tcPr>
            <w:tcW w:w="3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Robert A. Salcetti </w:t>
            </w:r>
            <w:r>
              <w:rPr>
                <w:rFonts w:ascii="Arial" w:cs="Arial" w:eastAsia="Arial" w:hAnsi="Arial"/>
                <w:sz w:val="29"/>
                <w:szCs w:val="29"/>
                <w:color w:val="auto"/>
                <w:vertAlign w:val="superscript"/>
              </w:rPr>
              <w:t>(6)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62,686</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162,686</w:t>
            </w:r>
          </w:p>
        </w:tc>
        <w:tc>
          <w:tcPr>
            <w:tcW w:w="100" w:type="dxa"/>
            <w:vAlign w:val="bottom"/>
            <w:shd w:val="clear" w:color="auto" w:fill="CCEEFF"/>
          </w:tcPr>
          <w:p>
            <w:pPr>
              <w:spacing w:after="0"/>
              <w:rPr>
                <w:sz w:val="22"/>
                <w:szCs w:val="22"/>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DeForest B. Soaries, Jr.</w:t>
            </w:r>
          </w:p>
        </w:tc>
        <w:tc>
          <w:tcPr>
            <w:tcW w:w="1800" w:type="dxa"/>
            <w:vAlign w:val="bottom"/>
          </w:tcPr>
          <w:p>
            <w:pPr>
              <w:jc w:val="right"/>
              <w:spacing w:after="0"/>
              <w:rPr>
                <w:sz w:val="20"/>
                <w:szCs w:val="20"/>
                <w:color w:val="auto"/>
              </w:rPr>
            </w:pPr>
            <w:r>
              <w:rPr>
                <w:rFonts w:ascii="Arial" w:cs="Arial" w:eastAsia="Arial" w:hAnsi="Arial"/>
                <w:sz w:val="18"/>
                <w:szCs w:val="18"/>
                <w:color w:val="auto"/>
              </w:rPr>
              <w:t>112,000</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212,000</w:t>
            </w:r>
          </w:p>
        </w:tc>
        <w:tc>
          <w:tcPr>
            <w:tcW w:w="100" w:type="dxa"/>
            <w:vAlign w:val="bottom"/>
          </w:tcPr>
          <w:p>
            <w:pPr>
              <w:spacing w:after="0"/>
              <w:rPr>
                <w:sz w:val="18"/>
                <w:szCs w:val="18"/>
                <w:color w:val="auto"/>
              </w:rPr>
            </w:pPr>
          </w:p>
        </w:tc>
      </w:tr>
      <w:tr>
        <w:trPr>
          <w:trHeight w:val="256"/>
        </w:trPr>
        <w:tc>
          <w:tcPr>
            <w:tcW w:w="3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Kevin Stein </w:t>
            </w:r>
            <w:r>
              <w:rPr>
                <w:rFonts w:ascii="Arial" w:cs="Arial" w:eastAsia="Arial" w:hAnsi="Arial"/>
                <w:sz w:val="29"/>
                <w:szCs w:val="29"/>
                <w:color w:val="auto"/>
                <w:vertAlign w:val="superscript"/>
              </w:rPr>
              <w:t>(4)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79,657</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125,205</w:t>
            </w:r>
          </w:p>
        </w:tc>
        <w:tc>
          <w:tcPr>
            <w:tcW w:w="2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204,862</w:t>
            </w:r>
          </w:p>
        </w:tc>
        <w:tc>
          <w:tcPr>
            <w:tcW w:w="100" w:type="dxa"/>
            <w:vAlign w:val="bottom"/>
            <w:shd w:val="clear" w:color="auto" w:fill="CCEEFF"/>
          </w:tcPr>
          <w:p>
            <w:pPr>
              <w:spacing w:after="0"/>
              <w:rPr>
                <w:sz w:val="22"/>
                <w:szCs w:val="22"/>
                <w:color w:val="auto"/>
              </w:rPr>
            </w:pPr>
          </w:p>
        </w:tc>
      </w:tr>
    </w:tbl>
    <w:p>
      <w:pPr>
        <w:spacing w:after="0" w:line="202" w:lineRule="exact"/>
        <w:rPr>
          <w:sz w:val="20"/>
          <w:szCs w:val="20"/>
          <w:color w:val="auto"/>
        </w:rPr>
      </w:pPr>
    </w:p>
    <w:p>
      <w:pPr>
        <w:jc w:val="both"/>
        <w:ind w:left="340" w:hanging="332"/>
        <w:spacing w:after="0" w:line="218"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Amounts reported for stock awards represent the aggregate grant date fair value of awards granted during fiscal 2019 under the 2017 Performance Incentive Plan (the “2017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p>
      <w:pPr>
        <w:spacing w:after="0" w:line="202" w:lineRule="exact"/>
        <w:rPr>
          <w:rFonts w:ascii="Arial" w:cs="Arial" w:eastAsia="Arial" w:hAnsi="Arial"/>
          <w:sz w:val="30"/>
          <w:szCs w:val="30"/>
          <w:color w:val="auto"/>
          <w:vertAlign w:val="superscript"/>
        </w:rPr>
      </w:pPr>
    </w:p>
    <w:p>
      <w:pPr>
        <w:jc w:val="both"/>
        <w:ind w:left="340" w:hanging="332"/>
        <w:spacing w:after="0" w:line="218"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On May 30, 2019, our non-management directors received equity awards under the 2017 Plan for their service for the 2019-2020 term. Each award had a grant date fair value totaling $100,000 (with immaterial incremental value resulting from rounding to the next whole share). Each director received 62,500 restricted stock units (“RSUs”) vesting May 30, 2020 in the event each director attends at least 75% of applicable Board and committee meetings.</w:t>
      </w:r>
    </w:p>
    <w:p>
      <w:pPr>
        <w:spacing w:after="0" w:line="202" w:lineRule="exact"/>
        <w:rPr>
          <w:rFonts w:ascii="Arial" w:cs="Arial" w:eastAsia="Arial" w:hAnsi="Arial"/>
          <w:sz w:val="30"/>
          <w:szCs w:val="30"/>
          <w:color w:val="auto"/>
          <w:vertAlign w:val="superscript"/>
        </w:rPr>
      </w:pPr>
    </w:p>
    <w:p>
      <w:pPr>
        <w:jc w:val="both"/>
        <w:ind w:left="340" w:hanging="332"/>
        <w:spacing w:after="0" w:line="245" w:lineRule="auto"/>
        <w:tabs>
          <w:tab w:leader="none" w:pos="34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Our non-management directors have no shares subject to option awards or other equity awards outstanding as of December 31, 2019, other than the RSUs issued May 30, 2019, except the following issued in prior service years to directors deferring their equity compensation pursuant to the Deferral Plan for Directors: Mr. Salcetti held 79,348 RSUs deliverable January 31, 2020 (six months following the termination of his service), and Dr. Soaries holds 12,240 RSUs deliverable six months following the termination of his service and 19,901 RSUs deliverable on January 1, 2023.</w:t>
      </w:r>
    </w:p>
    <w:p>
      <w:pPr>
        <w:spacing w:after="0" w:line="199" w:lineRule="exact"/>
        <w:rPr>
          <w:rFonts w:ascii="Arial" w:cs="Arial" w:eastAsia="Arial" w:hAnsi="Arial"/>
          <w:sz w:val="27"/>
          <w:szCs w:val="27"/>
          <w:color w:val="auto"/>
          <w:vertAlign w:val="superscript"/>
        </w:rPr>
      </w:pPr>
    </w:p>
    <w:p>
      <w:pPr>
        <w:jc w:val="both"/>
        <w:ind w:left="340" w:hanging="332"/>
        <w:spacing w:after="0" w:line="209"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On February 28, 2019, the Board appointed Dr. Britell and Mr. Stein to the Board of Directors and granted each a pro-rated equity award with a grant date fair value of $25,205 corresponding to the period between the date of their appointment and the date of the 2019 Annual Meeting. Each of Dr. Britell and Mr. Stein received 11,778 RSUs which vested on May 30, 2019.</w:t>
      </w:r>
    </w:p>
    <w:p>
      <w:pPr>
        <w:spacing w:after="0" w:line="203"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Ms. Galante retired effective May 30, 2019 immediately prior to the 2019 Annual Meeting. Accordingly, she did not receive a 2019 equity award for 2019-2020 director service.</w:t>
      </w:r>
    </w:p>
    <w:p>
      <w:pPr>
        <w:spacing w:after="0" w:line="201" w:lineRule="exact"/>
        <w:rPr>
          <w:rFonts w:ascii="Arial" w:cs="Arial" w:eastAsia="Arial" w:hAnsi="Arial"/>
          <w:sz w:val="30"/>
          <w:szCs w:val="30"/>
          <w:color w:val="auto"/>
          <w:vertAlign w:val="superscript"/>
        </w:rPr>
      </w:pPr>
    </w:p>
    <w:p>
      <w:pPr>
        <w:jc w:val="both"/>
        <w:ind w:left="340" w:hanging="332"/>
        <w:spacing w:after="0" w:line="253" w:lineRule="auto"/>
        <w:tabs>
          <w:tab w:leader="none" w:pos="34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Mr. Salcetti retired effective July 31, 2019. As described in Note (2), above, director equity awards will vest May 30, 2020. Under the terms of the awards, a director who retires mid-year must attend 75% of the combined total of (i) Board meetings that occurred while he or she served on the Board during 2019 and (ii) the total number of meetings during 2019 for committees on which the director served immediately prior to retirement. If the 75% threshold is not met, the award will vest in the same proportion as the director’s attendance. Since presently unscheduled meetings may occur from the date of this Proxy Statement through May 30, 2020, it is not possible to determine what percentage of Mr. Salcetti’s $100,000 stock award will vest.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2019, we provided the following annual cash compensation to our non-management directors in quarterly installments (except as noted below):</w:t>
      </w:r>
    </w:p>
    <w:p>
      <w:pPr>
        <w:spacing w:after="0" w:line="23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retainer of $80,000;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$75,000 to the Chair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$25,000 to the Audit Committee, Compensation Committee, and Risk and Compliance Committee Chairs;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$15,000 to the Nomination/Governance Committee Chair;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additional $12,500 to all Audit Committee, Compensation Committee, and Risk and Compliance Committee members (other than the Chairs).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directors receive per-meeting fees of $1,000 per meeting for each meeting in excess of eight meetings of the Board of Directors a year. Similarly, each member of the Compensation Committee receives an additional $1,000 for attending each meeting of the Compensation Committee in excess of eight annually. Our other committee members are not compensated on a per-meeting basis.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2019 Board of Directors fee structure reflects the determination of our Compensation Committee to reduce the cash component of directors’ annual retainer fee from $100,000 to $80,000 and to reduce compensation for service as chair of the Audit, Compensation and Risk &amp; Compliance committees from $30,000 to $25,000, in each case effective as of January 1, 2019.</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February 10, 2020, the Compensation Committee determined to increase annual compensation for service as Chair of the Board from $75,000 to $100,000.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our 2017 Annual Shareholder Meeting, our shareholders approved the 2017 Performance Incentive Plan (the “2017 Plan”). Following the 2019 Annual Shareholder Meeting, each non-management member of the Board of Directors was granted an award of restricted stock units (“RSUs”) under the 2017 Plan with a grant date fair value of $100,000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2020 Annual Shareholder Meeting on May 27, 2020, each non-management member of the Board of Directors will again be granted an equity award with a grant date fair value of $100,000 (rounded to the next whole share), subject to their election to defer, as described further below. In the event we have an insufficient number of shares remaining available under the 2017 Plan at the time of the Annual Meeting, directors will be granted the right to receive cash to the extent of the available share shortfall. Payment of any cash amounts will be made on May 27, 2021 subject to the same vesting and other conditions as the RSUs.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Age</w:t>
            </w:r>
            <w:r>
              <w:rPr>
                <w:rFonts w:ascii="Arial" w:cs="Arial" w:eastAsia="Arial" w:hAnsi="Arial"/>
                <w:sz w:val="29"/>
                <w:szCs w:val="29"/>
                <w:b w:val="1"/>
                <w:bCs w:val="1"/>
                <w:color w:val="auto"/>
                <w:w w:val="83"/>
                <w:vertAlign w:val="superscript"/>
              </w:rPr>
              <w:t>(1)</w:t>
            </w:r>
          </w:p>
        </w:tc>
        <w:tc>
          <w:tcPr>
            <w:tcW w:w="6280" w:type="dxa"/>
            <w:vAlign w:val="bottom"/>
          </w:tcPr>
          <w:p>
            <w:pPr>
              <w:spacing w:after="0"/>
              <w:rPr>
                <w:sz w:val="20"/>
                <w:szCs w:val="20"/>
                <w:color w:val="auto"/>
              </w:rPr>
            </w:pPr>
            <w:r>
              <w:rPr>
                <w:rFonts w:ascii="Arial" w:cs="Arial" w:eastAsia="Arial" w:hAnsi="Arial"/>
                <w:sz w:val="18"/>
                <w:szCs w:val="18"/>
                <w:b w:val="1"/>
                <w:bCs w:val="1"/>
                <w:color w:val="auto"/>
              </w:rPr>
              <w:t>Position</w:t>
            </w:r>
            <w:r>
              <w:rPr>
                <w:rFonts w:ascii="Arial" w:cs="Arial" w:eastAsia="Arial" w:hAnsi="Arial"/>
                <w:sz w:val="29"/>
                <w:szCs w:val="29"/>
                <w:b w:val="1"/>
                <w:bCs w:val="1"/>
                <w:color w:val="auto"/>
                <w:vertAlign w:val="superscript"/>
              </w:rPr>
              <w:t>(1)</w:t>
            </w:r>
          </w:p>
        </w:tc>
      </w:tr>
      <w:tr>
        <w:trPr>
          <w:trHeight w:val="202"/>
        </w:trPr>
        <w:tc>
          <w:tcPr>
            <w:tcW w:w="3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Glen A. Messina</w:t>
            </w:r>
          </w:p>
        </w:tc>
        <w:tc>
          <w:tcPr>
            <w:tcW w:w="22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7"/>
                <w:szCs w:val="17"/>
                <w:color w:val="auto"/>
              </w:rPr>
            </w:pPr>
          </w:p>
        </w:tc>
        <w:tc>
          <w:tcPr>
            <w:tcW w:w="6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Servicing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V. Britti</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Investment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Albert J. Celini</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Risk and Compliance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Francois Grunenwald</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Joseph J. Samarias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General Counsel and Company Secretary</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Arthur C. Walker, Jr.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Senior Vice President, Global Tax</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Timothy J. Yanoti</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Growth Officer</w:t>
            </w: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74"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All age and position information set forth herein is as of April 15, 2020.</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occupation for at least the last five years, as well as certain other biographical information, for each of our executive officers who is not a director is set forth below.</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Scott W. Anderson. </w:t>
      </w:r>
      <w:r>
        <w:rPr>
          <w:rFonts w:ascii="Arial" w:cs="Arial" w:eastAsia="Arial" w:hAnsi="Arial"/>
          <w:sz w:val="17"/>
          <w:szCs w:val="17"/>
          <w:color w:val="auto"/>
        </w:rPr>
        <w:t>Mr. Anderson has served as Executive Vice President and Chief Servicing Officer since 2009, and his career with Ocwen has spanned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John V. Britti</w:t>
      </w:r>
      <w:r>
        <w:rPr>
          <w:rFonts w:ascii="Arial" w:cs="Arial" w:eastAsia="Arial" w:hAnsi="Arial"/>
          <w:sz w:val="17"/>
          <w:szCs w:val="17"/>
          <w:color w:val="auto"/>
        </w:rPr>
        <w:t>. Mr. Britti has served as Executive Vice President and Chief Investment Officer since June 2014. From July 1, 2018 through October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he also served as interim Chief Executive Officer. From September 2016 to February 2017, he served as the Interim Head of Risk Management. He previously served as Chief Financial Officer from March 2012 to June 2014 and Executive Vice President of Ocwen responsible for Finance and Business Development from January 2011 to March 2012. He has been with Ocwen since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its financial services industry group. He holds a Bachelor of Arts in Economics from the University of Maryland and a Master of Business Administration from Dartmouth’s Amos Tuck School.</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June C. Campbell</w:t>
      </w:r>
      <w:r>
        <w:rPr>
          <w:rFonts w:ascii="Arial" w:cs="Arial" w:eastAsia="Arial" w:hAnsi="Arial"/>
          <w:sz w:val="18"/>
          <w:szCs w:val="18"/>
          <w:color w:val="auto"/>
        </w:rPr>
        <w:t>. Ms. Campbell has served as Executive Vice President and Chief Financial Officer since March 2019. Ms. Campbell joined Ocwen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 Capital, the financial services unit of General Electric Company, where she held multiple senior management positions in Finance, Capital Markets and Operations during her more than 20-year career at the company. Most recently, she served as Managing Director, Global Capital Markets, a position she held since 2014. Ms. Campbell’s prior roles included serving as Chief Operating Officer for GE Capital Canada from 2011 to 2014 and Chief Financial Officer of GE Capital Real Estate Canada from 2008 to 2011. She holds a Bachelor of Science from Simmons College and a Master of Business Administration from the University of Chicago.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8"/>
          <w:szCs w:val="18"/>
          <w:b w:val="1"/>
          <w:bCs w:val="1"/>
          <w:i w:val="1"/>
          <w:iCs w:val="1"/>
          <w:color w:val="auto"/>
        </w:rPr>
        <w:t>Albert J. Celini</w:t>
      </w:r>
      <w:r>
        <w:rPr>
          <w:rFonts w:ascii="Arial" w:cs="Arial" w:eastAsia="Arial" w:hAnsi="Arial"/>
          <w:sz w:val="18"/>
          <w:szCs w:val="18"/>
          <w:color w:val="auto"/>
        </w:rPr>
        <w:t>. Mr. Celini has served as Executive Vice President and Chief Risk and Compliance Officer since May 2019. From the closing of Ocwen’s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PHH Corporation in October 2018 until May 2019, he served as Senior Vice President and Chief Risk and Compliance Officer. From November 2017 through October 2018, he served as the Chief Risk and Compliance Officer of PHH Corporation. From May 2017 through October 2018, he served as a risk management consultant to the mortgage industry with Newbold Advisors LLC, a professional services firm, and from June 2016 through April 2017, with Common Securitization Solutions LLC (a joint venture between Fannie Mae and Freddie Mac). He also previously held executive roles at Sun National Bank, Freddie Mac, and Ally Bank (formerly GMAC Bank). Mr. Celini is a Certified Public Accountant and received a Bachelor of Science in Accounting from Fordham University.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Francois Grunenwald</w:t>
      </w:r>
      <w:r>
        <w:rPr>
          <w:rFonts w:ascii="Arial" w:cs="Arial" w:eastAsia="Arial" w:hAnsi="Arial"/>
          <w:sz w:val="18"/>
          <w:szCs w:val="18"/>
          <w:color w:val="auto"/>
        </w:rPr>
        <w:t>. Mr. Grunenwald has served as our Senior Vice President and Chief Accounting Officer since August 2019. Prior to joining Ocwen,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spent the prior 20 years at PricewaterhouseCoopers, where he served in various accounting and financial advisory roles with a focus on financial services clients, including for the last 12 years as a Partner. Mr. Grunenwald is a Certified Public Account and holds a Master’s degree in Finance and Banking from the University of Paris II Panthéon-Assas.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Joseph J. Samarias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Samarias has served as Executive Vice President and General Counsel since April 2019. He previously served as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Deputy General Counsel of Ocwen since 2013. He also serves as the Company’s Chief Ethics Officer, and was appointed Company Secretary in April 2020. Prior to joining Ocwen,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Arthur C. Walker, Jr</w:t>
      </w:r>
      <w:r>
        <w:rPr>
          <w:rFonts w:ascii="Arial" w:cs="Arial" w:eastAsia="Arial" w:hAnsi="Arial"/>
          <w:sz w:val="16"/>
          <w:szCs w:val="16"/>
          <w:color w:val="auto"/>
        </w:rPr>
        <w:t>. Mr. Walker serves as our Senior Vice President, Global Tax and has been with Ocwen since August 2013. In that capacity he leads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the tax department functions for Ocwen. Mr. Walker has over nineteen years of tax experience advising public companies on domestic and international tax matters. Prior to joining Ocwen, Mr. Walker was a tax partner with the law firm of Mayer Brown LLP and had been with Mayer Brown for fourteen years. Mr. Walker has advised companies in many different industries throughout his career including financial services, technology, software, service provider, pharmaceutical, transportation, healthcare, and manufacturing. His tax practice experience has included planning, intercompany transfer pricing, structuring / restructuring of business operations, offshore intangibles, contract manufacturing, cross-border financing, mergers and acquisitions, legislation, private letter rulings, examinations and administrative appeals. Mr. Walker holds a Bachelor of Science in Business Administration from Georgetown University’s McDonough School of Business and a Juris Doctor and Master of Laws in Taxation from Georgetown University Law Center.</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Timothy J. Yanoti</w:t>
      </w:r>
      <w:r>
        <w:rPr>
          <w:rFonts w:ascii="Arial" w:cs="Arial" w:eastAsia="Arial" w:hAnsi="Arial"/>
          <w:sz w:val="16"/>
          <w:szCs w:val="16"/>
          <w:color w:val="auto"/>
        </w:rPr>
        <w:t>. Mr. Yanoti has served as Executive Vice President and Chief Growth Officer since November 2018. From 2014 through 2018, he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Co-Chairman and President of American Financial Resources, a residential mortgage originations company with over 500 employees operating in all 50 states. From 2011 through 2014, he was Senior Vice President, Head of Securitization for Fannie Mae where he was responsible for developing the Common Securitization Platform for the GSEs. Prior to joining Fannie Mae, Mr. Yanoti served as Managing Director, Head of Mortgage Banking of Knight Capital Group, a global financial services firm, and Senior Managing Director, Head of Capital Markets of National City Corporation. During his career Mr. Yanoti has also held several leadership roles at General Electric Company, including Head of Global Securitization of GE Capital and Head of Capital and Secondary Markets of GE Mortgage. Prior to entering the finance and banking industry he worked as an aerospace and software engineer. He received a Bachelor of Science from Clarkson University and a Master of Business Administration from Cornell University.</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Dennis Zeleny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Zeleny has served as Executive Vice President and Chief Administrative Officer since August 2019. In that capacity, he oversees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Ocwen’s global human resources function, corporate communications, facilities, and diversity and inclusion programs. From January through August 2019, Mr. Zeleny served Ocwen as a human resources consultant. From 2012 through 2019, Mr. Zeleny provided executive Human Capital consulting services including co-CEO Center on Executive Compensation, and an Interim CHRO for Hertz.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B.S. from Cornell University and an M.S. from the Graduate School of Business at Columbia University.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April 15, 2020 by:</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Corporate Headquarters at 1661 Worthington Road, Suite 100, West Palm Beach, Florida 33409.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is based upon information supplied to us by directors and executive officers and filings under the Securities Exchange Act of 1934, as amended. We have based our calculation of the percentage of beneficial ownership on 129,683,377 shares of our common stock outstanding as of April 15, 2020, unless otherwise noted.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205"/>
        </w:trPr>
        <w:tc>
          <w:tcPr>
            <w:tcW w:w="280" w:type="dxa"/>
            <w:vAlign w:val="bottom"/>
            <w:tcBorders>
              <w:top w:val="single" w:sz="8" w:color="auto"/>
            </w:tcBorders>
          </w:tcPr>
          <w:p>
            <w:pPr>
              <w:spacing w:after="0"/>
              <w:rPr>
                <w:sz w:val="17"/>
                <w:szCs w:val="17"/>
                <w:color w:val="auto"/>
              </w:rPr>
            </w:pPr>
          </w:p>
        </w:tc>
        <w:tc>
          <w:tcPr>
            <w:tcW w:w="6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Amount of Beneficial</w:t>
            </w:r>
          </w:p>
        </w:tc>
        <w:tc>
          <w:tcPr>
            <w:tcW w:w="2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41"/>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2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Percent of Class</w:t>
            </w:r>
          </w:p>
        </w:tc>
      </w:tr>
      <w:tr>
        <w:trPr>
          <w:trHeight w:val="242"/>
        </w:trPr>
        <w:tc>
          <w:tcPr>
            <w:tcW w:w="6300" w:type="dxa"/>
            <w:vAlign w:val="bottom"/>
            <w:tcBorders>
              <w:top w:val="single" w:sz="8" w:color="auto"/>
            </w:tcBorders>
            <w:gridSpan w:val="2"/>
            <w:shd w:val="clear" w:color="auto" w:fill="CCEEFF"/>
          </w:tcPr>
          <w:p>
            <w:pPr>
              <w:spacing w:after="0" w:line="242" w:lineRule="exact"/>
              <w:rPr>
                <w:sz w:val="20"/>
                <w:szCs w:val="20"/>
                <w:color w:val="auto"/>
              </w:rPr>
            </w:pPr>
            <w:r>
              <w:rPr>
                <w:rFonts w:ascii="Arial" w:cs="Arial" w:eastAsia="Arial" w:hAnsi="Arial"/>
                <w:sz w:val="17"/>
                <w:szCs w:val="17"/>
                <w:color w:val="auto"/>
              </w:rPr>
              <w:t>Deer Park Road Management Company, LP</w:t>
            </w:r>
            <w:r>
              <w:rPr>
                <w:rFonts w:ascii="Arial" w:cs="Arial" w:eastAsia="Arial" w:hAnsi="Arial"/>
                <w:sz w:val="28"/>
                <w:szCs w:val="28"/>
                <w:color w:val="auto"/>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1195 Bangtail Way</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Steamboat Springs, CO 80487</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13,356,147</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42"/>
        </w:trPr>
        <w:tc>
          <w:tcPr>
            <w:tcW w:w="6520" w:type="dxa"/>
            <w:vAlign w:val="bottom"/>
            <w:gridSpan w:val="3"/>
          </w:tcPr>
          <w:p>
            <w:pPr>
              <w:spacing w:after="0" w:line="242" w:lineRule="exact"/>
              <w:rPr>
                <w:sz w:val="20"/>
                <w:szCs w:val="20"/>
                <w:color w:val="auto"/>
              </w:rPr>
            </w:pPr>
            <w:r>
              <w:rPr>
                <w:rFonts w:ascii="Arial" w:cs="Arial" w:eastAsia="Arial" w:hAnsi="Arial"/>
                <w:sz w:val="17"/>
                <w:szCs w:val="17"/>
                <w:color w:val="auto"/>
              </w:rPr>
              <w:t>Leon G. Cooperman</w:t>
            </w:r>
            <w:r>
              <w:rPr>
                <w:rFonts w:ascii="Arial" w:cs="Arial" w:eastAsia="Arial" w:hAnsi="Arial"/>
                <w:sz w:val="28"/>
                <w:szCs w:val="28"/>
                <w:color w:val="auto"/>
                <w:vertAlign w:val="superscript"/>
              </w:rPr>
              <w:t>(3)</w:t>
            </w:r>
          </w:p>
        </w:tc>
        <w:tc>
          <w:tcPr>
            <w:tcW w:w="2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St. Andrew’s Country Club</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7118 Melrose Castle Lane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Boca Raton, FL 33428</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12,193,460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42"/>
        </w:trPr>
        <w:tc>
          <w:tcPr>
            <w:tcW w:w="652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(4)</w:t>
            </w:r>
          </w:p>
        </w:tc>
        <w:tc>
          <w:tcPr>
            <w:tcW w:w="2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55 East 52nd Street</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10055</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9,514,671</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42"/>
        </w:trPr>
        <w:tc>
          <w:tcPr>
            <w:tcW w:w="6520" w:type="dxa"/>
            <w:vAlign w:val="bottom"/>
            <w:gridSpan w:val="3"/>
          </w:tcPr>
          <w:p>
            <w:pPr>
              <w:spacing w:after="0" w:line="242" w:lineRule="exact"/>
              <w:rPr>
                <w:sz w:val="20"/>
                <w:szCs w:val="20"/>
                <w:color w:val="auto"/>
              </w:rPr>
            </w:pPr>
            <w:r>
              <w:rPr>
                <w:rFonts w:ascii="Arial" w:cs="Arial" w:eastAsia="Arial" w:hAnsi="Arial"/>
                <w:sz w:val="17"/>
                <w:szCs w:val="17"/>
                <w:color w:val="auto"/>
              </w:rPr>
              <w:t>Roberto Marco Sella</w:t>
            </w:r>
            <w:r>
              <w:rPr>
                <w:rFonts w:ascii="Arial" w:cs="Arial" w:eastAsia="Arial" w:hAnsi="Arial"/>
                <w:sz w:val="28"/>
                <w:szCs w:val="28"/>
                <w:color w:val="auto"/>
                <w:vertAlign w:val="superscript"/>
              </w:rPr>
              <w:t>(5)</w:t>
            </w:r>
          </w:p>
        </w:tc>
        <w:tc>
          <w:tcPr>
            <w:tcW w:w="2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2929 Arch Street, Suite 325</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Philadelphia, PA 19104</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6,821,474</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466"/>
        </w:trPr>
        <w:tc>
          <w:tcPr>
            <w:tcW w:w="6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57"/>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Scott W. Anderson</w:t>
            </w:r>
            <w:r>
              <w:rPr>
                <w:rFonts w:ascii="Arial" w:cs="Arial" w:eastAsia="Arial" w:hAnsi="Arial"/>
                <w:sz w:val="29"/>
                <w:szCs w:val="29"/>
                <w:color w:val="auto"/>
                <w:vertAlign w:val="superscript"/>
              </w:rPr>
              <w:t>(6)</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253,326</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Alan J. Bowers</w:t>
            </w:r>
            <w:r>
              <w:rPr>
                <w:rFonts w:ascii="Arial" w:cs="Arial" w:eastAsia="Arial" w:hAnsi="Arial"/>
                <w:sz w:val="29"/>
                <w:szCs w:val="29"/>
                <w:color w:val="auto"/>
                <w:vertAlign w:val="superscript"/>
              </w:rPr>
              <w:t>(7)</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151,715</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Jenne K. Britell</w:t>
            </w:r>
            <w:r>
              <w:rPr>
                <w:rFonts w:ascii="Arial" w:cs="Arial" w:eastAsia="Arial" w:hAnsi="Arial"/>
                <w:sz w:val="29"/>
                <w:szCs w:val="29"/>
                <w:color w:val="auto"/>
                <w:vertAlign w:val="superscript"/>
              </w:rPr>
              <w:t>(8)</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113,858</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Jacques J. Busquet</w:t>
            </w:r>
            <w:r>
              <w:rPr>
                <w:rFonts w:ascii="Arial" w:cs="Arial" w:eastAsia="Arial" w:hAnsi="Arial"/>
                <w:sz w:val="29"/>
                <w:szCs w:val="29"/>
                <w:color w:val="auto"/>
                <w:vertAlign w:val="superscript"/>
              </w:rPr>
              <w:t>(9)</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136,717</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Phyllis R. Caldwell</w:t>
            </w:r>
            <w:r>
              <w:rPr>
                <w:rFonts w:ascii="Arial" w:cs="Arial" w:eastAsia="Arial" w:hAnsi="Arial"/>
                <w:sz w:val="29"/>
                <w:szCs w:val="29"/>
                <w:color w:val="auto"/>
                <w:vertAlign w:val="superscript"/>
              </w:rPr>
              <w:t>(10)</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285,651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June C. Campbell</w:t>
            </w:r>
            <w:r>
              <w:rPr>
                <w:rFonts w:ascii="Arial" w:cs="Arial" w:eastAsia="Arial" w:hAnsi="Arial"/>
                <w:sz w:val="29"/>
                <w:szCs w:val="29"/>
                <w:color w:val="auto"/>
                <w:vertAlign w:val="superscript"/>
              </w:rPr>
              <w:t>(11)</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83,377</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Catherine M. Dondzila</w:t>
            </w:r>
            <w:r>
              <w:rPr>
                <w:rFonts w:ascii="Arial" w:cs="Arial" w:eastAsia="Arial" w:hAnsi="Arial"/>
                <w:sz w:val="29"/>
                <w:szCs w:val="29"/>
                <w:color w:val="auto"/>
                <w:vertAlign w:val="superscript"/>
              </w:rPr>
              <w:t>(12)</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Robert J. Lipstein</w:t>
            </w:r>
            <w:r>
              <w:rPr>
                <w:rFonts w:ascii="Arial" w:cs="Arial" w:eastAsia="Arial" w:hAnsi="Arial"/>
                <w:sz w:val="29"/>
                <w:szCs w:val="29"/>
                <w:color w:val="auto"/>
                <w:vertAlign w:val="superscript"/>
              </w:rPr>
              <w:t>(13)</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333,052</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Glen A. Messina</w:t>
            </w:r>
            <w:r>
              <w:rPr>
                <w:rFonts w:ascii="Arial" w:cs="Arial" w:eastAsia="Arial" w:hAnsi="Arial"/>
                <w:sz w:val="29"/>
                <w:szCs w:val="29"/>
                <w:color w:val="auto"/>
                <w:vertAlign w:val="superscript"/>
              </w:rPr>
              <w:t>(14)</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674,242</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9"/>
                <w:szCs w:val="29"/>
                <w:color w:val="auto"/>
                <w:vertAlign w:val="superscript"/>
              </w:rPr>
              <w:t>(15)</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59,447</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Kevin Stein</w:t>
            </w:r>
            <w:r>
              <w:rPr>
                <w:rFonts w:ascii="Arial" w:cs="Arial" w:eastAsia="Arial" w:hAnsi="Arial"/>
                <w:sz w:val="29"/>
                <w:szCs w:val="29"/>
                <w:color w:val="auto"/>
                <w:vertAlign w:val="superscript"/>
              </w:rPr>
              <w:t>(16)</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104,278</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spacing w:after="0" w:line="256" w:lineRule="exact"/>
              <w:rPr>
                <w:sz w:val="20"/>
                <w:szCs w:val="20"/>
                <w:color w:val="auto"/>
              </w:rPr>
            </w:pPr>
            <w:r>
              <w:rPr>
                <w:rFonts w:ascii="Arial" w:cs="Arial" w:eastAsia="Arial" w:hAnsi="Arial"/>
                <w:sz w:val="18"/>
                <w:szCs w:val="18"/>
                <w:color w:val="auto"/>
              </w:rPr>
              <w:t>Timothy J. Yanoti</w:t>
            </w:r>
            <w:r>
              <w:rPr>
                <w:rFonts w:ascii="Arial" w:cs="Arial" w:eastAsia="Arial" w:hAnsi="Arial"/>
                <w:sz w:val="29"/>
                <w:szCs w:val="29"/>
                <w:color w:val="auto"/>
                <w:vertAlign w:val="superscript"/>
              </w:rPr>
              <w:t>(17)</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107,785</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Dennis Zeleny</w:t>
            </w:r>
            <w:r>
              <w:rPr>
                <w:rFonts w:ascii="Arial" w:cs="Arial" w:eastAsia="Arial" w:hAnsi="Arial"/>
                <w:sz w:val="29"/>
                <w:szCs w:val="29"/>
                <w:color w:val="auto"/>
                <w:vertAlign w:val="superscript"/>
              </w:rPr>
              <w:t>(18)</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6520" w:type="dxa"/>
            <w:vAlign w:val="bottom"/>
            <w:gridSpan w:val="3"/>
          </w:tcPr>
          <w:p>
            <w:pPr>
              <w:spacing w:after="0"/>
              <w:rPr>
                <w:sz w:val="20"/>
                <w:szCs w:val="20"/>
                <w:color w:val="auto"/>
              </w:rPr>
            </w:pPr>
            <w:r>
              <w:rPr>
                <w:rFonts w:ascii="Arial" w:cs="Arial" w:eastAsia="Arial" w:hAnsi="Arial"/>
                <w:sz w:val="18"/>
                <w:szCs w:val="18"/>
                <w:color w:val="auto"/>
              </w:rPr>
              <w:t>All Current Directors and Executive Officers as a Group (17 persons)</w:t>
            </w:r>
            <w:r>
              <w:rPr>
                <w:rFonts w:ascii="Arial" w:cs="Arial" w:eastAsia="Arial" w:hAnsi="Arial"/>
                <w:sz w:val="29"/>
                <w:szCs w:val="29"/>
                <w:color w:val="auto"/>
                <w:vertAlign w:val="superscript"/>
              </w:rPr>
              <w:t>(19)</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2,777,229</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98"/>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6240" w:type="dxa"/>
            <w:vAlign w:val="bottom"/>
            <w:gridSpan w:val="2"/>
          </w:tcPr>
          <w:p>
            <w:pPr>
              <w:ind w:left="180"/>
              <w:spacing w:after="0"/>
              <w:rPr>
                <w:sz w:val="20"/>
                <w:szCs w:val="20"/>
                <w:color w:val="auto"/>
              </w:rPr>
            </w:pPr>
            <w:r>
              <w:rPr>
                <w:rFonts w:ascii="Arial" w:cs="Arial" w:eastAsia="Arial" w:hAnsi="Arial"/>
                <w:sz w:val="18"/>
                <w:szCs w:val="18"/>
                <w:color w:val="auto"/>
              </w:rPr>
              <w:t>Less than 1%</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jc w:val="both"/>
        <w:ind w:left="460" w:hanging="452"/>
        <w:spacing w:after="0" w:line="279"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purposes of this table, an individual is considered the beneficial owner of shares of common stock if he or she has the right to acquire such common stock within 60 days of April 15, 2020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71" w:lineRule="exact"/>
        <w:rPr>
          <w:rFonts w:ascii="Arial" w:cs="Arial" w:eastAsia="Arial" w:hAnsi="Arial"/>
          <w:sz w:val="17"/>
          <w:szCs w:val="17"/>
          <w:color w:val="auto"/>
        </w:rPr>
      </w:pPr>
    </w:p>
    <w:p>
      <w:pPr>
        <w:jc w:val="both"/>
        <w:ind w:left="460" w:hanging="452"/>
        <w:spacing w:after="0" w:line="289"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Deer Park Road Management Company, LP: Based solely on information contained in a Schedule 13G/A filed with the Securities and Exchange Commission on February 14, 2020, reporting securities deemed to be beneficially owned as of December 31, 2019, by Deer Park Road Management Company, LP (“Deer Park”); Deer Park Road Management GP, LLC (“DPRM”); Deer Park Road Corporation (“DPRC”); Michael Craig-Scheckman (“Mr. Craig-Scheckman”); AgateCreek LLC (“AgateCreek”); and Scott Edward Burg (“Mr. Burg”), each of which reports shared voting and dispositive power of 13,356,147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6" w:name="page27"/>
    <w:bookmarkEnd w:id="26"/>
    <w:p>
      <w:pPr>
        <w:jc w:val="both"/>
        <w:ind w:left="452" w:hanging="452"/>
        <w:spacing w:after="0" w:line="288"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Cooperman: Based solely on information contained in a Schedule 13G/A filed with the Securities and Exchange Commission on February 14, 2020 reporting securities beneficially owned as of December 31, 2019. Mr. Cooperman is the Managing Member of Omega Associates, L.L.C. (“Associates”), a limited liability company organized under the laws of the State of Delaware. Associates is a private investment firm formed to invest in and act as general partner of investment partnerships or similar investment vehicles. Associates is the general partner of a limited partnership organized under the laws of Delaware known as Omega Capital Partners, L.P. (“Capital LP”), a private investment firm comprised of Cooperman family funds engaged in the purchase and sale of securities for investment for its own account. Mr. Cooperman is the ultimate controlling person of Associates and Capital LP. Mr. Cooperman is married to an individual named Toby Cooperman, and has an adult son named Michael S. Cooperman. Mr. Cooperman has investment authority over the shares held by Toby Cooperman and Michael S. Cooperman. Mr. Cooperman reports sole voting and dispositive power with respect to 12,193,460 shares, which consists of 10,193,460 shares owned by Capital LP, 1,000,000 shares owned by Mr. Cooperman, 500,000 shares owned by Toby Cooperman, and 500,000 shares owned by Michael S. Cooperman.</w:t>
      </w:r>
    </w:p>
    <w:p>
      <w:pPr>
        <w:spacing w:after="0" w:line="168" w:lineRule="exact"/>
        <w:rPr>
          <w:rFonts w:ascii="Arial" w:cs="Arial" w:eastAsia="Arial" w:hAnsi="Arial"/>
          <w:sz w:val="16"/>
          <w:szCs w:val="16"/>
          <w:color w:val="auto"/>
        </w:rPr>
      </w:pPr>
    </w:p>
    <w:p>
      <w:pPr>
        <w:jc w:val="both"/>
        <w:ind w:left="452" w:hanging="452"/>
        <w:spacing w:after="0" w:line="291"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BlackRock, Inc.: Based solely on information contained in a Schedule 13G/A filed with the Securities and Exchange Commission on February 5, 2020 reporting securities deemed to be beneficially owned as of December 31, 2019, by BlackRock, Inc. Pursuant to the Schedule 13G/A, BlackRock, Inc. has sole voting power over 9,129,512 shares and sole dispositive power over 9,514,671 shares and is reporting beneficial ownership of the shares as the parent holding company or control person of BlackRock Advisors, LLC, BlackRock Investment Management (UK) Limited, BlackRock Asset Management Canada Limited, BlackRock Investment Management (Australia) Limited, BlackRock (Netherlands) B.V., BlackRock Fund Advisors, BlackRock Asset Management Ireland Limited, BlackRock Institutional Trust Company, National Association, BlackRock Financial Management, Inc., BlackRock Asset Management Schweiz AG, and BlackRock Investment Management, LLC.</w:t>
      </w:r>
    </w:p>
    <w:p>
      <w:pPr>
        <w:spacing w:after="0" w:line="166" w:lineRule="exact"/>
        <w:rPr>
          <w:rFonts w:ascii="Arial" w:cs="Arial" w:eastAsia="Arial" w:hAnsi="Arial"/>
          <w:sz w:val="16"/>
          <w:szCs w:val="16"/>
          <w:color w:val="auto"/>
        </w:rPr>
      </w:pPr>
    </w:p>
    <w:p>
      <w:pPr>
        <w:jc w:val="both"/>
        <w:ind w:left="452" w:hanging="452"/>
        <w:spacing w:after="0" w:line="272" w:lineRule="auto"/>
        <w:tabs>
          <w:tab w:leader="none" w:pos="4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Sella: Based solely on information contained in a Schedule 13G/A filed with the Securities and Exchange Commission on February 6, 2020 reporting securities beneficially owned as of December 31, 2019, Mr. Sella reports sole voting and dispositive power with respect to 6,480,400 shares, consisting of 6,139,326 shares held of record by Roberto Marco Sella and 341,074 shares held of record by LL Charitable Foundation, of which Mr. Sella serves as President. Mr. Sella reports shared voting and dispositive power with respect to 341,074 shares held of record by the Roberto Sella 2012 Family Trust (the “Trust”). Francine Sella, Mr. Sella’s spouse, and Mr. Sella’s minor children are beneficiaries of the Trust. Francine Sella is a co-trustee of the Trust and in such capacity, Francine Sella has voting power over and power to dispose of the 341,074 shares of Common Stock held by the Trust. Mr. Sella is not a beneficiary of the Trust.</w:t>
      </w:r>
    </w:p>
    <w:p>
      <w:pPr>
        <w:spacing w:after="0" w:line="177" w:lineRule="exact"/>
        <w:rPr>
          <w:rFonts w:ascii="Arial" w:cs="Arial" w:eastAsia="Arial" w:hAnsi="Arial"/>
          <w:sz w:val="17"/>
          <w:szCs w:val="17"/>
          <w:color w:val="auto"/>
        </w:rPr>
      </w:pPr>
    </w:p>
    <w:p>
      <w:pPr>
        <w:ind w:left="452"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Anderson serves as Executive Vice President and Chief Servicing Officer. Includes shares underlying 55,272 options which are presently exercisable and 16,875 options which could become exercisable within 60 days of April 15, 2020.</w:t>
      </w:r>
    </w:p>
    <w:p>
      <w:pPr>
        <w:spacing w:after="0" w:line="17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Bowers serves as a director. Includes shares underlying 62,500 RSUs which will vest May 27, 2020 subject to certain conditions relating to the individual’s service as a director.</w:t>
      </w:r>
    </w:p>
    <w:p>
      <w:pPr>
        <w:spacing w:after="0" w:line="17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Britell serves as a director. Includes shares underlying 62,500 RSUs which will vest May 27, 2020 subject to certain conditions relating to the individual’s service as a director. Also includes 39,580 shares held by trust.</w:t>
      </w:r>
    </w:p>
    <w:p>
      <w:pPr>
        <w:spacing w:after="0" w:line="170"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Busquet serves as a director. Does not include shares underlying 62,500 RSUs which will vest May 27, 2020 subject to certain conditions relating to the individual’s service as a director but which are not settleable until June 1, 2022.</w:t>
      </w:r>
    </w:p>
    <w:p>
      <w:pPr>
        <w:spacing w:after="0" w:line="17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Ms. Caldwell serves as Chair of the Board of Directors. Includes shares underlying 62,500 RSUs which will vest May 27, 2020 subject to certain conditions relating to the individual’s service as a director.</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27" w:name="page28"/>
    <w:bookmarkEnd w:id="27"/>
    <w:p>
      <w:pPr>
        <w:jc w:val="both"/>
        <w:ind w:left="452" w:hanging="452"/>
        <w:spacing w:after="0" w:line="342"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Campbell serves as Executive Vice President and Chief Financial Officer. Includes shares underlying 11,060 options which are presently exercisable and 19,201 restricted stock units which could vest within 60 days of April 15, 2020. Also includes 47,638 shares held jointly with spouse.</w:t>
      </w:r>
    </w:p>
    <w:p>
      <w:pPr>
        <w:spacing w:after="0" w:line="123" w:lineRule="exact"/>
        <w:rPr>
          <w:rFonts w:ascii="Arial" w:cs="Arial" w:eastAsia="Arial" w:hAnsi="Arial"/>
          <w:sz w:val="16"/>
          <w:szCs w:val="16"/>
          <w:color w:val="auto"/>
        </w:rPr>
      </w:pPr>
    </w:p>
    <w:p>
      <w:pPr>
        <w:ind w:left="492" w:hanging="492"/>
        <w:spacing w:after="0"/>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Dondzila served as principal financial officer from July 17, 2018 through March 3, 2019.</w:t>
      </w:r>
    </w:p>
    <w:p>
      <w:pPr>
        <w:spacing w:after="0" w:line="225" w:lineRule="exact"/>
        <w:rPr>
          <w:rFonts w:ascii="Arial" w:cs="Arial" w:eastAsia="Arial" w:hAnsi="Arial"/>
          <w:sz w:val="18"/>
          <w:szCs w:val="18"/>
          <w:color w:val="auto"/>
        </w:rPr>
      </w:pPr>
    </w:p>
    <w:p>
      <w:pPr>
        <w:jc w:val="both"/>
        <w:ind w:left="452" w:hanging="452"/>
        <w:spacing w:after="0" w:line="263"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Lipstein serves as a director. Includes shares underlying 62,500 RSUs which will vest May 27, 2020 subject to certain conditions relating to the individual’s service as a director. Mr. Lipstein has announced his retirement from the Board, effective immediately prior to the commencement of the Annual Meeting.</w:t>
      </w:r>
    </w:p>
    <w:p>
      <w:pPr>
        <w:spacing w:after="0" w:line="183"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Messina serves as President, Chief Executive Officer, and a director. Includes shares underlying 88,996 options which are presently exercisable. Also includes 308,300 shares held jointly with spouse.</w:t>
      </w:r>
    </w:p>
    <w:p>
      <w:pPr>
        <w:spacing w:after="0" w:line="170"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 Soaries serves as a director. Does not include shares underlying 62,500 RSUs which will vest May 27, 2020 subject to certain conditions relating to the individual’s service as a director but which are not settleable until the six-month anniversary of the director’s termination of service, 12,240 shares underlying vested RSUs which are not settleable until the six-month anniversary of the director’s termination of service, and 19,901 shares underlying vested RSUs which are not settleable until January 1, 2023.</w:t>
      </w:r>
    </w:p>
    <w:p>
      <w:pPr>
        <w:spacing w:after="0" w:line="186"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Stein serves as a director. Includes shares underlying 62,500 RSUs which will vest May 27, 2020 subject to certain conditions relating to the individual’s service as a director. Also includes 30,000 shares held by trust.</w:t>
      </w:r>
    </w:p>
    <w:p>
      <w:pPr>
        <w:spacing w:after="0" w:line="170"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Mr. Yanoti serves as Executive Vice President and Chief Growth Officer. Includes shares underlying 27,131 options which are presently exercisable and 23,255 restricted stock units which could vest within 60 days of April 15, 2020. Also includes 10,000 shares held by spouse.</w:t>
      </w:r>
    </w:p>
    <w:p>
      <w:pPr>
        <w:spacing w:after="0" w:line="146" w:lineRule="exact"/>
        <w:rPr>
          <w:rFonts w:ascii="Arial" w:cs="Arial" w:eastAsia="Arial" w:hAnsi="Arial"/>
          <w:sz w:val="17"/>
          <w:szCs w:val="17"/>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Zeleny serves as Executive Vice President and Chief Administrative Officer.</w:t>
      </w:r>
    </w:p>
    <w:p>
      <w:pPr>
        <w:spacing w:after="0" w:line="225" w:lineRule="exact"/>
        <w:rPr>
          <w:rFonts w:ascii="Arial" w:cs="Arial" w:eastAsia="Arial" w:hAnsi="Arial"/>
          <w:sz w:val="18"/>
          <w:szCs w:val="18"/>
          <w:color w:val="auto"/>
        </w:rPr>
      </w:pPr>
    </w:p>
    <w:p>
      <w:pPr>
        <w:jc w:val="both"/>
        <w:ind w:left="452" w:hanging="452"/>
        <w:spacing w:after="0" w:line="301"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shares underlying 355,041 stock options which are presently exercisable, 26,250 stock options which could become exercisable within 60 days, and 42,456 restricted stock units which could vest within 60 days of April 15, 2020. Excludes shares beneficially owned by Catherine D. Dondzila, who is a Named Executive Officer for SEC purposes but not a current executive officer, and includes shares beneficially owned by John V. Britti, Albert. J Celini, Joseph J. Samarias, and Arthur C. Walker, Jr., who are current executive officers but not Named Executive Officers.</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Number of securities to</w:t>
            </w:r>
          </w:p>
        </w:tc>
        <w:tc>
          <w:tcPr>
            <w:tcW w:w="2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 average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be issued upon exercise</w:t>
            </w:r>
          </w:p>
        </w:tc>
        <w:tc>
          <w:tcPr>
            <w:tcW w:w="2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of outstanding options,</w:t>
            </w:r>
          </w:p>
        </w:tc>
        <w:tc>
          <w:tcPr>
            <w:tcW w:w="2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equity compensation</w:t>
            </w:r>
          </w:p>
        </w:tc>
      </w:tr>
      <w:tr>
        <w:trPr>
          <w:trHeight w:val="224"/>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warrants and rights</w:t>
            </w:r>
          </w:p>
        </w:tc>
        <w:tc>
          <w:tcPr>
            <w:tcW w:w="2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warrants and rights</w:t>
            </w:r>
          </w:p>
        </w:tc>
        <w:tc>
          <w:tcPr>
            <w:tcW w:w="2460" w:type="dxa"/>
            <w:vAlign w:val="bottom"/>
            <w:gridSpan w:val="2"/>
          </w:tcPr>
          <w:p>
            <w:pPr>
              <w:jc w:val="center"/>
              <w:ind w:right="120"/>
              <w:spacing w:after="0" w:line="223" w:lineRule="exact"/>
              <w:rPr>
                <w:sz w:val="20"/>
                <w:szCs w:val="20"/>
                <w:color w:val="auto"/>
              </w:rPr>
            </w:pPr>
            <w:r>
              <w:rPr>
                <w:rFonts w:ascii="Arial" w:cs="Arial" w:eastAsia="Arial" w:hAnsi="Arial"/>
                <w:sz w:val="16"/>
                <w:szCs w:val="16"/>
                <w:b w:val="1"/>
                <w:bCs w:val="1"/>
                <w:color w:val="auto"/>
                <w:w w:val="93"/>
              </w:rPr>
              <w:t>plans</w:t>
            </w:r>
            <w:r>
              <w:rPr>
                <w:rFonts w:ascii="Arial" w:cs="Arial" w:eastAsia="Arial" w:hAnsi="Arial"/>
                <w:sz w:val="25"/>
                <w:szCs w:val="25"/>
                <w:color w:val="auto"/>
                <w:w w:val="93"/>
                <w:vertAlign w:val="superscript"/>
              </w:rPr>
              <w:t>(3)</w:t>
            </w:r>
          </w:p>
        </w:tc>
      </w:tr>
      <w:tr>
        <w:trPr>
          <w:trHeight w:val="27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38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color w:val="auto"/>
                <w:w w:val="83"/>
                <w:vertAlign w:val="superscript"/>
              </w:rPr>
              <w:t>(1)</w:t>
            </w:r>
          </w:p>
        </w:tc>
        <w:tc>
          <w:tcPr>
            <w:tcW w:w="340" w:type="dxa"/>
            <w:vAlign w:val="bottom"/>
          </w:tcPr>
          <w:p>
            <w:pPr>
              <w:spacing w:after="0"/>
              <w:rPr>
                <w:sz w:val="23"/>
                <w:szCs w:val="23"/>
                <w:color w:val="auto"/>
              </w:rPr>
            </w:pPr>
          </w:p>
        </w:tc>
        <w:tc>
          <w:tcPr>
            <w:tcW w:w="236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color w:val="auto"/>
                <w:w w:val="83"/>
                <w:vertAlign w:val="superscript"/>
              </w:rPr>
              <w:t>(2)</w:t>
            </w:r>
          </w:p>
        </w:tc>
        <w:tc>
          <w:tcPr>
            <w:tcW w:w="320" w:type="dxa"/>
            <w:vAlign w:val="bottom"/>
          </w:tcPr>
          <w:p>
            <w:pPr>
              <w:spacing w:after="0"/>
              <w:rPr>
                <w:sz w:val="23"/>
                <w:szCs w:val="23"/>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3"/>
                <w:szCs w:val="23"/>
                <w:color w:val="auto"/>
              </w:rPr>
            </w:pPr>
          </w:p>
        </w:tc>
      </w:tr>
      <w:tr>
        <w:trPr>
          <w:trHeight w:val="202"/>
        </w:trPr>
        <w:tc>
          <w:tcPr>
            <w:tcW w:w="31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2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2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4,638,556</w:t>
            </w:r>
          </w:p>
        </w:tc>
        <w:tc>
          <w:tcPr>
            <w:tcW w:w="2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20.16</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6,841,386</w:t>
            </w: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2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4,638,556</w:t>
            </w:r>
          </w:p>
        </w:tc>
        <w:tc>
          <w:tcPr>
            <w:tcW w:w="2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20.16</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6,841,386</w:t>
            </w:r>
          </w:p>
        </w:tc>
      </w:tr>
    </w:tbl>
    <w:p>
      <w:pPr>
        <w:spacing w:after="0" w:line="202" w:lineRule="exact"/>
        <w:rPr>
          <w:sz w:val="20"/>
          <w:szCs w:val="20"/>
          <w:color w:val="auto"/>
        </w:rPr>
      </w:pPr>
    </w:p>
    <w:p>
      <w:pPr>
        <w:ind w:left="460" w:hanging="452"/>
        <w:spacing w:after="0" w:line="202" w:lineRule="auto"/>
        <w:tabs>
          <w:tab w:leader="none" w:pos="46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Includes 1,979,431 shares subject to outstanding stock option awards and 2,659,125 shares subject to outstanding restricted stock unit awards (including outstanding performance-based restricted stock unit awards, which are presented at their target level of performance).</w:t>
      </w:r>
    </w:p>
    <w:p>
      <w:pPr>
        <w:spacing w:after="0" w:line="88" w:lineRule="exact"/>
        <w:rPr>
          <w:rFonts w:ascii="Arial" w:cs="Arial" w:eastAsia="Arial" w:hAnsi="Arial"/>
          <w:sz w:val="29"/>
          <w:szCs w:val="29"/>
          <w:color w:val="auto"/>
          <w:vertAlign w:val="superscript"/>
        </w:rPr>
      </w:pPr>
    </w:p>
    <w:p>
      <w:pPr>
        <w:ind w:left="460" w:hanging="452"/>
        <w:spacing w:after="0"/>
        <w:tabs>
          <w:tab w:leader="none" w:pos="46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Calculated exclusive of outstanding restricted stock unit awards, which do not have an exercise price.</w:t>
      </w:r>
    </w:p>
    <w:p>
      <w:pPr>
        <w:spacing w:after="0" w:line="201" w:lineRule="exact"/>
        <w:rPr>
          <w:rFonts w:ascii="Arial" w:cs="Arial" w:eastAsia="Arial" w:hAnsi="Arial"/>
          <w:sz w:val="30"/>
          <w:szCs w:val="30"/>
          <w:color w:val="auto"/>
          <w:vertAlign w:val="superscript"/>
        </w:rPr>
      </w:pPr>
    </w:p>
    <w:p>
      <w:pPr>
        <w:jc w:val="both"/>
        <w:ind w:left="460" w:hanging="452"/>
        <w:spacing w:after="0" w:line="246" w:lineRule="auto"/>
        <w:tabs>
          <w:tab w:leader="none" w:pos="46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Represents 6,841,386 shares available for new award grants under the Company’s 2017 Performance Incentive Plan (the “2017 Plan”) as of December 31, 2019. Each share issued under the 2017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2017 Plan, any shares subject to (1) restricted stock and restricted stock unit awards or (2) stock options granted under our 2007 Equity Incentive Plan that are presently outstanding which are subsequently forfeited, terminated, canceled, or otherwise reacquired by the Company will increase the pool of shares available for new awards under the 2017 Plan at the rate of 1.2 shares or 1.0 shares, respectively. Long-term incentive awards issued in the form of cash-settled restricted stock units do not reduce available shares under the 2017 Plan.</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executive officers, directors and persons who own more than 10% of our common stock to file reports of ownership and changes in ownership with the Securities and Exchange Commission. Based solely upon a review of reports filed electronically with the Securities and Exchange Commission during the 2019 fiscal year, or written representations from certain reporting persons that no Forms 5 were required, we believe that all filing requirements applicable to our officers and directors and greater than 10% beneficial owners were complied with during the 2019 fiscal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LETTER FROM COMPENSATION COMMITTEE AND BOARD CHAIRS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following Compensation Discussion and Analysis we have provided the context and rationale the Compensation and Human Capital Committee (Compensation Committee) used in crafting the framework and determining the compensation for our named executive officers in 2019.</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begin with, 2019 was a year that required the management team and the broader employee population to work with remarkable focus and resiliency to execute against our key business initiatives following the acquisition of PHH Corporation (PHH) in October of 2018.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aim of these initiatives was to return Ocwen to profitability in the shortest timeframe possible within an appropriate risk and compliance environment and to enable a sustainable business model with potential to create value for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five initiatives were: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Execute the integration of PHH into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Re-engineer our cost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funding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Replenish portfolio runoff and restore a growth focus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Fulfill regulatory commitments and resolve remaining legacy matters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we embarked on 2019, the Compensation Committee approved a 2019 Annual Incentive Plan for management containing ten objectives that linked directly to the above initiatives in order to align management’s annual bonus opportunity to executing on our strategy to create value for shareholders.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to ensure a strong alignment between the compensation of our management team and results for our shareholders, in 2019, the Compensation Committee took two important actions to re-orient compensation for the management team towards shareholder outcomes in very substantive ways.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First, the management team went from having zero percent of their target annual compensation tied to Ocwen’s stock price performance to having an average of 40% of it tied to Ocwen’s stock performance, with half of that value forfeitable unless a defined total shareholder return (TSR) threshold was met.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 the Compensation Committee reduced the bonus payout payable for 2018 performance to members of the senior management team by 35% and instead provided a “transitional” three-year long-term incentive opportunity which would only be realized if the Company achieved compounded annual growth of 16.7% in its stock price over the ensuing three-year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feedback we received during our shareholder outreach initiative to shareholders who collectively hold more than 58% of our stock and looking back on the Company’s performance during 2019, we believe the compensation framework developed and the objectives against which we held management accountable were indeed the most important ones for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invite you to read the following Compensation Discussion and Analysis for further details on our decisions relating to compensation during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further shareholder engagement.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DeForest B. Soaries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Chair, Compensation and Human Capital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design and the application of our executive compensation programs take shape and are delivered within the context of Ocwen’s business plan and its performance against that plan. 2019 was a year in which we set very ambitious goals for the company. It was also a year of tremendous change for the company in which we made progress on a number of the strategic, financial and operational priorities that we set out to accomplish.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Some of the key business highlights which the management team delivered against include:</w:t>
      </w:r>
    </w:p>
    <w:p>
      <w:pPr>
        <w:spacing w:after="0" w:line="225"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Completed integration of PHH Corporation which was acquired on October 4, 2018, including harmonization of policies, programs and platforms including the transitioning of all our servicing onto the Black Knight MSP servicing system.</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Delivered against synergy cost reduction objectives, including reducing total staffing levels by 1,100 or 17%, with a total headcount of approximately 5,300 at December 31, 2019 compared to the Ocwen headcount pre-PHH acquisition of 6,400 on September 30, 2018.</w:t>
      </w:r>
    </w:p>
    <w:p>
      <w:pPr>
        <w:ind w:left="660" w:right="2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Took substantial steps toward removing operating risk by complying with ongoing commitments under settlement agreements with 29 states and District of Columbia to resolve alleged deficiencies in compliance with laws and regulations relating to our servicing and lending activities.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Grew total revenue by 6% to $1.1 billion in 2019.</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Improved our liquidity position, as measured by unrestricted cash, by over 30% from December 31, 2018 to a total of $428.3 million at December 31, 2019, while also increasing our available borrowing capacity under our advance financing facilities by 9% to $50.9 million from December 31, 2018 to December 31, 2019.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Implemented a hedging strategy to partially offset the changes in fair value of our net MSR portfolio attributable to interest rate changes.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Highlights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designed the 2019 executive compensation program to align with evolving compensation and governance best practices and strengthen the rigor used to link to pay for performance and shareholder value creation.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key features of our 2019 executive compensation program relating to pay decisions, program design and shareholder engagement are highlighted below:</w:t>
      </w:r>
    </w:p>
    <w:p>
      <w:pPr>
        <w:spacing w:after="0" w:line="170" w:lineRule="exact"/>
        <w:rPr>
          <w:sz w:val="20"/>
          <w:szCs w:val="20"/>
          <w:color w:val="auto"/>
        </w:rPr>
      </w:pPr>
    </w:p>
    <w:p>
      <w:pPr>
        <w:jc w:val="both"/>
        <w:ind w:left="660" w:hanging="328"/>
        <w:spacing w:after="0" w:line="28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 Introduced annual Long-Term Incentive (LTI) awards under our 2017 Performance Incentive Plan that changed the mix of compensation tied to long-term objectives for our named executive officers (NEOs) from 0% to 40%; (2) tied all LTI award value to stock price performance; and (3) linked half of the target LTI award value granted to any participant to absolute TSR objectives over the course of a 3-year measurement period.</w:t>
      </w:r>
    </w:p>
    <w:p>
      <w:pPr>
        <w:spacing w:after="0" w:line="2"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Fortified the pay-for-performance linkage within our 2019 Annual Incentive Program (AIP) through the use of ten objectives that linked directly to our publicly-disclosed key business initiatives. Moreover, financial performance objectives which constituted over 50% of corporate and business unit scorecards were 100% formulaic with specific goal posts for threshold, target and maximum performance levels.</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2018 AIP payments for all NEOs by 35% based on the Compensation Committee’s general assessment of the Company’s overall performance and financial condition</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Initiated an outreach effort to shareholders representing over 58% of outstanding shares regarding their views on our executive compensation program.</w:t>
      </w: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Conducted a comprehensive, risk-based review of our compensation policies and practices designed to ensure appropriate mitigation of undue risk.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Our named executive officers for 2019, whose compensation we will discuss in detail below, are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40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Glen A. Messina</w:t>
            </w:r>
          </w:p>
        </w:tc>
        <w:tc>
          <w:tcPr>
            <w:tcW w:w="160" w:type="dxa"/>
            <w:vAlign w:val="bottom"/>
          </w:tcPr>
          <w:p>
            <w:pPr>
              <w:spacing w:after="0"/>
              <w:rPr>
                <w:sz w:val="17"/>
                <w:szCs w:val="17"/>
                <w:color w:val="auto"/>
              </w:rPr>
            </w:pPr>
          </w:p>
        </w:tc>
        <w:tc>
          <w:tcPr>
            <w:tcW w:w="5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Timothy J. Yanoti</w:t>
            </w: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 Chief Growth Officer</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 Chief Servicing Officer</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 Chief Administrative Officer</w:t>
            </w:r>
          </w:p>
        </w:tc>
      </w:tr>
      <w:tr>
        <w:trPr>
          <w:trHeight w:val="394"/>
        </w:trPr>
        <w:tc>
          <w:tcPr>
            <w:tcW w:w="3580" w:type="dxa"/>
            <w:vAlign w:val="bottom"/>
            <w:gridSpan w:val="2"/>
          </w:tcPr>
          <w:p>
            <w:pPr>
              <w:spacing w:after="0"/>
              <w:rPr>
                <w:sz w:val="20"/>
                <w:szCs w:val="20"/>
                <w:color w:val="auto"/>
              </w:rPr>
            </w:pPr>
            <w:r>
              <w:rPr>
                <w:rFonts w:ascii="Arial" w:cs="Arial" w:eastAsia="Arial" w:hAnsi="Arial"/>
                <w:sz w:val="18"/>
                <w:szCs w:val="18"/>
                <w:color w:val="auto"/>
              </w:rPr>
              <w:t>Catherine M. Dondzila</w:t>
            </w:r>
            <w:r>
              <w:rPr>
                <w:rFonts w:ascii="Arial" w:cs="Arial" w:eastAsia="Arial" w:hAnsi="Arial"/>
                <w:sz w:val="29"/>
                <w:szCs w:val="29"/>
                <w:color w:val="auto"/>
                <w:vertAlign w:val="superscript"/>
              </w:rPr>
              <w:t>(1)</w:t>
            </w:r>
          </w:p>
        </w:tc>
        <w:tc>
          <w:tcPr>
            <w:tcW w:w="5400" w:type="dxa"/>
            <w:vAlign w:val="bottom"/>
          </w:tcPr>
          <w:p>
            <w:pPr>
              <w:spacing w:after="0"/>
              <w:rPr>
                <w:sz w:val="20"/>
                <w:szCs w:val="20"/>
                <w:color w:val="auto"/>
              </w:rPr>
            </w:pPr>
            <w:r>
              <w:rPr>
                <w:rFonts w:ascii="Arial" w:cs="Arial" w:eastAsia="Arial" w:hAnsi="Arial"/>
                <w:sz w:val="18"/>
                <w:szCs w:val="18"/>
                <w:color w:val="auto"/>
              </w:rPr>
              <w:t>Former Senior Vice President and Chief Accounting Officer</w:t>
            </w:r>
          </w:p>
        </w:tc>
      </w:tr>
    </w:tbl>
    <w:p>
      <w:pPr>
        <w:spacing w:after="0" w:line="79" w:lineRule="exact"/>
        <w:rPr>
          <w:sz w:val="20"/>
          <w:szCs w:val="20"/>
          <w:color w:val="auto"/>
        </w:rPr>
      </w:pPr>
    </w:p>
    <w:p>
      <w:pPr>
        <w:jc w:val="both"/>
        <w:ind w:left="1300" w:hanging="320"/>
        <w:spacing w:after="0" w:line="209" w:lineRule="auto"/>
        <w:tabs>
          <w:tab w:leader="none" w:pos="130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Ms. Dondzila resigned as Senior Vice President and Chief Accounting Officer on May 31, 2019. Due to serving as principal financial officer during a portion of 2019, Ms. Dondzila is included in this Proxy Statement as a “Named Executive Officer” pursuant to the Securities Exchange Act of 1934,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 and Objectives of Our Executive Compensation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Equally important, our compensation programs are designed to communicate our goals and reinforce our standards as they relate to risk, compliance and leadership - not only to our senior management team, but across our entire employee population.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Within this context, we believe our executive compensation programs enable us to:</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Retain and hire top-caliber experienced executives</w:t>
      </w:r>
      <w:r>
        <w:rPr>
          <w:rFonts w:ascii="Arial" w:cs="Arial" w:eastAsia="Arial" w:hAnsi="Arial"/>
          <w:sz w:val="18"/>
          <w:szCs w:val="18"/>
          <w:color w:val="auto"/>
        </w:rPr>
        <w:t>: In a tight labor market, especially within an organization that is facing appreciable challenges to build a sustainable business model and pivot back to profitability, we believe it is critical that we offer compensation opportunities that allow us to attract and retain strong proven executive talent.</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Pay for Performance</w:t>
      </w:r>
      <w:r>
        <w:rPr>
          <w:rFonts w:ascii="Arial" w:cs="Arial" w:eastAsia="Arial" w:hAnsi="Arial"/>
          <w:sz w:val="18"/>
          <w:szCs w:val="18"/>
          <w:color w:val="auto"/>
        </w:rPr>
        <w:t>: A significant portion of our target 2019 executive compensation (the sum of base salary, annual target bonus, and grant date fair value of stock awards granted during 2019) – 63% for NEOs and 79% for CEO – was dependent on the Company’s business performance and our executive officers’ contribution to that performance, and the performance of our stock.</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Align compensation with shareholder interests</w:t>
      </w:r>
      <w:r>
        <w:rPr>
          <w:rFonts w:ascii="Arial" w:cs="Arial" w:eastAsia="Arial" w:hAnsi="Arial"/>
          <w:sz w:val="18"/>
          <w:szCs w:val="18"/>
          <w:color w:val="auto"/>
        </w:rPr>
        <w:t>: A consequential portion of our target 2019 executive compensation – 29% for NEOs and 53% for CEO – is directly tied to absolute TSR or stock price emphasizing our focus on shareholder value creation.</w:t>
      </w: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Reinforce a long-term view</w:t>
      </w:r>
      <w:r>
        <w:rPr>
          <w:rFonts w:ascii="Arial" w:cs="Arial" w:eastAsia="Arial" w:hAnsi="Arial"/>
          <w:sz w:val="18"/>
          <w:szCs w:val="18"/>
          <w:color w:val="auto"/>
        </w:rPr>
        <w:t>: A major portion – 25% – of each executive officer’s target 2019 annual incentive compensation was tied to risk and compliance-based objectives demonstrating that our focus is not only on what was accomplished but on how it was accomplished. We believe that our focus on how things are done in the short-term will establish a foundation for long-term success.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Programs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create a strong link between our incentive compensation opportunities and our short-term and longer-term objectives, we use two specific programs: our AIP and LTI awards under our 2017 Performance Incentive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The chart below illustrates the portions of our NEOs’ target 2019 executive compensation that are driven by the various objectives under our incentive programs. Our programs are designed to align the interests of our executives with the interests of our shareholders and link the drivers of short-term and long-term value creation with our executive compensation performance metrics.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NEOs’</w:t>
            </w:r>
          </w:p>
        </w:tc>
        <w:tc>
          <w:tcPr>
            <w:tcW w:w="1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(excluding CEO)</w:t>
            </w: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Average % of Total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CEO’s % of Total</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Element of 2019</w:t>
            </w:r>
          </w:p>
        </w:tc>
        <w:tc>
          <w:tcPr>
            <w:tcW w:w="1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Compensation</w:t>
            </w:r>
          </w:p>
        </w:tc>
        <w:tc>
          <w:tcPr>
            <w:tcW w:w="4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Description and Link to Key Priorities</w:t>
            </w:r>
          </w:p>
        </w:tc>
        <w:tc>
          <w:tcPr>
            <w:tcW w:w="17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b w:val="1"/>
                <w:bCs w:val="1"/>
                <w:color w:val="auto"/>
              </w:rPr>
              <w:t>Salary</w:t>
            </w:r>
          </w:p>
        </w:tc>
        <w:tc>
          <w:tcPr>
            <w:tcW w:w="6180" w:type="dxa"/>
            <w:vAlign w:val="bottom"/>
            <w:tcBorders>
              <w:right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w w:val="95"/>
              </w:rPr>
              <w:t>● Only element of total direct compensation that is not at risk based on short- or</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37%</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Arial" w:cs="Arial" w:eastAsia="Arial" w:hAnsi="Arial"/>
                <w:sz w:val="18"/>
                <w:szCs w:val="18"/>
                <w:color w:val="auto"/>
              </w:rPr>
              <w:t>long-term performance.</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 The Committee determines salaries after consideration of multiple factors,</w:t>
            </w: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including comparative data from our peer group (described below).</w:t>
            </w:r>
          </w:p>
        </w:tc>
        <w:tc>
          <w:tcPr>
            <w:tcW w:w="16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b w:val="1"/>
                <w:bCs w:val="1"/>
                <w:color w:val="auto"/>
              </w:rPr>
              <w:t>AIP</w:t>
            </w:r>
          </w:p>
        </w:tc>
        <w:tc>
          <w:tcPr>
            <w:tcW w:w="180" w:type="dxa"/>
            <w:vAlign w:val="bottom"/>
          </w:tcPr>
          <w:p>
            <w:pPr>
              <w:ind w:left="60"/>
              <w:spacing w:after="0" w:line="195" w:lineRule="exact"/>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Target amount is informed by comparator groups,</w:t>
            </w:r>
          </w:p>
        </w:tc>
        <w:tc>
          <w:tcPr>
            <w:tcW w:w="17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Financial Performance</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17%</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including peer group, and other factors further noted</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below.</w:t>
            </w:r>
          </w:p>
        </w:tc>
        <w:tc>
          <w:tcPr>
            <w:tcW w:w="17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spacing w:after="0"/>
              <w:rPr>
                <w:sz w:val="15"/>
                <w:szCs w:val="15"/>
                <w:color w:val="auto"/>
              </w:rPr>
            </w:pPr>
          </w:p>
        </w:tc>
        <w:tc>
          <w:tcPr>
            <w:tcW w:w="180" w:type="dxa"/>
            <w:vAlign w:val="bottom"/>
          </w:tcPr>
          <w:p>
            <w:pPr>
              <w:ind w:left="60"/>
              <w:spacing w:after="0" w:line="182" w:lineRule="exact"/>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Funding is linked to key priorities of the Company in</w:t>
            </w:r>
          </w:p>
        </w:tc>
        <w:tc>
          <w:tcPr>
            <w:tcW w:w="17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Strategic and</w:t>
            </w:r>
          </w:p>
        </w:tc>
        <w:tc>
          <w:tcPr>
            <w:tcW w:w="16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9%</w:t>
            </w:r>
          </w:p>
        </w:tc>
        <w:tc>
          <w:tcPr>
            <w:tcW w:w="15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three areas (shown right).</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Operational Objectives</w:t>
            </w: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All components, as well as individual payouts, are</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capped at a maximum of 150%.</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820" w:type="dxa"/>
            <w:vAlign w:val="bottom"/>
            <w:tcBorders>
              <w:left w:val="single" w:sz="8" w:color="auto"/>
              <w:right w:val="single" w:sz="8" w:color="auto"/>
            </w:tcBorders>
          </w:tcPr>
          <w:p>
            <w:pPr>
              <w:spacing w:after="0"/>
              <w:rPr>
                <w:sz w:val="2"/>
                <w:szCs w:val="2"/>
                <w:color w:val="auto"/>
              </w:rPr>
            </w:pP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Individual performance serves as a modifier to the</w:t>
            </w:r>
          </w:p>
        </w:tc>
        <w:tc>
          <w:tcPr>
            <w:tcW w:w="17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right w:val="single" w:sz="8" w:color="auto"/>
            </w:tcBorders>
          </w:tcPr>
          <w:p>
            <w:pPr>
              <w:spacing w:after="0"/>
              <w:rPr>
                <w:sz w:val="14"/>
                <w:szCs w:val="14"/>
                <w:color w:val="auto"/>
              </w:rPr>
            </w:pPr>
          </w:p>
        </w:tc>
        <w:tc>
          <w:tcPr>
            <w:tcW w:w="180" w:type="dxa"/>
            <w:vAlign w:val="bottom"/>
            <w:vMerge w:val="continue"/>
          </w:tcPr>
          <w:p>
            <w:pPr>
              <w:spacing w:after="0"/>
              <w:rPr>
                <w:sz w:val="14"/>
                <w:szCs w:val="14"/>
                <w:color w:val="auto"/>
              </w:rPr>
            </w:pPr>
          </w:p>
        </w:tc>
        <w:tc>
          <w:tcPr>
            <w:tcW w:w="422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ind w:left="40"/>
              <w:spacing w:after="0" w:line="168" w:lineRule="exact"/>
              <w:rPr>
                <w:sz w:val="20"/>
                <w:szCs w:val="20"/>
                <w:color w:val="auto"/>
              </w:rPr>
            </w:pPr>
            <w:r>
              <w:rPr>
                <w:rFonts w:ascii="Arial" w:cs="Arial" w:eastAsia="Arial" w:hAnsi="Arial"/>
                <w:sz w:val="18"/>
                <w:szCs w:val="18"/>
                <w:color w:val="auto"/>
              </w:rPr>
              <w:t>Managing Risk and</w:t>
            </w:r>
          </w:p>
        </w:tc>
        <w:tc>
          <w:tcPr>
            <w:tcW w:w="16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2"/>
              </w:rPr>
              <w:t>9%</w:t>
            </w:r>
          </w:p>
        </w:tc>
        <w:tc>
          <w:tcPr>
            <w:tcW w:w="15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corporate and business unit scorecard performance level</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Ensuring Compliance</w:t>
            </w: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Individual Performance Multiplier).</w:t>
            </w:r>
          </w:p>
        </w:tc>
        <w:tc>
          <w:tcPr>
            <w:tcW w:w="17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4"/>
                <w:szCs w:val="14"/>
                <w:b w:val="1"/>
                <w:bCs w:val="1"/>
                <w:color w:val="auto"/>
              </w:rPr>
              <w:t>LTI Awards</w:t>
            </w:r>
            <w:r>
              <w:rPr>
                <w:rFonts w:ascii="Arial" w:cs="Arial" w:eastAsia="Arial" w:hAnsi="Arial"/>
                <w:sz w:val="22"/>
                <w:szCs w:val="22"/>
                <w:b w:val="1"/>
                <w:bCs w:val="1"/>
                <w:color w:val="auto"/>
                <w:vertAlign w:val="superscript"/>
              </w:rPr>
              <w:t>(a)</w:t>
            </w:r>
          </w:p>
        </w:tc>
        <w:tc>
          <w:tcPr>
            <w:tcW w:w="180" w:type="dxa"/>
            <w:vAlign w:val="bottom"/>
          </w:tcPr>
          <w:p>
            <w:pPr>
              <w:ind w:left="60"/>
              <w:spacing w:after="0" w:line="196" w:lineRule="exact"/>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Target amount is informed by comparator groups,</w:t>
            </w:r>
          </w:p>
        </w:tc>
        <w:tc>
          <w:tcPr>
            <w:tcW w:w="178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Time-vested Units</w:t>
            </w:r>
          </w:p>
        </w:tc>
        <w:tc>
          <w:tcPr>
            <w:tcW w:w="16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13%</w:t>
            </w:r>
          </w:p>
        </w:tc>
        <w:tc>
          <w:tcPr>
            <w:tcW w:w="15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15"/>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including peer group, and other factors further noted</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below.</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1"/>
              </w:rPr>
              <w:t>●</w:t>
            </w:r>
          </w:p>
        </w:tc>
        <w:tc>
          <w:tcPr>
            <w:tcW w:w="4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 of award is in form of Restricted Stock Units</w:t>
            </w: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(RSUs) that vest annually over three years in equal</w:t>
            </w:r>
          </w:p>
        </w:tc>
        <w:tc>
          <w:tcPr>
            <w:tcW w:w="178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820" w:type="dxa"/>
            <w:vAlign w:val="bottom"/>
            <w:tcBorders>
              <w:left w:val="single" w:sz="8" w:color="auto"/>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22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8"/>
                <w:szCs w:val="18"/>
                <w:color w:val="auto"/>
                <w:w w:val="91"/>
              </w:rPr>
              <w:t>Units Earned Based on</w:t>
            </w: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4"/>
              </w:rPr>
              <w:t>15%</w:t>
            </w:r>
          </w:p>
        </w:tc>
        <w:tc>
          <w:tcPr>
            <w:tcW w:w="15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161"/>
        </w:trPr>
        <w:tc>
          <w:tcPr>
            <w:tcW w:w="182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2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8"/>
                <w:szCs w:val="18"/>
                <w:color w:val="auto"/>
              </w:rPr>
              <w:t>tranches.</w:t>
            </w:r>
          </w:p>
        </w:tc>
        <w:tc>
          <w:tcPr>
            <w:tcW w:w="1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Total Shareholder</w:t>
            </w:r>
          </w:p>
        </w:tc>
        <w:tc>
          <w:tcPr>
            <w:tcW w:w="16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tcPr>
          <w:p>
            <w:pPr>
              <w:spacing w:after="0"/>
              <w:rPr>
                <w:sz w:val="8"/>
                <w:szCs w:val="8"/>
                <w:color w:val="auto"/>
              </w:rPr>
            </w:pPr>
          </w:p>
        </w:tc>
        <w:tc>
          <w:tcPr>
            <w:tcW w:w="44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 50% of award is in form of Performance-Restricted</w:t>
            </w:r>
          </w:p>
        </w:tc>
        <w:tc>
          <w:tcPr>
            <w:tcW w:w="178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20" w:type="dxa"/>
            <w:vAlign w:val="bottom"/>
            <w:tcBorders>
              <w:left w:val="single" w:sz="8" w:color="auto"/>
              <w:right w:val="single" w:sz="8" w:color="auto"/>
            </w:tcBorders>
          </w:tcPr>
          <w:p>
            <w:pPr>
              <w:spacing w:after="0"/>
              <w:rPr>
                <w:sz w:val="10"/>
                <w:szCs w:val="10"/>
                <w:color w:val="auto"/>
              </w:rPr>
            </w:pPr>
          </w:p>
        </w:tc>
        <w:tc>
          <w:tcPr>
            <w:tcW w:w="4400" w:type="dxa"/>
            <w:vAlign w:val="bottom"/>
            <w:tcBorders>
              <w:right w:val="single" w:sz="8" w:color="auto"/>
            </w:tcBorders>
            <w:gridSpan w:val="2"/>
            <w:vMerge w:val="continue"/>
          </w:tcPr>
          <w:p>
            <w:pPr>
              <w:spacing w:after="0"/>
              <w:rPr>
                <w:sz w:val="10"/>
                <w:szCs w:val="10"/>
                <w:color w:val="auto"/>
              </w:rPr>
            </w:pPr>
          </w:p>
        </w:tc>
        <w:tc>
          <w:tcPr>
            <w:tcW w:w="1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7"/>
              </w:rPr>
              <w:t>Return or Share Price</w:t>
            </w:r>
          </w:p>
        </w:tc>
        <w:tc>
          <w:tcPr>
            <w:tcW w:w="16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Stock Units (PRSUs) that cliff vest at end of three years</w:t>
            </w: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20" w:type="dxa"/>
            <w:vAlign w:val="bottom"/>
            <w:tcBorders>
              <w:left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provided minimum TSR level has been achieved.</w:t>
            </w:r>
          </w:p>
        </w:tc>
        <w:tc>
          <w:tcPr>
            <w:tcW w:w="17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b w:val="1"/>
                <w:bCs w:val="1"/>
                <w:color w:val="auto"/>
              </w:rPr>
              <w:t>Total</w:t>
            </w:r>
            <w:r>
              <w:rPr>
                <w:rFonts w:ascii="Arial" w:cs="Arial" w:eastAsia="Arial" w:hAnsi="Arial"/>
                <w:sz w:val="28"/>
                <w:szCs w:val="28"/>
                <w:b w:val="1"/>
                <w:bCs w:val="1"/>
                <w:color w:val="auto"/>
                <w:vertAlign w:val="superscript"/>
              </w:rPr>
              <w:t>(b)</w:t>
            </w:r>
          </w:p>
        </w:tc>
        <w:tc>
          <w:tcPr>
            <w:tcW w:w="1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29" w:lineRule="auto"/>
        <w:tabs>
          <w:tab w:leader="none" w:pos="340" w:val="left"/>
        </w:tabs>
        <w:numPr>
          <w:ilvl w:val="0"/>
          <w:numId w:val="24"/>
        </w:numPr>
        <w:rPr>
          <w:rFonts w:ascii="Arial" w:cs="Arial" w:eastAsia="Arial" w:hAnsi="Arial"/>
          <w:sz w:val="29"/>
          <w:szCs w:val="29"/>
          <w:color w:val="auto"/>
          <w:vertAlign w:val="superscript"/>
        </w:rPr>
      </w:pPr>
      <w:r>
        <w:rPr>
          <w:rFonts w:ascii="Arial" w:cs="Arial" w:eastAsia="Arial" w:hAnsi="Arial"/>
          <w:sz w:val="17"/>
          <w:szCs w:val="17"/>
          <w:color w:val="auto"/>
        </w:rPr>
        <w:t>Not included are one-time transitional PRSU awards granted to Messrs. Messina and Anderson, which were awarded based on the decision to reduce 2018 bonus payments and not as part of regular annual target compensation. Ms. Campbell’s LTI Awards were granted 50% as time-vested awards (RSUs and stock options) vesting in equal installments over three years, and 50% as PRSUs vesting in equal installments over four years if stock price doubles from grant date. Refer to “2019 Long-Term Incentive (LTI) Awards” below for further details.</w:t>
      </w:r>
    </w:p>
    <w:p>
      <w:pPr>
        <w:ind w:left="340" w:hanging="332"/>
        <w:spacing w:after="0" w:line="187"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Other compensation that is available to all of our employees includes medical, dental and life insurance programs. 401(k) matching contributions account for less than 0.1% of our NEOs’ compensation.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27, 2019, in furtherance of the Company’s cost re-engineering efforts, Mr. Messina volunteered to reduce his compensation as follows: (i) reduce his annual cash target incentive from $1,350,000 to $1,125,000, and (ii) reduce his annual long-term incentive equity target from a target value of $3,150,000 to $2,250,000. These reductions were effective for the 2019 calendar year and represented a reduction of approximately 20% to Mr. Messina’s target total compensation for 2019. On March 30, 2020, the Compensation Committee proposed to restore Mr. Messina’s 2020 target total compensation to the levels he received upon his October 4, 2018 hire, in recognition of his strong performance in his first full year as President and Chief Executive Officer in 2019 (described below) and informed by relevant market benchmarks, including the Company’s compensation peer group. However, Mr. Messina declined to accept the increased compensation. Consequently, Mr. Messina’s compensation levels for 2020 continue to reflect the reductions Mr. Messina agreed to in 2019.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8"/>
          <w:szCs w:val="18"/>
          <w:b w:val="1"/>
          <w:bCs w:val="1"/>
          <w:i w:val="1"/>
          <w:iCs w:val="1"/>
          <w:color w:val="auto"/>
        </w:rPr>
        <w:t>Parties Involved in Compensation Decisions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governance of our executive compensation programs generally occurs through interaction of three groups: the Compensation Committee, the Compensation Committee’s independent compensation consultants and management. In 2019, on occasion and as it considered appropriate, the Compensation Committee enlisted the advice of outside counsel specializing in executive and non-employee director compensation matters to assist it in fulfilling its responsibilities under the Compensation Committee’s charter.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Committee</w:t>
      </w:r>
    </w:p>
    <w:p>
      <w:pPr>
        <w:spacing w:after="0" w:line="225" w:lineRule="exact"/>
        <w:rPr>
          <w:sz w:val="20"/>
          <w:szCs w:val="20"/>
          <w:color w:val="auto"/>
        </w:rPr>
      </w:pPr>
    </w:p>
    <w:p>
      <w:pPr>
        <w:jc w:val="both"/>
        <w:ind w:left="20"/>
        <w:spacing w:after="0" w:line="270" w:lineRule="auto"/>
        <w:rPr>
          <w:sz w:val="20"/>
          <w:szCs w:val="20"/>
          <w:color w:val="auto"/>
        </w:rPr>
      </w:pPr>
      <w:r>
        <w:rPr>
          <w:rFonts w:ascii="Arial" w:cs="Arial" w:eastAsia="Arial" w:hAnsi="Arial"/>
          <w:sz w:val="17"/>
          <w:szCs w:val="17"/>
          <w:color w:val="auto"/>
        </w:rPr>
        <w:t>The Compensation Committee is responsible for overseeing the development and approval of our executive compensation and benefits policies and programs. The Compensation Committee, consisting of three independent directors, is responsible for the design, review and approval of all aspects of our executive compensation program. Among its duties, the Compensation Committee formulates recommendations to the Board for CEO compensation and reviews and approves all compensation recommendations for the other NEOs. Adjustments are made by the Compensation Committee in its judgment, taking into account compensation arrangements for comparable positions at peer group companies (discussed below), analysis prepared by Willis Towers Watson, individual performance of the NEO, an assessment of the value of the individual’s performance going forward and compensation levels necessary to maintain and attract quality personnel. Compensation levels are also considered upon a promotion or other change in job responsibility. Additionally, the Company considers feedback from shareholders, including feedback in the form of shareholder advisory votes on Ocwen’s executive compensation, as discussed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Committee’s review for NEOs also includes:</w:t>
      </w:r>
    </w:p>
    <w:p>
      <w:pPr>
        <w:spacing w:after="0" w:line="225" w:lineRule="exact"/>
        <w:rPr>
          <w:sz w:val="20"/>
          <w:szCs w:val="20"/>
          <w:color w:val="auto"/>
        </w:rPr>
      </w:pPr>
    </w:p>
    <w:p>
      <w:pPr>
        <w:ind w:left="680" w:hanging="328"/>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of corporate and business unit scorecards;</w:t>
      </w:r>
    </w:p>
    <w:p>
      <w:pPr>
        <w:spacing w:after="0" w:line="23" w:lineRule="exact"/>
        <w:rPr>
          <w:rFonts w:ascii="Arial" w:cs="Arial" w:eastAsia="Arial" w:hAnsi="Arial"/>
          <w:sz w:val="18"/>
          <w:szCs w:val="18"/>
          <w:color w:val="auto"/>
        </w:rPr>
      </w:pPr>
    </w:p>
    <w:p>
      <w:pPr>
        <w:ind w:left="680" w:hanging="328"/>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evaluation of individual performance results to determine the Individual Performance Multiplier of each NEO;</w:t>
      </w:r>
    </w:p>
    <w:p>
      <w:pPr>
        <w:spacing w:after="0" w:line="9" w:lineRule="exact"/>
        <w:rPr>
          <w:rFonts w:ascii="Arial" w:cs="Arial" w:eastAsia="Arial" w:hAnsi="Arial"/>
          <w:sz w:val="18"/>
          <w:szCs w:val="18"/>
          <w:color w:val="auto"/>
        </w:rPr>
      </w:pPr>
    </w:p>
    <w:p>
      <w:pPr>
        <w:jc w:val="both"/>
        <w:ind w:left="680" w:hanging="328"/>
        <w:spacing w:after="0" w:line="253"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evaluation of the market competitiveness of each NEO’s total compensation (and principal elements of compensation) against applicable market data including a peer group of companies that are recommended to the Compensation Committee by its independent compensation consultant based on a number of metrics, including industry classification, revenues, assets and number of employees. The peer group used to help inform compensation decisions at the beginning of 2019 is listed below.</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1"/>
              </w:rPr>
              <w:t>Associated Banc-Corp</w:t>
            </w:r>
          </w:p>
        </w:tc>
        <w:tc>
          <w:tcPr>
            <w:tcW w:w="6240" w:type="dxa"/>
            <w:vAlign w:val="bottom"/>
          </w:tcPr>
          <w:p>
            <w:pPr>
              <w:jc w:val="center"/>
              <w:spacing w:after="0"/>
              <w:rPr>
                <w:sz w:val="20"/>
                <w:szCs w:val="20"/>
                <w:color w:val="auto"/>
              </w:rPr>
            </w:pPr>
            <w:r>
              <w:rPr>
                <w:rFonts w:ascii="Arial" w:cs="Arial" w:eastAsia="Arial" w:hAnsi="Arial"/>
                <w:sz w:val="18"/>
                <w:szCs w:val="18"/>
                <w:color w:val="auto"/>
                <w:w w:val="92"/>
              </w:rPr>
              <w:t>MGIC Investment Corporation</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3"/>
              </w:rPr>
              <w:t>BankUnited,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3"/>
              </w:rPr>
              <w:t>Navient Corporation</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2"/>
              </w:rPr>
              <w:t>Black Knight Financial Services,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0"/>
              </w:rPr>
              <w:t>PennyMac Financial Services, Inc.</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5"/>
              </w:rPr>
              <w:t>CIT Group</w:t>
            </w:r>
          </w:p>
        </w:tc>
        <w:tc>
          <w:tcPr>
            <w:tcW w:w="6240" w:type="dxa"/>
            <w:vAlign w:val="bottom"/>
          </w:tcPr>
          <w:p>
            <w:pPr>
              <w:jc w:val="center"/>
              <w:spacing w:after="0"/>
              <w:rPr>
                <w:sz w:val="20"/>
                <w:szCs w:val="20"/>
                <w:color w:val="auto"/>
              </w:rPr>
            </w:pPr>
            <w:r>
              <w:rPr>
                <w:rFonts w:ascii="Arial" w:cs="Arial" w:eastAsia="Arial" w:hAnsi="Arial"/>
                <w:sz w:val="18"/>
                <w:szCs w:val="18"/>
                <w:color w:val="auto"/>
                <w:w w:val="91"/>
              </w:rPr>
              <w:t>People’s United Financial, Inc.</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2"/>
              </w:rPr>
              <w:t>CoreLogic,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1"/>
              </w:rPr>
              <w:t>Radian Group Inc.</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2"/>
              </w:rPr>
              <w:t>Euronet Worldwide</w:t>
            </w:r>
          </w:p>
        </w:tc>
        <w:tc>
          <w:tcPr>
            <w:tcW w:w="6240" w:type="dxa"/>
            <w:vAlign w:val="bottom"/>
          </w:tcPr>
          <w:p>
            <w:pPr>
              <w:jc w:val="center"/>
              <w:spacing w:after="0"/>
              <w:rPr>
                <w:sz w:val="20"/>
                <w:szCs w:val="20"/>
                <w:color w:val="auto"/>
              </w:rPr>
            </w:pPr>
            <w:r>
              <w:rPr>
                <w:rFonts w:ascii="Arial" w:cs="Arial" w:eastAsia="Arial" w:hAnsi="Arial"/>
                <w:sz w:val="18"/>
                <w:szCs w:val="18"/>
                <w:color w:val="auto"/>
                <w:w w:val="89"/>
              </w:rPr>
              <w:t>Signature Bank</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2"/>
              </w:rPr>
              <w:t>First Republic Bank</w:t>
            </w:r>
          </w:p>
        </w:tc>
        <w:tc>
          <w:tcPr>
            <w:tcW w:w="6240" w:type="dxa"/>
            <w:vAlign w:val="bottom"/>
          </w:tcPr>
          <w:p>
            <w:pPr>
              <w:jc w:val="center"/>
              <w:spacing w:after="0"/>
              <w:rPr>
                <w:sz w:val="20"/>
                <w:szCs w:val="20"/>
                <w:color w:val="auto"/>
              </w:rPr>
            </w:pPr>
            <w:r>
              <w:rPr>
                <w:rFonts w:ascii="Arial" w:cs="Arial" w:eastAsia="Arial" w:hAnsi="Arial"/>
                <w:sz w:val="18"/>
                <w:szCs w:val="18"/>
                <w:color w:val="auto"/>
                <w:w w:val="91"/>
              </w:rPr>
              <w:t>Sterling Bancorp</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0"/>
              </w:rPr>
              <w:t>Flagstar Bancorp,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1"/>
              </w:rPr>
              <w:t>Synovus Financial Corp.</w:t>
            </w:r>
          </w:p>
        </w:tc>
      </w:tr>
      <w:tr>
        <w:trPr>
          <w:trHeight w:val="216"/>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0"/>
              </w:rPr>
              <w:t>Jack Henry &amp; Associates, Inc.</w:t>
            </w:r>
          </w:p>
        </w:tc>
        <w:tc>
          <w:tcPr>
            <w:tcW w:w="6240" w:type="dxa"/>
            <w:vAlign w:val="bottom"/>
          </w:tcPr>
          <w:p>
            <w:pPr>
              <w:jc w:val="center"/>
              <w:spacing w:after="0"/>
              <w:rPr>
                <w:sz w:val="20"/>
                <w:szCs w:val="20"/>
                <w:color w:val="auto"/>
              </w:rPr>
            </w:pPr>
            <w:r>
              <w:rPr>
                <w:rFonts w:ascii="Arial" w:cs="Arial" w:eastAsia="Arial" w:hAnsi="Arial"/>
                <w:sz w:val="18"/>
                <w:szCs w:val="18"/>
                <w:color w:val="auto"/>
                <w:w w:val="92"/>
              </w:rPr>
              <w:t>Zions National Bancorp</w:t>
            </w:r>
          </w:p>
        </w:tc>
      </w:tr>
      <w:tr>
        <w:trPr>
          <w:trHeight w:val="230"/>
        </w:trPr>
        <w:tc>
          <w:tcPr>
            <w:tcW w:w="5000" w:type="dxa"/>
            <w:vAlign w:val="bottom"/>
          </w:tcPr>
          <w:p>
            <w:pPr>
              <w:jc w:val="center"/>
              <w:ind w:left="1110"/>
              <w:spacing w:after="0"/>
              <w:rPr>
                <w:sz w:val="20"/>
                <w:szCs w:val="20"/>
                <w:color w:val="auto"/>
              </w:rPr>
            </w:pPr>
            <w:r>
              <w:rPr>
                <w:rFonts w:ascii="Arial" w:cs="Arial" w:eastAsia="Arial" w:hAnsi="Arial"/>
                <w:sz w:val="18"/>
                <w:szCs w:val="18"/>
                <w:color w:val="auto"/>
                <w:w w:val="91"/>
              </w:rPr>
              <w:t>LendingTree, Inc.</w:t>
            </w:r>
          </w:p>
        </w:tc>
        <w:tc>
          <w:tcPr>
            <w:tcW w:w="6240" w:type="dxa"/>
            <w:vAlign w:val="bottom"/>
          </w:tcPr>
          <w:p>
            <w:pPr>
              <w:spacing w:after="0"/>
              <w:rPr>
                <w:sz w:val="20"/>
                <w:szCs w:val="20"/>
                <w:color w:val="auto"/>
              </w:rPr>
            </w:pPr>
          </w:p>
        </w:tc>
      </w:tr>
      <w:tr>
        <w:trPr>
          <w:trHeight w:val="439"/>
        </w:trPr>
        <w:tc>
          <w:tcPr>
            <w:tcW w:w="50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60"/>
          </w:cols>
          <w:pgMar w:left="300" w:top="692"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6"/>
          <w:szCs w:val="16"/>
          <w:color w:val="auto"/>
        </w:rPr>
        <w:t>In August 2019, the Compensation Committee revised the peer group to the list below to better reflect our business model, scale and competitors.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1"/>
              </w:rPr>
              <w:t>Associated Banc-Corp</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2"/>
              </w:rPr>
              <w:t>Mr. Cooper Group Inc.</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3"/>
              </w:rPr>
              <w:t>BankUnited,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3"/>
              </w:rPr>
              <w:t>Navient Corporation</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2"/>
              </w:rPr>
              <w:t>Black Knight Financial Services,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0"/>
              </w:rPr>
              <w:t>PennyMac Financial Services, Inc.</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89"/>
              </w:rPr>
              <w:t>CenterState Bank Corporation</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1"/>
              </w:rPr>
              <w:t>People’s United Financial, Inc.</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2"/>
              </w:rPr>
              <w:t>CoreLogic,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1"/>
              </w:rPr>
              <w:t>Radian Group Inc.</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0"/>
              </w:rPr>
              <w:t>Flagstar Bancorp,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89"/>
              </w:rPr>
              <w:t>Signature Bank</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0"/>
              </w:rPr>
              <w:t>Jack Henry &amp; Associates,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1"/>
              </w:rPr>
              <w:t>Sterling Bancorp</w:t>
            </w:r>
          </w:p>
        </w:tc>
      </w:tr>
      <w:tr>
        <w:trPr>
          <w:trHeight w:val="216"/>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1"/>
              </w:rPr>
              <w:t>LendingTree, Inc.</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1"/>
              </w:rPr>
              <w:t>Synovus Financial Corp.</w:t>
            </w:r>
          </w:p>
        </w:tc>
      </w:tr>
      <w:tr>
        <w:trPr>
          <w:trHeight w:val="230"/>
        </w:trPr>
        <w:tc>
          <w:tcPr>
            <w:tcW w:w="3920" w:type="dxa"/>
            <w:vAlign w:val="bottom"/>
          </w:tcPr>
          <w:p>
            <w:pPr>
              <w:jc w:val="center"/>
              <w:ind w:right="1150"/>
              <w:spacing w:after="0"/>
              <w:rPr>
                <w:sz w:val="20"/>
                <w:szCs w:val="20"/>
                <w:color w:val="auto"/>
              </w:rPr>
            </w:pPr>
            <w:r>
              <w:rPr>
                <w:rFonts w:ascii="Arial" w:cs="Arial" w:eastAsia="Arial" w:hAnsi="Arial"/>
                <w:sz w:val="18"/>
                <w:szCs w:val="18"/>
                <w:color w:val="auto"/>
                <w:w w:val="93"/>
              </w:rPr>
              <w:t>MGIC Investment Corporation</w:t>
            </w:r>
          </w:p>
        </w:tc>
        <w:tc>
          <w:tcPr>
            <w:tcW w:w="3720" w:type="dxa"/>
            <w:vAlign w:val="bottom"/>
          </w:tcPr>
          <w:p>
            <w:pPr>
              <w:jc w:val="center"/>
              <w:ind w:left="1130"/>
              <w:spacing w:after="0"/>
              <w:rPr>
                <w:sz w:val="20"/>
                <w:szCs w:val="20"/>
                <w:color w:val="auto"/>
              </w:rPr>
            </w:pPr>
            <w:r>
              <w:rPr>
                <w:rFonts w:ascii="Arial" w:cs="Arial" w:eastAsia="Arial" w:hAnsi="Arial"/>
                <w:sz w:val="18"/>
                <w:szCs w:val="18"/>
                <w:color w:val="auto"/>
                <w:w w:val="95"/>
              </w:rPr>
              <w:t>Walker &amp; Dunlop, Inc.</w:t>
            </w: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of any changes to compensation, including, but not limited to, base salary, short-term and long-term incentive award opportunities, severance payments and retention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Make Compensation Decisions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Each year our executive and other compensation programs are developed and refined through a year’s worth of analysis and decision making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 typical year’s work is summarized below:</w:t>
      </w:r>
    </w:p>
    <w:p>
      <w:pPr>
        <w:sectPr>
          <w:pgSz w:w="11900" w:h="16838" w:orient="portrait"/>
          <w:cols w:equalWidth="0" w:num="1">
            <w:col w:w="11240"/>
          </w:cols>
          <w:pgMar w:left="320" w:top="692" w:right="339" w:bottom="1440" w:gutter="0" w:footer="0" w:header="0"/>
        </w:sectPr>
      </w:pP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QUARTER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7145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34" w:lineRule="exact"/>
        <w:rPr>
          <w:sz w:val="20"/>
          <w:szCs w:val="20"/>
          <w:color w:val="auto"/>
        </w:rPr>
      </w:pPr>
    </w:p>
    <w:p>
      <w:pPr>
        <w:jc w:val="both"/>
        <w:ind w:left="220" w:hanging="158"/>
        <w:spacing w:after="0" w:line="285"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 the Company’s prior year performance against the financial and strategic metrics set forth in the prior year’s corporate and business unit scorecards.</w:t>
      </w:r>
    </w:p>
    <w:p>
      <w:pPr>
        <w:spacing w:after="0" w:line="1" w:lineRule="exact"/>
        <w:rPr>
          <w:rFonts w:ascii="Arial" w:cs="Arial" w:eastAsia="Arial" w:hAnsi="Arial"/>
          <w:sz w:val="16"/>
          <w:szCs w:val="16"/>
          <w:color w:val="auto"/>
        </w:rPr>
      </w:pPr>
    </w:p>
    <w:p>
      <w:pPr>
        <w:jc w:val="both"/>
        <w:ind w:left="220" w:right="20" w:hanging="158"/>
        <w:spacing w:after="0" w:line="281" w:lineRule="auto"/>
        <w:tabs>
          <w:tab w:leader="none" w:pos="482"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and evaluate the individual performance of the CEO and each of our other NEOs and other executive officers.</w:t>
      </w:r>
    </w:p>
    <w:p>
      <w:pPr>
        <w:spacing w:after="0" w:line="2" w:lineRule="exact"/>
        <w:rPr>
          <w:rFonts w:ascii="Arial" w:cs="Arial" w:eastAsia="Arial" w:hAnsi="Arial"/>
          <w:sz w:val="16"/>
          <w:szCs w:val="16"/>
          <w:color w:val="auto"/>
        </w:rPr>
      </w:pPr>
    </w:p>
    <w:p>
      <w:pPr>
        <w:jc w:val="both"/>
        <w:ind w:left="220" w:hanging="158"/>
        <w:spacing w:after="0" w:line="250" w:lineRule="auto"/>
        <w:tabs>
          <w:tab w:leader="none" w:pos="3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payouts to be made under the AIP based on prior year’s performance.</w:t>
      </w:r>
    </w:p>
    <w:p>
      <w:pPr>
        <w:spacing w:after="0" w:line="1" w:lineRule="exact"/>
        <w:rPr>
          <w:rFonts w:ascii="Arial" w:cs="Arial" w:eastAsia="Arial" w:hAnsi="Arial"/>
          <w:sz w:val="18"/>
          <w:szCs w:val="18"/>
          <w:color w:val="auto"/>
        </w:rPr>
      </w:pPr>
    </w:p>
    <w:p>
      <w:pPr>
        <w:jc w:val="both"/>
        <w:ind w:left="220" w:hanging="158"/>
        <w:spacing w:after="0" w:line="250" w:lineRule="auto"/>
        <w:tabs>
          <w:tab w:leader="none" w:pos="6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total target compensation levels for our NEOs and other executive officers, as informed by both market data and prior year’s performance.</w:t>
      </w:r>
    </w:p>
    <w:p>
      <w:pPr>
        <w:spacing w:after="0" w:line="2" w:lineRule="exact"/>
        <w:rPr>
          <w:rFonts w:ascii="Arial" w:cs="Arial" w:eastAsia="Arial" w:hAnsi="Arial"/>
          <w:sz w:val="18"/>
          <w:szCs w:val="18"/>
          <w:color w:val="auto"/>
        </w:rPr>
      </w:pPr>
    </w:p>
    <w:p>
      <w:pPr>
        <w:jc w:val="both"/>
        <w:ind w:left="220" w:hanging="158"/>
        <w:spacing w:after="0" w:line="281" w:lineRule="auto"/>
        <w:tabs>
          <w:tab w:leader="none" w:pos="2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the structure and targets for the current year’s AIP to align with the financial and strategic priorities for the Company.</w:t>
      </w:r>
    </w:p>
    <w:p>
      <w:pPr>
        <w:spacing w:after="0" w:line="2" w:lineRule="exact"/>
        <w:rPr>
          <w:rFonts w:ascii="Arial" w:cs="Arial" w:eastAsia="Arial" w:hAnsi="Arial"/>
          <w:sz w:val="16"/>
          <w:szCs w:val="16"/>
          <w:color w:val="auto"/>
        </w:rPr>
      </w:pPr>
    </w:p>
    <w:p>
      <w:pPr>
        <w:ind w:left="220" w:right="340" w:hanging="158"/>
        <w:spacing w:after="0" w:line="295" w:lineRule="auto"/>
        <w:tabs>
          <w:tab w:leader="none" w:pos="2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the structure for the current year’s LTI awards, including TSR or other performance objective.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QUARTER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26035</wp:posOffset>
            </wp:positionV>
            <wp:extent cx="16459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34" w:lineRule="exact"/>
        <w:rPr>
          <w:sz w:val="20"/>
          <w:szCs w:val="20"/>
          <w:color w:val="auto"/>
        </w:rPr>
      </w:pPr>
    </w:p>
    <w:p>
      <w:pPr>
        <w:jc w:val="both"/>
        <w:ind w:left="169" w:right="240" w:hanging="169"/>
        <w:spacing w:after="0" w:line="271" w:lineRule="auto"/>
        <w:tabs>
          <w:tab w:leader="none" w:pos="3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Prepare the Compensation Committee’s report and CD&amp;A for the Proxy Statement.</w:t>
      </w:r>
    </w:p>
    <w:p>
      <w:pPr>
        <w:jc w:val="both"/>
        <w:ind w:left="169" w:right="240" w:hanging="169"/>
        <w:spacing w:after="0" w:line="265" w:lineRule="auto"/>
        <w:tabs>
          <w:tab w:leader="none" w:pos="174"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and discuss Say-on-Pay voting recommendations from proxy advisory firms.</w:t>
      </w:r>
    </w:p>
    <w:p>
      <w:pPr>
        <w:jc w:val="both"/>
        <w:ind w:left="169" w:right="220" w:hanging="169"/>
        <w:spacing w:after="0" w:line="250" w:lineRule="auto"/>
        <w:tabs>
          <w:tab w:leader="none" w:pos="2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discuss the results of the voting at the Annual Meeting.</w:t>
      </w:r>
    </w:p>
    <w:p>
      <w:pPr>
        <w:spacing w:after="0" w:line="1" w:lineRule="exact"/>
        <w:rPr>
          <w:rFonts w:ascii="Arial" w:cs="Arial" w:eastAsia="Arial" w:hAnsi="Arial"/>
          <w:sz w:val="18"/>
          <w:szCs w:val="18"/>
          <w:color w:val="auto"/>
        </w:rPr>
      </w:pPr>
    </w:p>
    <w:p>
      <w:pPr>
        <w:ind w:left="389" w:hanging="389"/>
        <w:spacing w:after="0"/>
        <w:tabs>
          <w:tab w:leader="none" w:pos="3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reports  from  the</w:t>
      </w:r>
    </w:p>
    <w:p>
      <w:pPr>
        <w:spacing w:after="0" w:line="9" w:lineRule="exact"/>
        <w:rPr>
          <w:rFonts w:ascii="Arial" w:cs="Arial" w:eastAsia="Arial" w:hAnsi="Arial"/>
          <w:sz w:val="18"/>
          <w:szCs w:val="18"/>
          <w:color w:val="auto"/>
        </w:rPr>
      </w:pPr>
    </w:p>
    <w:p>
      <w:pPr>
        <w:ind w:left="169"/>
        <w:spacing w:after="0"/>
        <w:rPr>
          <w:rFonts w:ascii="Arial" w:cs="Arial" w:eastAsia="Arial" w:hAnsi="Arial"/>
          <w:sz w:val="18"/>
          <w:szCs w:val="18"/>
          <w:color w:val="auto"/>
        </w:rPr>
      </w:pPr>
      <w:r>
        <w:rPr>
          <w:rFonts w:ascii="Arial" w:cs="Arial" w:eastAsia="Arial" w:hAnsi="Arial"/>
          <w:sz w:val="18"/>
          <w:szCs w:val="18"/>
          <w:color w:val="auto"/>
        </w:rPr>
        <w:t>Compensation</w:t>
      </w:r>
      <w:r>
        <w:rPr>
          <w:rFonts w:ascii="Arial" w:cs="Arial" w:eastAsia="Arial" w:hAnsi="Arial"/>
          <w:sz w:val="16"/>
          <w:szCs w:val="16"/>
          <w:color w:val="auto"/>
        </w:rPr>
        <w:t>Committee’s</w:t>
      </w:r>
    </w:p>
    <w:p>
      <w:pPr>
        <w:spacing w:after="0" w:line="9" w:lineRule="exact"/>
        <w:rPr>
          <w:rFonts w:ascii="Arial" w:cs="Arial" w:eastAsia="Arial" w:hAnsi="Arial"/>
          <w:sz w:val="18"/>
          <w:szCs w:val="18"/>
          <w:color w:val="auto"/>
        </w:rPr>
      </w:pPr>
    </w:p>
    <w:p>
      <w:pPr>
        <w:jc w:val="both"/>
        <w:ind w:left="169" w:right="240"/>
        <w:spacing w:after="0" w:line="255" w:lineRule="auto"/>
        <w:rPr>
          <w:rFonts w:ascii="Arial" w:cs="Arial" w:eastAsia="Arial" w:hAnsi="Arial"/>
          <w:sz w:val="18"/>
          <w:szCs w:val="18"/>
          <w:color w:val="auto"/>
        </w:rPr>
      </w:pPr>
      <w:r>
        <w:rPr>
          <w:rFonts w:ascii="Arial" w:cs="Arial" w:eastAsia="Arial" w:hAnsi="Arial"/>
          <w:sz w:val="18"/>
          <w:szCs w:val="18"/>
          <w:color w:val="auto"/>
        </w:rPr>
        <w:t>independent compensation consultants on practices and trends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-1893570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727"/>
        <w:spacing w:after="0"/>
        <w:rPr>
          <w:sz w:val="20"/>
          <w:szCs w:val="20"/>
          <w:color w:val="auto"/>
        </w:rPr>
      </w:pPr>
      <w:r>
        <w:rPr>
          <w:rFonts w:ascii="Arial" w:cs="Arial" w:eastAsia="Arial" w:hAnsi="Arial"/>
          <w:sz w:val="18"/>
          <w:szCs w:val="18"/>
          <w:b w:val="1"/>
          <w:bCs w:val="1"/>
          <w:color w:val="auto"/>
        </w:rPr>
        <w:t>QUARTER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26035</wp:posOffset>
            </wp:positionV>
            <wp:extent cx="16370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34" w:lineRule="exact"/>
        <w:rPr>
          <w:sz w:val="20"/>
          <w:szCs w:val="20"/>
          <w:color w:val="auto"/>
        </w:rPr>
      </w:pPr>
    </w:p>
    <w:p>
      <w:pPr>
        <w:jc w:val="both"/>
        <w:ind w:left="167" w:hanging="167"/>
        <w:spacing w:after="0" w:line="253"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Undertake a review of the Company’s designated peer group to determine if any changes need to be made in order for it to remain appropriate.</w:t>
      </w:r>
    </w:p>
    <w:p>
      <w:pPr>
        <w:spacing w:after="0" w:line="1" w:lineRule="exact"/>
        <w:rPr>
          <w:rFonts w:ascii="Arial" w:cs="Arial" w:eastAsia="Arial" w:hAnsi="Arial"/>
          <w:sz w:val="18"/>
          <w:szCs w:val="18"/>
          <w:color w:val="auto"/>
        </w:rPr>
      </w:pPr>
    </w:p>
    <w:p>
      <w:pPr>
        <w:jc w:val="both"/>
        <w:ind w:left="167" w:hanging="167"/>
        <w:spacing w:after="0" w:line="265" w:lineRule="auto"/>
        <w:tabs>
          <w:tab w:leader="none" w:pos="5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Commence shareholder engagement focused on the Say-on-Pay vote at the Annual Meeting to inform pay</w:t>
      </w:r>
    </w:p>
    <w:p>
      <w:pPr>
        <w:jc w:val="both"/>
        <w:ind w:left="167"/>
        <w:spacing w:after="0" w:line="255" w:lineRule="auto"/>
        <w:rPr>
          <w:rFonts w:ascii="Arial" w:cs="Arial" w:eastAsia="Arial" w:hAnsi="Arial"/>
          <w:sz w:val="17"/>
          <w:szCs w:val="17"/>
          <w:color w:val="auto"/>
        </w:rPr>
      </w:pPr>
      <w:r>
        <w:rPr>
          <w:rFonts w:ascii="Arial" w:cs="Arial" w:eastAsia="Arial" w:hAnsi="Arial"/>
          <w:sz w:val="18"/>
          <w:szCs w:val="18"/>
          <w:color w:val="auto"/>
        </w:rPr>
        <w:t>decisions and design compensation programs for the coming 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QUARTER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26035</wp:posOffset>
            </wp:positionV>
            <wp:extent cx="17056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34" w:lineRule="exact"/>
        <w:rPr>
          <w:sz w:val="20"/>
          <w:szCs w:val="20"/>
          <w:color w:val="auto"/>
        </w:rPr>
      </w:pPr>
    </w:p>
    <w:p>
      <w:pPr>
        <w:jc w:val="both"/>
        <w:ind w:left="160" w:right="40" w:hanging="161"/>
        <w:spacing w:after="0" w:line="287" w:lineRule="auto"/>
        <w:tabs>
          <w:tab w:leader="none" w:pos="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Continue shareholder engagement focused on Say-on-Pay vote at the Annual Meeting.</w:t>
      </w:r>
    </w:p>
    <w:p>
      <w:pPr>
        <w:spacing w:after="0" w:line="2" w:lineRule="exact"/>
        <w:rPr>
          <w:sz w:val="20"/>
          <w:szCs w:val="20"/>
          <w:color w:val="auto"/>
        </w:rPr>
      </w:pPr>
    </w:p>
    <w:p>
      <w:pPr>
        <w:jc w:val="both"/>
        <w:ind w:left="160" w:right="40" w:hanging="153"/>
        <w:spacing w:after="0" w:line="250" w:lineRule="auto"/>
        <w:tabs>
          <w:tab w:leader="none" w:pos="1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goals and objectives of the Company’s compensation programs.</w:t>
      </w:r>
    </w:p>
    <w:p>
      <w:pPr>
        <w:spacing w:after="0" w:line="1" w:lineRule="exact"/>
        <w:rPr>
          <w:rFonts w:ascii="Arial" w:cs="Arial" w:eastAsia="Arial" w:hAnsi="Arial"/>
          <w:sz w:val="18"/>
          <w:szCs w:val="18"/>
          <w:color w:val="auto"/>
        </w:rPr>
      </w:pPr>
    </w:p>
    <w:p>
      <w:pPr>
        <w:jc w:val="both"/>
        <w:ind w:left="160" w:right="40" w:hanging="153"/>
        <w:spacing w:after="0" w:line="250" w:lineRule="auto"/>
        <w:tabs>
          <w:tab w:leader="none" w:pos="3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an assessment of executive compensation and</w:t>
      </w:r>
    </w:p>
    <w:p>
      <w:pPr>
        <w:jc w:val="both"/>
        <w:ind w:left="160" w:right="40"/>
        <w:spacing w:after="0" w:line="281" w:lineRule="auto"/>
        <w:rPr>
          <w:rFonts w:ascii="Arial" w:cs="Arial" w:eastAsia="Arial" w:hAnsi="Arial"/>
          <w:sz w:val="18"/>
          <w:szCs w:val="18"/>
          <w:color w:val="auto"/>
        </w:rPr>
      </w:pPr>
      <w:r>
        <w:rPr>
          <w:rFonts w:ascii="Arial" w:cs="Arial" w:eastAsia="Arial" w:hAnsi="Arial"/>
          <w:sz w:val="16"/>
          <w:szCs w:val="16"/>
          <w:color w:val="auto"/>
        </w:rPr>
        <w:t>independent Director compensation against peer group and relevant bench-marks assisted by analysis provided by the Compensation Committee’s</w:t>
      </w:r>
    </w:p>
    <w:p>
      <w:pPr>
        <w:spacing w:after="0" w:line="2" w:lineRule="exact"/>
        <w:rPr>
          <w:rFonts w:ascii="Arial" w:cs="Arial" w:eastAsia="Arial" w:hAnsi="Arial"/>
          <w:sz w:val="18"/>
          <w:szCs w:val="18"/>
          <w:color w:val="auto"/>
        </w:rPr>
      </w:pPr>
    </w:p>
    <w:p>
      <w:pPr>
        <w:ind w:left="160" w:right="40"/>
        <w:spacing w:after="0" w:line="250" w:lineRule="auto"/>
        <w:rPr>
          <w:rFonts w:ascii="Arial" w:cs="Arial" w:eastAsia="Arial" w:hAnsi="Arial"/>
          <w:sz w:val="18"/>
          <w:szCs w:val="18"/>
          <w:color w:val="auto"/>
        </w:rPr>
      </w:pPr>
      <w:r>
        <w:rPr>
          <w:rFonts w:ascii="Arial" w:cs="Arial" w:eastAsia="Arial" w:hAnsi="Arial"/>
          <w:sz w:val="18"/>
          <w:szCs w:val="18"/>
          <w:color w:val="auto"/>
        </w:rPr>
        <w:t>independent compensation consultants.</w:t>
      </w:r>
    </w:p>
    <w:p>
      <w:pPr>
        <w:jc w:val="both"/>
        <w:ind w:left="160" w:right="40" w:hanging="153"/>
        <w:spacing w:after="0" w:line="270" w:lineRule="auto"/>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Conduct [comprehensive, risk-based] review of the Company’s compensation policies and practices that is designed to ensure appropriate mitigation of undue risk.</w:t>
      </w:r>
    </w:p>
    <w:p>
      <w:pPr>
        <w:sectPr>
          <w:pgSz w:w="11900" w:h="16838" w:orient="portrait"/>
          <w:cols w:equalWidth="0" w:num="4">
            <w:col w:w="2680" w:space="311"/>
            <w:col w:w="2729" w:space="93"/>
            <w:col w:w="2487" w:space="300"/>
            <w:col w:w="2640"/>
          </w:cols>
          <w:pgMar w:left="320" w:top="692" w:right="339" w:bottom="1440" w:gutter="0" w:footer="0" w:header="0"/>
          <w:type w:val="continuous"/>
        </w:sectPr>
      </w:pPr>
    </w:p>
    <w:bookmarkStart w:id="35" w:name="page36"/>
    <w:bookmarkEnd w:id="35"/>
    <w:p>
      <w:pPr>
        <w:jc w:val="both"/>
        <w:ind w:left="20"/>
        <w:spacing w:after="0" w:line="277" w:lineRule="auto"/>
        <w:rPr>
          <w:sz w:val="20"/>
          <w:szCs w:val="20"/>
          <w:color w:val="auto"/>
        </w:rPr>
      </w:pPr>
      <w:r>
        <w:rPr>
          <w:rFonts w:ascii="Arial" w:cs="Arial" w:eastAsia="Arial" w:hAnsi="Arial"/>
          <w:sz w:val="18"/>
          <w:szCs w:val="18"/>
          <w:color w:val="auto"/>
        </w:rPr>
        <w:t>These decisions and payments were made before the full global extent of COVID-19 became apparent. The Compensation Committee will consider the business and financial impact to Ocwen, our shareholders and our employees, in evaluating 2020 performance in early 2021.</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Roles of Executive Officers</w:t>
      </w:r>
    </w:p>
    <w:p>
      <w:pPr>
        <w:spacing w:after="0" w:line="225"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The President and Chief Executive Officer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The Compensation Committee can exercise its discretion in accepting, rejecting and/or modifying any such executive compensation recommendations, subject, in each case,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Independent Compensation Consultant</w:t>
      </w:r>
    </w:p>
    <w:p>
      <w:pPr>
        <w:spacing w:after="0" w:line="225"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The primary role of the Compensation Committee’s independent compensation consultant (Willis Towers Watson) is to assist the Compensation Committee with overseeing the development and approval of our compensation policies and programs. Except as otherwise noted in this Compensation Discussion and Analysis, the Compensation Committee’s compensation determinations are the result of the Compensation Committee’s business judgment with respect to compensation matters. The Compensation Committee’s judgment is informed by the experiences of the members of the Compensation Committee and analysis and input from the Compensation Committee’s independent compensation consultants, among other factors. The Compensation Committee has assessed the independence of Willis Towers Watson and has concluded that its engagement does not raise any conflict of interest with the Company or any of its directors or executive officers. During 2019, Willis Towers Watson performed a number of services for the Compensation Committee, including but not limited to reviewing and providing guidance on:</w:t>
      </w:r>
    </w:p>
    <w:p>
      <w:pPr>
        <w:spacing w:after="0" w:line="178" w:lineRule="exact"/>
        <w:rPr>
          <w:sz w:val="20"/>
          <w:szCs w:val="20"/>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2019 AIP and LTI awards</w:t>
      </w:r>
    </w:p>
    <w:p>
      <w:pPr>
        <w:spacing w:after="0" w:line="23"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competitiveness of the 2019 compensation of our NEOs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peer group for purposes of informing compensation decisions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reports of proxy advisory firms, ISS and Glass-Lewis, relating to the 2019 Proxy Statement</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competitiveness of the compensation of our independent directors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emerging best practices for executive and independent director compensation</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Shareholder Engagement and Consideration of Shareholder Advisors’ Input</w:t>
      </w:r>
    </w:p>
    <w:p>
      <w:pPr>
        <w:spacing w:after="0" w:line="225" w:lineRule="exact"/>
        <w:rPr>
          <w:sz w:val="20"/>
          <w:szCs w:val="20"/>
          <w:color w:val="auto"/>
        </w:rPr>
      </w:pPr>
    </w:p>
    <w:p>
      <w:pPr>
        <w:jc w:val="both"/>
        <w:ind w:left="20"/>
        <w:spacing w:after="0" w:line="293" w:lineRule="auto"/>
        <w:rPr>
          <w:sz w:val="20"/>
          <w:szCs w:val="20"/>
          <w:color w:val="auto"/>
        </w:rPr>
      </w:pPr>
      <w:r>
        <w:rPr>
          <w:rFonts w:ascii="Arial" w:cs="Arial" w:eastAsia="Arial" w:hAnsi="Arial"/>
          <w:sz w:val="16"/>
          <w:szCs w:val="16"/>
          <w:color w:val="auto"/>
        </w:rPr>
        <w:t>Prior to last year, shareholder feedback in the form of shareholder advisory votes on Ocwen’s executive compensation has been very positive. At each of our Annual Meetings of Shareholders from 2014 through 2018, we received at least 85% of votes cast on our Say-on-Pay proposal in favor of our executive compensation. That changed last year when we received 66% support on the votes casted on our Say-on-Pay proposal. Based on outreach efforts to both institutional and active investors, we believe that a significant driver of this was the “AGAINST” recommendation provided by ISS’s proxy advisory group. We understand that factors guiding their recommendation included their views that annual incentive awards were tied to a large number of metrics, several of which they considered to be subjective, and that our CEO’s new hire equity grants were large and not performance-restricted.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692"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The Compensation Committee considered ISS’s input, as well as the input we gathered from reaching out or meeting directly with active investors. Through these outreach efforts we reached a group who held approximately 58% of our outstanding shares. During the shareholder engagement process, we shared with investors the changes we had made in our programs including the reduction of compensation levels and the introduction of a long-term incentive plan. As a result of the engagement process, we concluded that Ocwen’s current focus on rewarding the management team for cost reduction, maximizing the synergies of the PHH acquisition, settling legacy issues with regulators and focusing on the quickest return to profitability, as well as linking management’s compensation to absolute total shareholder return, aligns with the priorities of our shareholders.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Governance Considerations in How We Design and Implement Our Compensation Programs</w:t>
      </w:r>
    </w:p>
    <w:p>
      <w:pPr>
        <w:sectPr>
          <w:pgSz w:w="11900" w:h="16838" w:orient="portrait"/>
          <w:cols w:equalWidth="0" w:num="1">
            <w:col w:w="11240"/>
          </w:cols>
          <w:pgMar w:left="320" w:top="692" w:right="3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performance</w:t>
      </w:r>
    </w:p>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Most of our NEOs’ pay is at-risk and not guaranteed. We set clear and transparent financial and strategic goals within our short- and long-term incentive awards which include performance-based vesting conditions.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Discourage excessive risk taking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within our risk management framework and include a balanced program design, multiple performance measures, claw-back and retention requirements. We also conduct an annual risk assessment of our NEO compensation plans to ensure they do not promote undue or excessive risk-taking.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 an independent compensation consultant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has retained the services of Willis Towers Watson as an independent consultant that reports directly to the Chair of the Compensation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Caps on annual incentives and long-term awards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practice under the AIP provides for a maximum payout opportunity at 150% of the target incentive and our current equity incentive plan limits the number of shares that may be awarded to any individual to 4,000,000 shares during any 12 -month period.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17145</wp:posOffset>
            </wp:positionV>
            <wp:extent cx="34886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fixed term of employment agreements</w:t>
      </w:r>
    </w:p>
    <w:p>
      <w:pPr>
        <w:spacing w:after="0" w:line="27"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We do not have employment agreements that provide for a fixed term of employment with any of our executive officers. Employment is at-will and provisions for separation and treatment of compensation is contained in applicable award documents or offer letters.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tax gross-ups</w:t>
      </w:r>
    </w:p>
    <w:p>
      <w:pPr>
        <w:spacing w:after="0" w:line="27"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It is our policy to not provide tax gross-ups (other than for taxable relocation expenses for moves necessitated by our business), including tax gross-ups related to excess parachute payments as defined under section 280G of the Internal Revenue Code.</w:t>
      </w: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option back-dating, re-pricing or reloading</w:t>
      </w:r>
    </w:p>
    <w:p>
      <w:pPr>
        <w:spacing w:after="0" w:line="27" w:lineRule="exact"/>
        <w:rPr>
          <w:sz w:val="20"/>
          <w:szCs w:val="20"/>
          <w:color w:val="auto"/>
        </w:rPr>
      </w:pPr>
    </w:p>
    <w:p>
      <w:pPr>
        <w:jc w:val="both"/>
        <w:ind w:left="200"/>
        <w:spacing w:after="0" w:line="277" w:lineRule="auto"/>
        <w:rPr>
          <w:sz w:val="20"/>
          <w:szCs w:val="20"/>
          <w:color w:val="auto"/>
        </w:rPr>
      </w:pPr>
      <w:r>
        <w:rPr>
          <w:rFonts w:ascii="Arial" w:cs="Arial" w:eastAsia="Arial" w:hAnsi="Arial"/>
          <w:sz w:val="17"/>
          <w:szCs w:val="17"/>
          <w:color w:val="auto"/>
        </w:rPr>
        <w:t>We do not permit back-dating, re-pricing of stock options, or reloading of stock options. No stock options are granted with exercise prices that are below the closing price of Ocwen stock on the date of grant.</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hedging or pledging</w:t>
      </w:r>
    </w:p>
    <w:p>
      <w:pPr>
        <w:spacing w:after="0" w:line="27"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We prohibit directors and all employees, including executive officers, from pledging shares of our stock as collateral for loans or for other reasons and from engaging in any activity that hedges the economic risk of an investment in our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“single-trigger” LTI awards</w:t>
      </w:r>
    </w:p>
    <w:p>
      <w:pPr>
        <w:spacing w:after="0" w:line="27" w:lineRule="exact"/>
        <w:rPr>
          <w:sz w:val="20"/>
          <w:szCs w:val="20"/>
          <w:color w:val="auto"/>
        </w:rPr>
      </w:pPr>
    </w:p>
    <w:p>
      <w:pPr>
        <w:jc w:val="both"/>
        <w:ind w:left="200"/>
        <w:spacing w:after="0" w:line="292" w:lineRule="auto"/>
        <w:rPr>
          <w:sz w:val="20"/>
          <w:szCs w:val="20"/>
          <w:color w:val="auto"/>
        </w:rPr>
      </w:pPr>
      <w:r>
        <w:rPr>
          <w:rFonts w:ascii="Arial" w:cs="Arial" w:eastAsia="Arial" w:hAnsi="Arial"/>
          <w:sz w:val="16"/>
          <w:szCs w:val="16"/>
          <w:color w:val="auto"/>
        </w:rPr>
        <w:t>With the exception of the sign-on LTIP for our CFO, 2019 LTI awards do not automatically vest upon the occurrence of a change in control. Rather, these LTI awards include double-trigger provisions such that a NEO will only receive accelerated payouts if terminated without cause, or upon voluntary resignation for good reason, following a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520" w:space="20"/>
            <w:col w:w="5700"/>
          </w:cols>
          <w:pgMar w:left="320" w:top="692"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Base Salaries for our NEOs</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 salaries are intended to provide a level of cash compensation that is competitive and appropriate in relation to the responsibilities of the executive’s position. During 2019, the Compensation Committee provided an increase only to Ms. Campbell. Base salaries provided to our executives represent relative market competitive positioning, experience, performance and contributions to our success.</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Annualized Salary</w:t>
            </w:r>
          </w:p>
        </w:tc>
        <w:tc>
          <w:tcPr>
            <w:tcW w:w="1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As of 12/31/2018 or 2019</w:t>
            </w:r>
          </w:p>
        </w:tc>
        <w:tc>
          <w:tcPr>
            <w:tcW w:w="21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As of 12/31/2019</w:t>
            </w:r>
          </w:p>
        </w:tc>
        <w:tc>
          <w:tcPr>
            <w:tcW w:w="1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Change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Date of Hire</w:t>
            </w: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or Separation</w:t>
            </w:r>
          </w:p>
        </w:tc>
        <w:tc>
          <w:tcPr>
            <w:tcW w:w="19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1"/>
              </w:rPr>
              <w:t>Annualized Salary</w:t>
            </w:r>
          </w:p>
        </w:tc>
        <w:tc>
          <w:tcPr>
            <w:tcW w:w="0" w:type="dxa"/>
            <w:vAlign w:val="bottom"/>
          </w:tcPr>
          <w:p>
            <w:pPr>
              <w:spacing w:after="0"/>
              <w:rPr>
                <w:sz w:val="1"/>
                <w:szCs w:val="1"/>
                <w:color w:val="auto"/>
              </w:rPr>
            </w:pPr>
          </w:p>
        </w:tc>
      </w:tr>
      <w:tr>
        <w:trPr>
          <w:trHeight w:val="241"/>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20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0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83"/>
        </w:trPr>
        <w:tc>
          <w:tcPr>
            <w:tcW w:w="3200" w:type="dxa"/>
            <w:vAlign w:val="bottom"/>
            <w:gridSpan w:val="2"/>
          </w:tcPr>
          <w:p>
            <w:pPr>
              <w:spacing w:after="0" w:line="284" w:lineRule="exact"/>
              <w:rPr>
                <w:sz w:val="20"/>
                <w:szCs w:val="20"/>
                <w:color w:val="auto"/>
              </w:rPr>
            </w:pPr>
            <w:r>
              <w:rPr>
                <w:rFonts w:ascii="Arial" w:cs="Arial" w:eastAsia="Arial" w:hAnsi="Arial"/>
                <w:sz w:val="18"/>
                <w:szCs w:val="18"/>
                <w:color w:val="auto"/>
              </w:rPr>
              <w:t>June C. Campbell</w:t>
            </w:r>
            <w:r>
              <w:rPr>
                <w:rFonts w:ascii="Arial" w:cs="Arial" w:eastAsia="Arial" w:hAnsi="Arial"/>
                <w:sz w:val="29"/>
                <w:szCs w:val="29"/>
                <w:color w:val="auto"/>
                <w:vertAlign w:val="superscript"/>
              </w:rPr>
              <w:t>(1)</w:t>
            </w:r>
          </w:p>
        </w:tc>
        <w:tc>
          <w:tcPr>
            <w:tcW w:w="2000" w:type="dxa"/>
            <w:vAlign w:val="bottom"/>
          </w:tcPr>
          <w:p>
            <w:pPr>
              <w:jc w:val="right"/>
              <w:spacing w:after="0"/>
              <w:rPr>
                <w:sz w:val="20"/>
                <w:szCs w:val="20"/>
                <w:color w:val="auto"/>
              </w:rPr>
            </w:pPr>
            <w:r>
              <w:rPr>
                <w:rFonts w:ascii="Arial" w:cs="Arial" w:eastAsia="Arial" w:hAnsi="Arial"/>
                <w:sz w:val="18"/>
                <w:szCs w:val="18"/>
                <w:color w:val="auto"/>
              </w:rPr>
              <w:t>425,000</w:t>
            </w:r>
          </w:p>
        </w:tc>
        <w:tc>
          <w:tcPr>
            <w:tcW w:w="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475,000</w:t>
            </w:r>
          </w:p>
        </w:tc>
        <w:tc>
          <w:tcPr>
            <w:tcW w:w="30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20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2000" w:type="dxa"/>
            <w:vAlign w:val="bottom"/>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Dennis Zeleny</w:t>
            </w:r>
            <w:r>
              <w:rPr>
                <w:rFonts w:ascii="Arial" w:cs="Arial" w:eastAsia="Arial" w:hAnsi="Arial"/>
                <w:sz w:val="23"/>
                <w:szCs w:val="23"/>
                <w:color w:val="auto"/>
                <w:vertAlign w:val="superscript"/>
              </w:rPr>
              <w:t>(2)</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80" w:type="dxa"/>
            <w:vAlign w:val="bottom"/>
            <w:shd w:val="clear" w:color="auto" w:fill="CCEEFF"/>
          </w:tcPr>
          <w:p>
            <w:pPr>
              <w:spacing w:after="0"/>
              <w:rPr>
                <w:sz w:val="17"/>
                <w:szCs w:val="17"/>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3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0" w:type="dxa"/>
            <w:vAlign w:val="bottom"/>
            <w:shd w:val="clear" w:color="auto" w:fill="CCEEFF"/>
          </w:tcPr>
          <w:p>
            <w:pPr>
              <w:jc w:val="right"/>
              <w:spacing w:after="0" w:line="81" w:lineRule="exact"/>
              <w:rPr>
                <w:sz w:val="20"/>
                <w:szCs w:val="20"/>
                <w:color w:val="auto"/>
              </w:rPr>
            </w:pPr>
            <w:r>
              <w:rPr>
                <w:rFonts w:ascii="Arial" w:cs="Arial" w:eastAsia="Arial" w:hAnsi="Arial"/>
                <w:sz w:val="9"/>
                <w:szCs w:val="9"/>
                <w:color w:val="auto"/>
              </w:rPr>
              <w:t>0</w:t>
            </w: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90"/>
        </w:trPr>
        <w:tc>
          <w:tcPr>
            <w:tcW w:w="3200" w:type="dxa"/>
            <w:vAlign w:val="bottom"/>
            <w:gridSpan w:val="2"/>
          </w:tcPr>
          <w:p>
            <w:pPr>
              <w:spacing w:after="0"/>
              <w:rPr>
                <w:sz w:val="20"/>
                <w:szCs w:val="20"/>
                <w:color w:val="auto"/>
              </w:rPr>
            </w:pPr>
            <w:r>
              <w:rPr>
                <w:rFonts w:ascii="Arial" w:cs="Arial" w:eastAsia="Arial" w:hAnsi="Arial"/>
                <w:sz w:val="18"/>
                <w:szCs w:val="18"/>
                <w:color w:val="auto"/>
              </w:rPr>
              <w:t>Catherine M. Dondzila</w:t>
            </w:r>
            <w:r>
              <w:rPr>
                <w:rFonts w:ascii="Arial" w:cs="Arial" w:eastAsia="Arial" w:hAnsi="Arial"/>
                <w:sz w:val="29"/>
                <w:szCs w:val="29"/>
                <w:color w:val="auto"/>
                <w:vertAlign w:val="superscript"/>
              </w:rPr>
              <w:t>(3)</w:t>
            </w:r>
          </w:p>
        </w:tc>
        <w:tc>
          <w:tcPr>
            <w:tcW w:w="2000" w:type="dxa"/>
            <w:vAlign w:val="bottom"/>
          </w:tcPr>
          <w:p>
            <w:pPr>
              <w:jc w:val="right"/>
              <w:spacing w:after="0"/>
              <w:rPr>
                <w:sz w:val="20"/>
                <w:szCs w:val="20"/>
                <w:color w:val="auto"/>
              </w:rPr>
            </w:pPr>
            <w:r>
              <w:rPr>
                <w:rFonts w:ascii="Arial" w:cs="Arial" w:eastAsia="Arial" w:hAnsi="Arial"/>
                <w:sz w:val="18"/>
                <w:szCs w:val="18"/>
                <w:color w:val="auto"/>
              </w:rPr>
              <w:t>433,100</w:t>
            </w:r>
          </w:p>
        </w:tc>
        <w:tc>
          <w:tcPr>
            <w:tcW w:w="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433,100</w:t>
            </w:r>
          </w:p>
        </w:tc>
        <w:tc>
          <w:tcPr>
            <w:tcW w:w="30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660" w:hanging="328"/>
        <w:spacing w:after="0" w:line="209" w:lineRule="auto"/>
        <w:tabs>
          <w:tab w:leader="none" w:pos="66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Ms. Campbell assumed the role of Executive Vice President and Chief Financial Officer on March 4, 2019 and received a $50,000 increase in her base salary effective August 1, 2019 to compensate her for the expansion of her responsibilities to include oversight of the Capital Markets and Investor Relations functions.</w:t>
      </w:r>
    </w:p>
    <w:p>
      <w:pPr>
        <w:spacing w:after="0" w:line="1" w:lineRule="exact"/>
        <w:rPr>
          <w:rFonts w:ascii="Arial" w:cs="Arial" w:eastAsia="Arial" w:hAnsi="Arial"/>
          <w:sz w:val="30"/>
          <w:szCs w:val="30"/>
          <w:color w:val="auto"/>
          <w:vertAlign w:val="superscript"/>
        </w:rPr>
      </w:pPr>
    </w:p>
    <w:p>
      <w:pPr>
        <w:ind w:left="660" w:hanging="328"/>
        <w:spacing w:after="0" w:line="180"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5"/>
          <w:szCs w:val="15"/>
          <w:color w:val="auto"/>
        </w:rPr>
        <w:t>Mr. Zeleny assumed the role of Executive Vice President and Chief Administrative Officer on July 31, 2019.</w:t>
      </w:r>
    </w:p>
    <w:p>
      <w:pPr>
        <w:spacing w:after="0" w:line="2" w:lineRule="exact"/>
        <w:rPr>
          <w:rFonts w:ascii="Arial" w:cs="Arial" w:eastAsia="Arial" w:hAnsi="Arial"/>
          <w:sz w:val="25"/>
          <w:szCs w:val="25"/>
          <w:color w:val="auto"/>
          <w:vertAlign w:val="superscript"/>
        </w:rPr>
      </w:pPr>
    </w:p>
    <w:p>
      <w:pPr>
        <w:ind w:left="660" w:hanging="328"/>
        <w:spacing w:after="0" w:line="194" w:lineRule="auto"/>
        <w:tabs>
          <w:tab w:leader="none" w:pos="660" w:val="left"/>
        </w:tabs>
        <w:numPr>
          <w:ilvl w:val="0"/>
          <w:numId w:val="32"/>
        </w:numPr>
        <w:rPr>
          <w:rFonts w:ascii="Arial" w:cs="Arial" w:eastAsia="Arial" w:hAnsi="Arial"/>
          <w:sz w:val="23"/>
          <w:szCs w:val="23"/>
          <w:color w:val="auto"/>
          <w:vertAlign w:val="superscript"/>
        </w:rPr>
      </w:pPr>
      <w:r>
        <w:rPr>
          <w:rFonts w:ascii="Arial" w:cs="Arial" w:eastAsia="Arial" w:hAnsi="Arial"/>
          <w:sz w:val="15"/>
          <w:szCs w:val="15"/>
          <w:color w:val="auto"/>
        </w:rPr>
        <w:t>Ms. Dondzila resigned as Senior Vice President and Chief Accounting Officer on May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Compensation for our NEOs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Ocwen’s annual incentive compensation opportunity for eligible employees, including our executive officers, is provided under the 1998 Annual Incentive Plan (AIP), as amended, which has been approved by our shareholders. Awards under the plan are paid in cash or, in the Compensation Committee’s discretion, all or a portion of the total award value may be paid in the form of equity awards of our stock. Awards under the plan for 2019 were in the form of cash. The plan provides the Compensation Committee with the authority to establish incentive award guidelines which are further discussed below. If equity awards are granted as payment of an award under the 1998 Annual Incentive Plan, they will be granted pursuant to the 2017 Performance Incentive Plan discussed below. Other equity awards may also be made under the 2017 Performance Incentive Plan as discussed below.</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executive officer has a target annual incentive award that is expressed as a percentage of base salary. The target annual incentive award for each executive officer was determined by the Compensation Committee based on its assessment of the nature and scope of each executive officer’s responsibilities and an assessment of compensation levels necessary to maintain and attract quality personnel as informed by market benchmarking.</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earlier in the Compensation Highlights section, the implementation of an annual LTIP is a continuation of our compensation strategy, which is to ensure that our executives’ overall pay mix accounts for both short-term and long-term objectives and will result in reduced target short-term compensation delivered through our Annual Incentive Plan. 2019 AIP targets were reduced from 2018 levels for many senior leaders, including Mr. Anderson. Mr. Messina’s 2019 AIP target was voluntarily reduced as part of cost savings initiatives. Ms. Campbell and Messrs. Yanoti and Zeleny were not eligible for the 2018 AIP.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The table below reflects each presently-serving NEO’s 2019 AIP targets expressed as a percentage of his or her base salary and a comparison against 2018 AIP targets, if applicable. Under Ms. Dondzila’s separation agreement with the Company, she was not eligible for payouts under the 2019 Annual Incentive Plan and as such she is excluded from the below chart and subsequent narrative on 2019 AIP.</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340"/>
        </w:trPr>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1"/>
              </w:rPr>
              <w:t>Annualized AIP Target</w:t>
            </w:r>
            <w:r>
              <w:rPr>
                <w:rFonts w:ascii="Arial" w:cs="Arial" w:eastAsia="Arial" w:hAnsi="Arial"/>
                <w:sz w:val="29"/>
                <w:szCs w:val="29"/>
                <w:b w:val="1"/>
                <w:bCs w:val="1"/>
                <w:color w:val="auto"/>
                <w:w w:val="91"/>
                <w:vertAlign w:val="superscript"/>
              </w:rPr>
              <w:t>(1)</w:t>
            </w: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8"/>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8"/>
              </w:rPr>
              <w:t>As of</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12/31/2018 or</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As of</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2019 Date of</w:t>
            </w:r>
          </w:p>
        </w:tc>
        <w:tc>
          <w:tcPr>
            <w:tcW w:w="16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9"/>
              </w:rPr>
              <w:t>% of</w:t>
            </w:r>
          </w:p>
        </w:tc>
        <w:tc>
          <w:tcPr>
            <w:tcW w:w="16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12/31/2019 or</w:t>
            </w: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 of</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Percent Change</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Hire</w:t>
            </w:r>
          </w:p>
        </w:tc>
        <w:tc>
          <w:tcPr>
            <w:tcW w:w="16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1"/>
              </w:rPr>
              <w:t>Annualized</w:t>
            </w:r>
          </w:p>
        </w:tc>
        <w:tc>
          <w:tcPr>
            <w:tcW w:w="16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Separation</w:t>
            </w: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Annualized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 AIP Target</w:t>
            </w:r>
          </w:p>
        </w:tc>
      </w:tr>
      <w:tr>
        <w:trPr>
          <w:trHeight w:val="241"/>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3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3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Salary</w:t>
            </w:r>
          </w:p>
        </w:tc>
        <w:tc>
          <w:tcPr>
            <w:tcW w:w="3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Borders>
              <w:bottom w:val="single" w:sz="8" w:color="CCEEFF"/>
            </w:tcBorders>
          </w:tcPr>
          <w:p>
            <w:pPr>
              <w:spacing w:after="0"/>
              <w:rPr>
                <w:sz w:val="20"/>
                <w:szCs w:val="20"/>
                <w:color w:val="auto"/>
              </w:rPr>
            </w:pPr>
          </w:p>
        </w:tc>
      </w:tr>
      <w:tr>
        <w:trPr>
          <w:trHeight w:val="283"/>
        </w:trPr>
        <w:tc>
          <w:tcPr>
            <w:tcW w:w="266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Glen A. Messina</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1,350,000</w:t>
            </w: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1,125,000</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r>
      <w:tr>
        <w:trPr>
          <w:trHeight w:val="283"/>
        </w:trPr>
        <w:tc>
          <w:tcPr>
            <w:tcW w:w="2860" w:type="dxa"/>
            <w:vAlign w:val="bottom"/>
            <w:gridSpan w:val="2"/>
          </w:tcPr>
          <w:p>
            <w:pPr>
              <w:spacing w:after="0" w:line="284" w:lineRule="exact"/>
              <w:rPr>
                <w:sz w:val="20"/>
                <w:szCs w:val="20"/>
                <w:color w:val="auto"/>
              </w:rPr>
            </w:pPr>
            <w:r>
              <w:rPr>
                <w:rFonts w:ascii="Arial" w:cs="Arial" w:eastAsia="Arial" w:hAnsi="Arial"/>
                <w:sz w:val="18"/>
                <w:szCs w:val="18"/>
                <w:color w:val="auto"/>
              </w:rPr>
              <w:t>June C. Campbell</w:t>
            </w:r>
            <w:r>
              <w:rPr>
                <w:rFonts w:ascii="Arial" w:cs="Arial" w:eastAsia="Arial" w:hAnsi="Arial"/>
                <w:sz w:val="29"/>
                <w:szCs w:val="29"/>
                <w:color w:val="auto"/>
                <w:vertAlign w:val="superscript"/>
              </w:rPr>
              <w:t>(3)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425,000</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r>
      <w:tr>
        <w:trPr>
          <w:trHeight w:val="283"/>
        </w:trPr>
        <w:tc>
          <w:tcPr>
            <w:tcW w:w="286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Timothy J. Yanoti</w:t>
            </w:r>
            <w:r>
              <w:rPr>
                <w:rFonts w:ascii="Arial" w:cs="Arial" w:eastAsia="Arial" w:hAnsi="Arial"/>
                <w:sz w:val="29"/>
                <w:szCs w:val="29"/>
                <w:color w:val="auto"/>
                <w:vertAlign w:val="superscript"/>
              </w:rPr>
              <w:t>(4)</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500,000</w:t>
            </w: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w:t>
            </w:r>
          </w:p>
        </w:tc>
      </w:tr>
      <w:tr>
        <w:trPr>
          <w:trHeight w:val="284"/>
        </w:trPr>
        <w:tc>
          <w:tcPr>
            <w:tcW w:w="2860" w:type="dxa"/>
            <w:vAlign w:val="bottom"/>
            <w:gridSpan w:val="2"/>
          </w:tcPr>
          <w:p>
            <w:pPr>
              <w:spacing w:after="0" w:line="284" w:lineRule="exact"/>
              <w:rPr>
                <w:sz w:val="20"/>
                <w:szCs w:val="20"/>
                <w:color w:val="auto"/>
              </w:rPr>
            </w:pPr>
            <w:r>
              <w:rPr>
                <w:rFonts w:ascii="Arial" w:cs="Arial" w:eastAsia="Arial" w:hAnsi="Arial"/>
                <w:sz w:val="18"/>
                <w:szCs w:val="18"/>
                <w:color w:val="auto"/>
              </w:rPr>
              <w:t>Scott W. Anderson</w:t>
            </w:r>
            <w:r>
              <w:rPr>
                <w:rFonts w:ascii="Arial" w:cs="Arial" w:eastAsia="Arial" w:hAnsi="Arial"/>
                <w:sz w:val="29"/>
                <w:szCs w:val="29"/>
                <w:color w:val="auto"/>
                <w:vertAlign w:val="superscript"/>
              </w:rPr>
              <w:t>(5)</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500,000</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r>
      <w:tr>
        <w:trPr>
          <w:trHeight w:val="243"/>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300,000</w:t>
            </w: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w:t>
            </w:r>
          </w:p>
        </w:tc>
      </w:tr>
    </w:tbl>
    <w:p>
      <w:pPr>
        <w:spacing w:after="0" w:line="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Annualized AIP targets are pro-rated for in-year hire dates as well as in-year salary changes.</w:t>
      </w:r>
    </w:p>
    <w:p>
      <w:pPr>
        <w:spacing w:after="0" w:line="1" w:lineRule="exact"/>
        <w:rPr>
          <w:rFonts w:ascii="Arial" w:cs="Arial" w:eastAsia="Arial" w:hAnsi="Arial"/>
          <w:sz w:val="30"/>
          <w:szCs w:val="30"/>
          <w:color w:val="auto"/>
          <w:vertAlign w:val="superscript"/>
        </w:rPr>
      </w:pPr>
    </w:p>
    <w:p>
      <w:pPr>
        <w:ind w:left="660" w:hanging="328"/>
        <w:spacing w:after="0" w:line="194" w:lineRule="auto"/>
        <w:tabs>
          <w:tab w:leader="none" w:pos="66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Effective January 1, 2019, Mr. Messina’s Annualized Incentive Target was voluntarily reduced to $1,125,000.</w:t>
      </w:r>
    </w:p>
    <w:p>
      <w:pPr>
        <w:spacing w:after="0" w:line="2" w:lineRule="exact"/>
        <w:rPr>
          <w:rFonts w:ascii="Arial" w:cs="Arial" w:eastAsia="Arial" w:hAnsi="Arial"/>
          <w:sz w:val="23"/>
          <w:szCs w:val="23"/>
          <w:color w:val="auto"/>
          <w:vertAlign w:val="superscript"/>
        </w:rPr>
      </w:pPr>
    </w:p>
    <w:p>
      <w:pPr>
        <w:ind w:left="660" w:hanging="328"/>
        <w:spacing w:after="0" w:line="187" w:lineRule="auto"/>
        <w:tabs>
          <w:tab w:leader="none" w:pos="66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Effective August 1, 2019 Ms. Campbell received a $50,000 increase in her AIP target effective to compensate her for the expansion of her responsibilities to include oversight of both the Capital Markets and Investor Relations functions.</w:t>
      </w:r>
    </w:p>
    <w:p>
      <w:pPr>
        <w:ind w:left="660" w:hanging="328"/>
        <w:spacing w:after="0" w:line="180"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5"/>
          <w:szCs w:val="15"/>
          <w:color w:val="auto"/>
        </w:rPr>
        <w:t>Mr. Yanoti was not eligible for a 2018 AIP due to the date of his hire.</w:t>
      </w:r>
    </w:p>
    <w:p>
      <w:pPr>
        <w:spacing w:after="0" w:line="2" w:lineRule="exact"/>
        <w:rPr>
          <w:rFonts w:ascii="Arial" w:cs="Arial" w:eastAsia="Arial" w:hAnsi="Arial"/>
          <w:sz w:val="25"/>
          <w:szCs w:val="25"/>
          <w:color w:val="auto"/>
          <w:vertAlign w:val="superscript"/>
        </w:rPr>
      </w:pPr>
    </w:p>
    <w:p>
      <w:pPr>
        <w:ind w:left="660" w:right="20" w:hanging="328"/>
        <w:spacing w:after="0" w:line="187" w:lineRule="auto"/>
        <w:tabs>
          <w:tab w:leader="none" w:pos="66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Effective January 1, 2019, Mr. Anderson's AIP target was reduced from $500,000 to $450,000 as part of the introduction of the annual LTI awards and pay mix rebalancing.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Detail on the 2019 Annual Incentive Plan (AIP)</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structured the 2019 AIP award opportunity to help motivate executives to deliver against the five key initiatives listed below that it believes will enhance Company performance and create a path for long-term shareholder value.</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Execute the integration of PHH into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Re-engineer our cost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funding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Replenish portfolio runoff and restore growth focus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Fulfill regulatory commitments and resolve remaining legacy matters.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doing so, the Compensation Committee, working with the President and CEO, his management team and the Compensation Committee’s independent advisor, prioritized a series of 10 measurable objectives which formed the performance metrics of the Corporate Scorecard.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Determination for each NEO under the 2019 AIP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each executive other than the CEO, the 2019 AIP award opportunity was based on a combination of three components.</w:t>
      </w:r>
    </w:p>
    <w:p>
      <w:pPr>
        <w:spacing w:after="0" w:line="22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Company’s performance in meeting the objectives established in the corporate scorecard (the </w:t>
      </w:r>
      <w:r>
        <w:rPr>
          <w:rFonts w:ascii="Arial" w:cs="Arial" w:eastAsia="Arial" w:hAnsi="Arial"/>
          <w:sz w:val="18"/>
          <w:szCs w:val="18"/>
          <w:b w:val="1"/>
          <w:bCs w:val="1"/>
          <w:color w:val="auto"/>
        </w:rPr>
        <w:t>Corporate Scorecard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Meeting performance objectives of the executive officer’s business unit or support unit scorecard (the </w:t>
      </w:r>
      <w:r>
        <w:rPr>
          <w:rFonts w:ascii="Arial" w:cs="Arial" w:eastAsia="Arial" w:hAnsi="Arial"/>
          <w:sz w:val="18"/>
          <w:szCs w:val="18"/>
          <w:b w:val="1"/>
          <w:bCs w:val="1"/>
          <w:color w:val="auto"/>
        </w:rPr>
        <w:t>Business Unit Scorecard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Individual Performance</w:t>
      </w:r>
      <w:r>
        <w:rPr>
          <w:rFonts w:ascii="Arial" w:cs="Arial" w:eastAsia="Arial" w:hAnsi="Arial"/>
          <w:sz w:val="18"/>
          <w:szCs w:val="18"/>
          <w:color w:val="auto"/>
        </w:rPr>
        <w:t xml:space="preserve"> component which is based on an assessment of their individual performance against a number of key objectives unique to them, including achievement against key projects and their demonstrated leadership in promulgating a high-performing culture focused on teamwork, managing risk, and maintaining compliance.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The performance achievement level in the first two components creates the baseline funding level for the executive’s 2019 AIP award. Specifically, for the CEO, 100% of funding comes from the Corporate Scorecard, and for the other NEOs, 80% of the funding comes from the Corporate Scorecard and 20% from the Business Unit Scorecard.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baseline funding is then subject to an Individual Performance Multiplier recognizing the third component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Scorecard Component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Corporate Scorecard which drives the overall funding for the AIP is approved annually by the Compensation Committee. The Committee then delegates to the CEO the development of the Business Unit Scorecards. The 2019 Corporate Scorecard contained both specific financial goals and other non-financial goals that are aligned to key business initiatives, including risk management.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performance at a level that is challenging to achieve, a “threshold” level for each goal that must be met in order for any portion of the incentive to be paid with respect to that goal, and a maximum or “outstanding”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Level of Achievement</w:t>
            </w:r>
          </w:p>
        </w:tc>
        <w:tc>
          <w:tcPr>
            <w:tcW w:w="2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of Target Opportunity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Outstanding (Maximum)</w:t>
            </w:r>
          </w:p>
        </w:tc>
        <w:tc>
          <w:tcPr>
            <w:tcW w:w="160" w:type="dxa"/>
            <w:vAlign w:val="bottom"/>
            <w:vMerge w:val="continue"/>
          </w:tcPr>
          <w:p>
            <w:pPr>
              <w:spacing w:after="0"/>
              <w:rPr>
                <w:sz w:val="18"/>
                <w:szCs w:val="18"/>
                <w:color w:val="auto"/>
              </w:rPr>
            </w:pP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Threshold</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Below Threshold</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measured the level of performance achievement against scorecard objectives using both quantitative and qualitative assessments, as appropriate. Quantitative assessments were used when the objective measure was numeric in nature, such as meeting the budget. For the assessments, the level of achievement was determined using straight-line interpolation between the “threshold”, “target” and “maximum” anchor posts, as applicable. Other objectives required a more nuanced and qualitative assessment, even for objectives containing deadlines and metrics which defined achievement, such as risk and compliance objectives. Achievement against these qualitative objectives were scored either “Pass” or “Fail” and yielded funding of 100% or 0%,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Committee’s assessment of the level of performance achieved against scorecard objectives, the information on which the Committee based its assessment was first reviewed and verified by the Company’s Internal Audit, Finance and Risk Management functions.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ind w:right="20"/>
        <w:spacing w:after="0" w:line="277" w:lineRule="auto"/>
        <w:rPr>
          <w:sz w:val="20"/>
          <w:szCs w:val="20"/>
          <w:color w:val="auto"/>
        </w:rPr>
      </w:pPr>
      <w:r>
        <w:rPr>
          <w:rFonts w:ascii="Arial" w:cs="Arial" w:eastAsia="Arial" w:hAnsi="Arial"/>
          <w:sz w:val="18"/>
          <w:szCs w:val="18"/>
          <w:color w:val="auto"/>
        </w:rPr>
        <w:t>Based on the Company’s actual performance and the relative weightings assigned to each of the 10 objectives, the overall Corporate Scorecard 2019 AIP funding was 113.5%. Our Corporate Scorecard for 2019 and corresponding achievement levels are detailed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940" w:type="dxa"/>
            <w:vAlign w:val="bottom"/>
            <w:tcBorders>
              <w:top w:val="single" w:sz="8" w:color="auto"/>
              <w:left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Objective</w:t>
            </w: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4"/>
              </w:rPr>
              <w:t>Performance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0" w:type="dxa"/>
            <w:vAlign w:val="bottom"/>
          </w:tcPr>
          <w:p>
            <w:pPr>
              <w:spacing w:after="0"/>
              <w:rPr>
                <w:sz w:val="1"/>
                <w:szCs w:val="1"/>
                <w:color w:val="auto"/>
              </w:rPr>
            </w:pPr>
          </w:p>
        </w:tc>
      </w:tr>
      <w:tr>
        <w:trPr>
          <w:trHeight w:val="234"/>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Corporate Objective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Weight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Outcome</w:t>
            </w:r>
          </w:p>
        </w:tc>
        <w:tc>
          <w:tcPr>
            <w:tcW w:w="1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Achievement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Achievement</w:t>
            </w: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Financial Objectives</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40" w:type="dxa"/>
            <w:vAlign w:val="bottom"/>
            <w:tcBorders>
              <w:left w:val="single" w:sz="8" w:color="auto"/>
              <w:right w:val="single" w:sz="8" w:color="auto"/>
            </w:tcBorders>
          </w:tcPr>
          <w:p>
            <w:pPr>
              <w:ind w:left="20"/>
              <w:spacing w:after="0" w:line="223" w:lineRule="exact"/>
              <w:rPr>
                <w:sz w:val="20"/>
                <w:szCs w:val="20"/>
                <w:color w:val="auto"/>
              </w:rPr>
            </w:pPr>
            <w:r>
              <w:rPr>
                <w:rFonts w:ascii="Arial" w:cs="Arial" w:eastAsia="Arial" w:hAnsi="Arial"/>
                <w:sz w:val="16"/>
                <w:szCs w:val="16"/>
                <w:color w:val="auto"/>
              </w:rPr>
              <w:t>Full-year pre-tax income before notable items</w:t>
            </w:r>
            <w:r>
              <w:rPr>
                <w:rFonts w:ascii="Arial" w:cs="Arial" w:eastAsia="Arial" w:hAnsi="Arial"/>
                <w:sz w:val="25"/>
                <w:szCs w:val="25"/>
                <w:color w:val="auto"/>
                <w:vertAlign w:val="superscript"/>
              </w:rPr>
              <w:t>(1)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50% (both</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-$117M</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-$96M</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-$72M</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-$64M</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62.2%</w:t>
            </w:r>
          </w:p>
        </w:tc>
        <w:tc>
          <w:tcPr>
            <w:tcW w:w="0" w:type="dxa"/>
            <w:vAlign w:val="bottom"/>
          </w:tcPr>
          <w:p>
            <w:pPr>
              <w:spacing w:after="0"/>
              <w:rPr>
                <w:sz w:val="1"/>
                <w:szCs w:val="1"/>
                <w:color w:val="auto"/>
              </w:rPr>
            </w:pPr>
          </w:p>
        </w:tc>
      </w:tr>
      <w:tr>
        <w:trPr>
          <w:trHeight w:val="215"/>
        </w:trPr>
        <w:tc>
          <w:tcPr>
            <w:tcW w:w="394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objectives</w:t>
            </w: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must meet</w:t>
            </w:r>
          </w:p>
        </w:tc>
        <w:tc>
          <w:tcPr>
            <w:tcW w:w="102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940" w:type="dxa"/>
            <w:vAlign w:val="bottom"/>
            <w:tcBorders>
              <w:left w:val="single" w:sz="8" w:color="auto"/>
              <w:right w:val="single" w:sz="8" w:color="auto"/>
            </w:tcBorders>
            <w:vMerge w:val="restart"/>
          </w:tcPr>
          <w:p>
            <w:pPr>
              <w:ind w:left="20"/>
              <w:spacing w:after="0" w:line="303" w:lineRule="exact"/>
              <w:rPr>
                <w:sz w:val="20"/>
                <w:szCs w:val="20"/>
                <w:color w:val="auto"/>
              </w:rPr>
            </w:pPr>
            <w:r>
              <w:rPr>
                <w:rFonts w:ascii="Arial" w:cs="Arial" w:eastAsia="Arial" w:hAnsi="Arial"/>
                <w:sz w:val="18"/>
                <w:szCs w:val="18"/>
                <w:color w:val="auto"/>
                <w:w w:val="90"/>
              </w:rPr>
              <w:t>Fourth-quarter pre-tax income before notable items</w:t>
            </w:r>
            <w:r>
              <w:rPr>
                <w:rFonts w:ascii="Arial" w:cs="Arial" w:eastAsia="Arial" w:hAnsi="Arial"/>
                <w:sz w:val="29"/>
                <w:szCs w:val="29"/>
                <w:color w:val="auto"/>
                <w:w w:val="90"/>
                <w:vertAlign w:val="superscript"/>
              </w:rPr>
              <w:t>(1)</w:t>
            </w:r>
          </w:p>
        </w:tc>
        <w:tc>
          <w:tcPr>
            <w:tcW w:w="104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-$9M</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$1M</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$25M</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$12M</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124.5%</w:t>
            </w: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vMerge w:val="continue"/>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threshold</w:t>
            </w:r>
          </w:p>
        </w:tc>
        <w:tc>
          <w:tcPr>
            <w:tcW w:w="1020" w:type="dxa"/>
            <w:vAlign w:val="bottom"/>
            <w:tcBorders>
              <w:right w:val="single" w:sz="8" w:color="auto"/>
            </w:tcBorders>
            <w:vMerge w:val="continue"/>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achievement)</w:t>
            </w:r>
          </w:p>
        </w:tc>
        <w:tc>
          <w:tcPr>
            <w:tcW w:w="102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Key Strategic Priorities</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Execute the integration - complete integration, loan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Up to 30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Achieve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At least 30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Achieved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boarding and legal entity merger actions and</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days behind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integration</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days ahead</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integration</w:t>
            </w: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milestones per finalized integration plans as of March</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schedule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of schedule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plan</w:t>
            </w: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15, 2019</w:t>
            </w:r>
          </w:p>
        </w:tc>
        <w:tc>
          <w:tcPr>
            <w:tcW w:w="10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overall</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milestones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overall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milestones</w:t>
            </w: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Achieve 2019 Board approved business plan volume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$23B</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$27B</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$43B</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$17B</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objectives (amount and timing) - $ billions unpaid</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principal balance (UPB) replenishment funded by</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and in the calendar year within targeted</w:t>
            </w: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risk/return thresholds</w:t>
            </w:r>
          </w:p>
        </w:tc>
        <w:tc>
          <w:tcPr>
            <w:tcW w:w="10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Cost re-engineering annualized cost reduction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$300M</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$327M</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$345M</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$347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7.5%</w:t>
            </w:r>
          </w:p>
        </w:tc>
        <w:tc>
          <w:tcPr>
            <w:tcW w:w="0" w:type="dxa"/>
            <w:vAlign w:val="bottom"/>
          </w:tcPr>
          <w:p>
            <w:pPr>
              <w:spacing w:after="0"/>
              <w:rPr>
                <w:sz w:val="1"/>
                <w:szCs w:val="1"/>
                <w:color w:val="auto"/>
              </w:rPr>
            </w:pPr>
          </w:p>
        </w:tc>
      </w:tr>
      <w:tr>
        <w:trPr>
          <w:trHeight w:val="294"/>
        </w:trPr>
        <w:tc>
          <w:tcPr>
            <w:tcW w:w="3940" w:type="dxa"/>
            <w:vAlign w:val="bottom"/>
            <w:tcBorders>
              <w:left w:val="single" w:sz="8" w:color="auto"/>
              <w:bottom w:val="single" w:sz="8" w:color="auto"/>
              <w:right w:val="single" w:sz="8" w:color="auto"/>
            </w:tcBorders>
          </w:tcPr>
          <w:p>
            <w:pPr>
              <w:ind w:left="20"/>
              <w:spacing w:after="0" w:line="294" w:lineRule="exact"/>
              <w:rPr>
                <w:sz w:val="20"/>
                <w:szCs w:val="20"/>
                <w:color w:val="auto"/>
              </w:rPr>
            </w:pPr>
            <w:r>
              <w:rPr>
                <w:rFonts w:ascii="Arial" w:cs="Arial" w:eastAsia="Arial" w:hAnsi="Arial"/>
                <w:sz w:val="18"/>
                <w:szCs w:val="18"/>
                <w:color w:val="auto"/>
              </w:rPr>
              <w:t>achievement by year-end</w:t>
            </w:r>
            <w:r>
              <w:rPr>
                <w:rFonts w:ascii="Arial" w:cs="Arial" w:eastAsia="Arial" w:hAnsi="Arial"/>
                <w:sz w:val="29"/>
                <w:szCs w:val="29"/>
                <w:color w:val="auto"/>
                <w:vertAlign w:val="superscript"/>
              </w:rPr>
              <w:t>(2)</w:t>
            </w: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Establish funding for growth - achieve financing plan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Pass / Fail</w:t>
            </w:r>
          </w:p>
        </w:tc>
        <w:tc>
          <w:tcPr>
            <w:tcW w:w="10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Pass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objectives of $100M senior secured term loan</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upsizing, 60% financing for purchased mortgage</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servicing rights (MSRs), and 60% secured funding</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against existing agency and Ginnie Mae MSRs on</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market rates and terms; all facilities renewed on time</w:t>
            </w:r>
          </w:p>
        </w:tc>
        <w:tc>
          <w:tcPr>
            <w:tcW w:w="10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 market rates and terms</w:t>
            </w:r>
          </w:p>
        </w:tc>
        <w:tc>
          <w:tcPr>
            <w:tcW w:w="104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Timely and complete fulfillment of regulatory</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Pass / Fail</w:t>
            </w:r>
          </w:p>
        </w:tc>
        <w:tc>
          <w:tcPr>
            <w:tcW w:w="10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Pass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commitment deliverables</w:t>
            </w:r>
          </w:p>
        </w:tc>
        <w:tc>
          <w:tcPr>
            <w:tcW w:w="104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Risk and Compliance</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Promote Risk and Compliance culture within Board</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0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Pass / Fail</w:t>
            </w:r>
          </w:p>
        </w:tc>
        <w:tc>
          <w:tcPr>
            <w:tcW w:w="10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Pass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28.75%</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Risk Appetite thresholds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(objectives</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940" w:type="dxa"/>
            <w:vAlign w:val="bottom"/>
            <w:tcBorders>
              <w:left w:val="single" w:sz="8" w:color="auto"/>
              <w:bottom w:val="single" w:sz="8" w:color="auto"/>
              <w:right w:val="single" w:sz="8" w:color="auto"/>
            </w:tcBorders>
          </w:tcPr>
          <w:p>
            <w:pPr>
              <w:spacing w:after="0"/>
              <w:rPr>
                <w:sz w:val="3"/>
                <w:szCs w:val="3"/>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evaluated in</w:t>
            </w: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9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1"/>
              </w:rPr>
              <w:t>Timely resolution of open issue remediation items (%</w:t>
            </w:r>
          </w:p>
        </w:tc>
        <w:tc>
          <w:tcPr>
            <w:tcW w:w="1040" w:type="dxa"/>
            <w:vAlign w:val="bottom"/>
            <w:tcBorders>
              <w:right w:val="single" w:sz="8" w:color="auto"/>
            </w:tcBorders>
            <w:vMerge w:val="continue"/>
          </w:tcPr>
          <w:p>
            <w:pPr>
              <w:spacing w:after="0"/>
              <w:rPr>
                <w:sz w:val="15"/>
                <w:szCs w:val="15"/>
                <w:color w:val="auto"/>
              </w:rPr>
            </w:pPr>
          </w:p>
        </w:tc>
        <w:tc>
          <w:tcPr>
            <w:tcW w:w="10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4"/>
              </w:rPr>
              <w:t>80%</w:t>
            </w: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4"/>
              </w:rPr>
              <w:t>90%</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10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93%</w:t>
            </w:r>
          </w:p>
        </w:tc>
        <w:tc>
          <w:tcPr>
            <w:tcW w:w="11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resolved by policy remediation date)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the aggregate)</w:t>
            </w:r>
          </w:p>
        </w:tc>
        <w:tc>
          <w:tcPr>
            <w:tcW w:w="10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940" w:type="dxa"/>
            <w:vAlign w:val="bottom"/>
            <w:tcBorders>
              <w:left w:val="single" w:sz="8" w:color="auto"/>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No significant current audit, exam or SOX matters</w:t>
            </w:r>
          </w:p>
        </w:tc>
        <w:tc>
          <w:tcPr>
            <w:tcW w:w="104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Pass / Fail</w:t>
            </w:r>
          </w:p>
        </w:tc>
        <w:tc>
          <w:tcPr>
            <w:tcW w:w="10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Pass</w:t>
            </w: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113.5%</w:t>
            </w: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85"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Pre-tax income before notable items for purposes of the Corporate Scorecard excludes income statement notables and amortization of New Residential Investment Corp. (NRZ) lump-sum payments and refers to our pre-tax income/(loss) after excluding the positive impact of the amortization of NRZ lump-sum payments and after adjusting GAAP pre-tax income/(loss) for the following factors (1) Expense Notables (excluding MSR Valuation Adjustments, net), (2) changes in fair value of our Non-Agency MSRs due to changes in interest rates, valuation inputs and other assumptions, (3) changes in fair value of our Agency MSRs due to changes in interest rates, valuation inputs and other assumptions, net of hedge position, (4) offsets to changes in fair value of our MSRs in our NRZ financing liability due to changes in interest rates, valuation inputs and other assumptions, (5) changes in fair value of our reverse lending portfolio due to changes in interest rates, valuation inputs and other assumptions (6) gains related to exercising servicer call rights, and (7) certain other costs, including pension benefits (collectively, Other) consistent with the intent of providing management and investors with a supplemental means of evaluating our pre-tax income/(loss). Collectively, we refer to these adjustments as “income statement notables.” “Expense Notables” includes (1) expense related to severance, retention and other cost re-engineering actions, (2) certain significant legal and regulatory settlement expense items, (3) CFPB, Florida Attorney General/Florida Office of Financial Regulations and Massachusetts Attorney General litigation related legal expenses, state regulatory action related legal expenses and state regulatory action settlement related escrow analysis costs (collectively, CFPB and state regulatory defense and escrow analysis expenses), (4) NRZ consent process expenses related to the transfer of legal title in MSRs to NRZ, (5) PHH Corporation acquisition and integration planning expenses, (6) expense recoveries related to insurance recoveries of legal expenses, mortgage insurance claim settlement recoveries and amounts previously expensed from a service provider and (7) certain other costs including compensation expense reversals relating to departing executives and reversals of management incentive compensation payouts and reversals of reserves related to a legacy MSR sale (collectively, Other) consistent with the intent of providing management and investors with a supplemental means of evaluating our expenses.</w:t>
      </w:r>
    </w:p>
    <w:p>
      <w:pPr>
        <w:spacing w:after="0" w:line="173" w:lineRule="exact"/>
        <w:rPr>
          <w:rFonts w:ascii="Arial" w:cs="Arial" w:eastAsia="Arial" w:hAnsi="Arial"/>
          <w:sz w:val="16"/>
          <w:szCs w:val="16"/>
          <w:color w:val="auto"/>
        </w:rPr>
      </w:pPr>
    </w:p>
    <w:p>
      <w:pPr>
        <w:jc w:val="both"/>
        <w:ind w:firstLine="8"/>
        <w:spacing w:after="0" w:line="301" w:lineRule="auto"/>
        <w:tabs>
          <w:tab w:leader="none" w:pos="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 re-engineering annualized cost reduction achievement by year-end for purposes of the Corporate Scorecard is compared to a 2Q’18 baseline and was adjusted for notable items, as defined above, and further adjusted to account for changes in certain beneficial GAAP accrual impacts that did not warrant inclusion for purposes of cost re-engineering performance measurement. See also Ocwen’s February 26, 2020 earnings call webcast and the accompanying presentation materials, which are available in the Shareholder Relations section of Ocwen’s website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578"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Business Unit Scorecard Component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developing the Business Unit Scorecard goals in the NEO scorecards, we incorporated a variety of quantitative and qualitative measures to incentivize performance that we believe will help perpetuate the long-term success of the Company and discourage executives from pursuing short-term goals that may not be consistent with achieving such long-term success. The level of performance achievement against Business Unit Scorecard objectives was determined in the same manner described in the Corporate Scorecard section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NEO’s Business Unit Scorecard contained components and weighting consistent with the Company’s Corporate Scorecard, including:</w:t>
      </w:r>
    </w:p>
    <w:p>
      <w:pPr>
        <w:spacing w:after="0" w:line="225" w:lineRule="exact"/>
        <w:rPr>
          <w:sz w:val="20"/>
          <w:szCs w:val="20"/>
          <w:color w:val="auto"/>
        </w:rPr>
      </w:pPr>
    </w:p>
    <w:p>
      <w:pPr>
        <w:ind w:left="66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Objectives (50% weight) contained the same full-year and fourth-quarter pre-tax income objectives for each executive officer’s respective area of responsibility;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Key Strategic Priorities (25% weight) measured critical functional objectives, including meeting PHH integration objectives and timelines, and goals around cost re-engineering, which linked back to the work that each NEO needed to accomplish in their respective area to help the Company achieve the 10 objectives contained in the Corporate Scorecard; and</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 and Compliance (25% weight) contained the same objectives as the Corporate scorecard, measuring results for each executive officer’s respective area of responsibility.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NEO had a unique set of Key Strategic Priorities which correlated directly to line-of-sight objectives supporting Corporate objectives listed above in their respective area of responsibility and were weighted depending upon their relative importance within the category. Each executives Key Strategic Priorities included the following:</w:t>
      </w:r>
    </w:p>
    <w:p>
      <w:pPr>
        <w:spacing w:after="0" w:line="184" w:lineRule="exact"/>
        <w:rPr>
          <w:sz w:val="20"/>
          <w:szCs w:val="20"/>
          <w:color w:val="auto"/>
        </w:rPr>
      </w:pPr>
    </w:p>
    <w:p>
      <w:pPr>
        <w:ind w:left="660" w:hanging="328"/>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Campbell’s Business Unit Scorecard was based on her oversight of the Finance, Capital Markets and Treasury departments, which included objectives on financial reporting and forecasting, and cultural transformation.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Yanoti’s Business Unit Scorecard was based on his oversight of the Originations organization, which included objectives on unpaid principal balance (UPB) replenishment and customer satisfaction scores.</w:t>
      </w:r>
    </w:p>
    <w:p>
      <w:pPr>
        <w:ind w:left="660" w:right="2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Anderson’s Business Unit Scorecard was based on his oversight of the Servicing organization, which included objectives on on-boarding of loans, reduction of Consumer Financial Protection Bureau complaints, and customer satisfaction scores.</w:t>
      </w:r>
    </w:p>
    <w:p>
      <w:pPr>
        <w:jc w:val="both"/>
        <w:ind w:left="6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Zeleny’s Business Unit Scorecard was based on his oversight of the Human Resources, Communications and Facilities organizations, which included objectives on executing the human capital aspects associated with the PHH integration, including managing the reduction of the workforce and other strategic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Performance Component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accountable for both reviewing and approving the full-year performance evaluations and recommended performance appraisal ratings for each member of the Executive Leadership Team, including the President and CEO. The Compensation Committee considers recommendations from the CEO in determining performance appraisal ratings of the other NEOs. The CEO’s performance appraisal rating is determined by the Compensation Committee in consultation with the other non-management directors.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spacing w:after="0" w:line="286" w:lineRule="auto"/>
        <w:rPr>
          <w:sz w:val="20"/>
          <w:szCs w:val="20"/>
          <w:color w:val="auto"/>
        </w:rPr>
      </w:pPr>
      <w:r>
        <w:rPr>
          <w:rFonts w:ascii="Arial" w:cs="Arial" w:eastAsia="Arial" w:hAnsi="Arial"/>
          <w:sz w:val="17"/>
          <w:szCs w:val="17"/>
          <w:color w:val="auto"/>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for all employees, including NEOs, fell into three weighted categories</w:t>
      </w:r>
    </w:p>
    <w:p>
      <w:pPr>
        <w:spacing w:after="0" w:line="165" w:lineRule="exact"/>
        <w:rPr>
          <w:sz w:val="20"/>
          <w:szCs w:val="20"/>
          <w:color w:val="auto"/>
        </w:rPr>
      </w:pPr>
    </w:p>
    <w:p>
      <w:pPr>
        <w:ind w:left="66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Key Business Unit and Functional Priorities (55% weight) reflected individual goals required to meet the objectives contained in the Corporate and Business Unit Scorecards;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Leadership Expectations and Behaviors (25% weight, described below);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 and Compliance (20% weight) assessed executive performance in promoting a culture of risk and compliance, remediating of any identified issues, and lack of any material findings relating to audit, SOX or examination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Leadership expectations and behaviors for our executive team require them to:</w:t>
      </w:r>
    </w:p>
    <w:p>
      <w:pPr>
        <w:spacing w:after="0" w:line="279"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Behave as a leadership role model and lead by example, demonstrate integrity, create a culture in which we keep our promises, treats all with respect and dignity, and build trust within and outside the organization.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Build strong working relationships in which they solicit, consider and appropriately incorporate perspectives from others.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Drive and deliver exceptional results by proactively anticipating situations that require a plan of action, identifying critical issues and assuming personal ownership for driving their resolution.</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Lead efforts on diversity and inclusion by creating, promoting and sustaining an inclusive work environment in which diversity, inclusiveness and respect are integral parts of our culture and work environment.</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Build and motivate a high performing team by identifying and securing top talent to increase performance while also actively holding people accountable for results and behaviors.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Lead change by providing a visible anchor for others and helping resolve breakdowns in times of transition and uncertainty, and by convincing others of the need for change to support critical organizational objectives.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then evaluates the proposed results and performance appraisal recommendations and determines the final incentive compensation awards for each executive. Each executive receives an individual Performance Appraisal rating against a 4-point scale with an “individual performance multiplier” that is applied to their funded Annual Incentive, as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value for the multiplier is determined by the Compensation Committee using a value from the range shown in the chart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Individual Performance</w:t>
            </w:r>
          </w:p>
        </w:tc>
        <w:tc>
          <w:tcPr>
            <w:tcW w:w="1680" w:type="dxa"/>
            <w:vAlign w:val="bottom"/>
          </w:tcPr>
          <w:p>
            <w:pPr>
              <w:spacing w:after="0"/>
              <w:rPr>
                <w:sz w:val="18"/>
                <w:szCs w:val="18"/>
                <w:color w:val="auto"/>
              </w:rPr>
            </w:pPr>
          </w:p>
        </w:tc>
      </w:tr>
      <w:tr>
        <w:trPr>
          <w:trHeight w:val="241"/>
        </w:trPr>
        <w:tc>
          <w:tcPr>
            <w:tcW w:w="48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Individual Performance Rating</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Multiplier</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Exceeds Expectations</w:t>
            </w:r>
          </w:p>
        </w:tc>
        <w:tc>
          <w:tcPr>
            <w:tcW w:w="2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105-125%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Fully Meets Expectations</w:t>
            </w:r>
          </w:p>
        </w:tc>
        <w:tc>
          <w:tcPr>
            <w:tcW w:w="4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95-105%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Sometimes Meets Expectations</w:t>
            </w:r>
          </w:p>
        </w:tc>
        <w:tc>
          <w:tcPr>
            <w:tcW w:w="4740" w:type="dxa"/>
            <w:vAlign w:val="bottom"/>
            <w:gridSpan w:val="4"/>
          </w:tcPr>
          <w:p>
            <w:pPr>
              <w:jc w:val="right"/>
              <w:ind w:right="160"/>
              <w:spacing w:after="0"/>
              <w:rPr>
                <w:sz w:val="20"/>
                <w:szCs w:val="20"/>
                <w:color w:val="auto"/>
              </w:rPr>
            </w:pPr>
            <w:r>
              <w:rPr>
                <w:rFonts w:ascii="Arial" w:cs="Arial" w:eastAsia="Arial" w:hAnsi="Arial"/>
                <w:sz w:val="18"/>
                <w:szCs w:val="18"/>
                <w:color w:val="auto"/>
              </w:rPr>
              <w:t>70-95%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Does Not Meet Expectations</w:t>
            </w:r>
          </w:p>
        </w:tc>
        <w:tc>
          <w:tcPr>
            <w:tcW w:w="4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680" w:type="dxa"/>
            <w:vAlign w:val="bottom"/>
          </w:tcPr>
          <w:p>
            <w:pPr>
              <w:spacing w:after="0"/>
              <w:rPr>
                <w:sz w:val="18"/>
                <w:szCs w:val="18"/>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Performance Rating for Each NEO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careful consideration, the Compensation Committee - and the full Board, in the case of the CEO - determined that each of the NEOs’ performance warranted an Exceeds Expectations performance rating in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5"/>
              </w:rPr>
              <w:t>Individual</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r>
      <w:tr>
        <w:trPr>
          <w:trHeight w:val="24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Synopsis of Performance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Multiplier</w:t>
            </w:r>
          </w:p>
        </w:tc>
      </w:tr>
      <w:tr>
        <w:trPr>
          <w:trHeight w:val="202"/>
        </w:trPr>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Glen A. Messina</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800" w:type="dxa"/>
            <w:vAlign w:val="bottom"/>
            <w:tcBorders>
              <w:top w:val="single" w:sz="8" w:color="auto"/>
            </w:tcBorders>
            <w:gridSpan w:val="3"/>
          </w:tcPr>
          <w:p>
            <w:pPr>
              <w:ind w:left="60"/>
              <w:spacing w:after="0" w:line="201" w:lineRule="exact"/>
              <w:rPr>
                <w:sz w:val="20"/>
                <w:szCs w:val="20"/>
                <w:color w:val="auto"/>
              </w:rPr>
            </w:pPr>
            <w:r>
              <w:rPr>
                <w:rFonts w:ascii="Arial" w:cs="Arial" w:eastAsia="Arial" w:hAnsi="Arial"/>
                <w:sz w:val="18"/>
                <w:szCs w:val="18"/>
                <w:color w:val="auto"/>
                <w:w w:val="94"/>
              </w:rPr>
              <w:t>Quickly  assessed  leadership,  retaining  key  individuals  and  recruited  strong  external</w:t>
            </w:r>
          </w:p>
        </w:tc>
        <w:tc>
          <w:tcPr>
            <w:tcW w:w="10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125%</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3"/>
              </w:rPr>
              <w:t>complement necessary to execute against the complex turn-around and integration required</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in 2019.</w:t>
            </w: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6"/>
              </w:rPr>
              <w:t>Formulated and achieved an ambitious strategic and annual Business Plan which clearly</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8"/>
              </w:rPr>
              <w:t>identified the nature and magnitude of both the opportunities and challenges facing the</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9"/>
              </w:rPr>
              <w:t>business and established concrete and measurable actions to address them including</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establishing a new originations business.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 Put in place a</w:t>
            </w:r>
          </w:p>
        </w:tc>
        <w:tc>
          <w:tcPr>
            <w:tcW w:w="4560" w:type="dxa"/>
            <w:vAlign w:val="bottom"/>
          </w:tcPr>
          <w:p>
            <w:pPr>
              <w:ind w:left="60"/>
              <w:spacing w:after="0"/>
              <w:rPr>
                <w:sz w:val="20"/>
                <w:szCs w:val="20"/>
                <w:color w:val="auto"/>
              </w:rPr>
            </w:pPr>
            <w:r>
              <w:rPr>
                <w:rFonts w:ascii="Arial" w:cs="Arial" w:eastAsia="Arial" w:hAnsi="Arial"/>
                <w:sz w:val="18"/>
                <w:szCs w:val="18"/>
                <w:color w:val="auto"/>
                <w:w w:val="95"/>
              </w:rPr>
              <w:t>disciplined operating system (people, process, technology)</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to effectively</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manage achievement of business plan objectives and mitigate risk.</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6"/>
              </w:rPr>
              <w:t>Put in place performance and incentive programs that reinforced driving results that right</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4"/>
              </w:rPr>
              <w:t>way including transformation needed around collaboration, transparency, self-identification</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w w:val="90"/>
              </w:rPr>
              <w:t>of risks and issues, timely remediation with appropriate and scalable solutions.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w w:val="98"/>
              </w:rPr>
              <w:t>● Re-established</w:t>
            </w:r>
          </w:p>
        </w:tc>
        <w:tc>
          <w:tcPr>
            <w:tcW w:w="4560" w:type="dxa"/>
            <w:vAlign w:val="bottom"/>
          </w:tcPr>
          <w:p>
            <w:pPr>
              <w:ind w:left="60"/>
              <w:spacing w:after="0"/>
              <w:rPr>
                <w:sz w:val="20"/>
                <w:szCs w:val="20"/>
                <w:color w:val="auto"/>
              </w:rPr>
            </w:pPr>
            <w:r>
              <w:rPr>
                <w:rFonts w:ascii="Arial" w:cs="Arial" w:eastAsia="Arial" w:hAnsi="Arial"/>
                <w:sz w:val="18"/>
                <w:szCs w:val="18"/>
                <w:color w:val="auto"/>
                <w:w w:val="98"/>
              </w:rPr>
              <w:t>proactive  and  effective  relationships  with  key  external</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constituents:</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1"/>
              </w:rPr>
              <w:t>shareholders, lenders, rating agencies, regulators, and consumer advocacy groups to provide</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w w:val="98"/>
              </w:rPr>
              <w:t>updates on key initiatives and promote a positive image of the company.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w w:val="93"/>
              </w:rPr>
              <w:t>● Improved leadership diversity at VP and above levels in the US, increasing representation of</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4"/>
              </w:rPr>
              <w:t>women from 27% to 32% and minorities from 17% to 20%. Outside the US where diversity</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1"/>
              </w:rPr>
              <w:t>is measured by gender, the representation of women in Senior Manager roles increased from</w:t>
            </w:r>
          </w:p>
        </w:tc>
        <w:tc>
          <w:tcPr>
            <w:tcW w:w="18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13% to 17%.</w:t>
            </w:r>
          </w:p>
        </w:tc>
        <w:tc>
          <w:tcPr>
            <w:tcW w:w="4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23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4"/>
              </w:rPr>
              <w:t>Took on a highly challenging leadership role and reorganized the function to upgrade talent</w:t>
            </w: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115%</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and capability, process and systems and exit underperformers.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w w:val="93"/>
              </w:rPr>
              <w:t>● Under her direction, actions were sequenced to provide pay-down capacity while maintaining</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rPr>
              <w:t>investment capability and all working capital facilities were renewed on or prior to</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termination dates, achieving significant savings on multiple renewals.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w w:val="93"/>
              </w:rPr>
              <w:t>● Eliminated duplicate systems and migrated to a single platform with no restatements or SOX</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4"/>
              </w:rPr>
              <w:t>control deficiencies, built a client and investor level financial analysis and new cost per loan</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8"/>
              </w:rPr>
              <w:t>model for Servicing and defined requirements and re-defined channel-specific financial</w:t>
            </w:r>
          </w:p>
        </w:tc>
        <w:tc>
          <w:tcPr>
            <w:tcW w:w="18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views for Lending.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2380" w:type="dxa"/>
            <w:vAlign w:val="bottom"/>
            <w:gridSpan w:val="2"/>
          </w:tcPr>
          <w:p>
            <w:pPr>
              <w:spacing w:after="0"/>
              <w:rPr>
                <w:sz w:val="20"/>
                <w:szCs w:val="20"/>
                <w:color w:val="auto"/>
              </w:rPr>
            </w:pPr>
            <w:r>
              <w:rPr>
                <w:rFonts w:ascii="Arial" w:cs="Arial" w:eastAsia="Arial" w:hAnsi="Arial"/>
                <w:sz w:val="18"/>
                <w:szCs w:val="18"/>
                <w:color w:val="auto"/>
              </w:rPr>
              <w:t>Timothy J. Yanoti</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8"/>
              </w:rPr>
              <w:t>Stabilized the Lending organization and oversaw the significant integration objective by</w:t>
            </w: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110%</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2"/>
              </w:rPr>
              <w:t>developing a strategy and business plan for Lending, quickly communicating his clear vision,</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1"/>
              </w:rPr>
              <w:t>recruiting a strong leadership team, turning around the culture, exiting subpar performers and</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removing $40 million of cost from the business.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 Started up the</w:t>
            </w:r>
          </w:p>
        </w:tc>
        <w:tc>
          <w:tcPr>
            <w:tcW w:w="4560" w:type="dxa"/>
            <w:vAlign w:val="bottom"/>
          </w:tcPr>
          <w:p>
            <w:pPr>
              <w:ind w:left="40"/>
              <w:spacing w:after="0"/>
              <w:rPr>
                <w:sz w:val="20"/>
                <w:szCs w:val="20"/>
                <w:color w:val="auto"/>
              </w:rPr>
            </w:pPr>
            <w:r>
              <w:rPr>
                <w:rFonts w:ascii="Arial" w:cs="Arial" w:eastAsia="Arial" w:hAnsi="Arial"/>
                <w:sz w:val="18"/>
                <w:szCs w:val="18"/>
                <w:color w:val="auto"/>
                <w:w w:val="97"/>
              </w:rPr>
              <w:t>Correspondent channel and overall lending was profitable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by the fourth</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5"/>
              </w:rPr>
              <w:t>quarter, positioning the Company for a target of over $10 billion in lending volume in 2020</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compared to $1.4 billion in 2018.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 Met or exceeded all of Lending’s financial objectives, exceeding the Lending Pre-Tax</w:t>
            </w: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60"/>
              <w:spacing w:after="0"/>
              <w:rPr>
                <w:sz w:val="20"/>
                <w:szCs w:val="20"/>
                <w:color w:val="auto"/>
              </w:rPr>
            </w:pPr>
            <w:r>
              <w:rPr>
                <w:rFonts w:ascii="Arial" w:cs="Arial" w:eastAsia="Arial" w:hAnsi="Arial"/>
                <w:sz w:val="18"/>
                <w:szCs w:val="18"/>
                <w:color w:val="auto"/>
              </w:rPr>
              <w:t>Income and volume targets.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7"/>
              </w:rPr>
              <w:t>Integrated two fundamentally different lending platforms on different systems in different</w:t>
            </w:r>
          </w:p>
        </w:tc>
        <w:tc>
          <w:tcPr>
            <w:tcW w:w="18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00" w:type="dxa"/>
            <w:vAlign w:val="bottom"/>
            <w:gridSpan w:val="4"/>
          </w:tcPr>
          <w:p>
            <w:pPr>
              <w:ind w:left="60"/>
              <w:spacing w:after="0"/>
              <w:rPr>
                <w:sz w:val="20"/>
                <w:szCs w:val="20"/>
                <w:color w:val="auto"/>
              </w:rPr>
            </w:pPr>
            <w:r>
              <w:rPr>
                <w:rFonts w:ascii="Arial" w:cs="Arial" w:eastAsia="Arial" w:hAnsi="Arial"/>
                <w:sz w:val="18"/>
                <w:szCs w:val="18"/>
                <w:color w:val="auto"/>
                <w:w w:val="96"/>
              </w:rPr>
              <w:t>locations, while accommodating the closure of a key lending headquarters in the forward</w:t>
            </w:r>
          </w:p>
        </w:tc>
        <w:tc>
          <w:tcPr>
            <w:tcW w:w="1800" w:type="dxa"/>
            <w:vAlign w:val="bottom"/>
          </w:tcPr>
          <w:p>
            <w:pPr>
              <w:spacing w:after="0"/>
              <w:rPr>
                <w:sz w:val="20"/>
                <w:szCs w:val="20"/>
                <w:color w:val="auto"/>
              </w:rPr>
            </w:pPr>
          </w:p>
        </w:tc>
      </w:tr>
    </w:tbl>
    <w:p>
      <w:pPr>
        <w:ind w:left="2600"/>
        <w:spacing w:after="0"/>
        <w:rPr>
          <w:sz w:val="20"/>
          <w:szCs w:val="20"/>
          <w:color w:val="auto"/>
        </w:rPr>
      </w:pPr>
      <w:r>
        <w:rPr>
          <w:rFonts w:ascii="Arial" w:cs="Arial" w:eastAsia="Arial" w:hAnsi="Arial"/>
          <w:sz w:val="18"/>
          <w:szCs w:val="18"/>
          <w:color w:val="auto"/>
        </w:rPr>
        <w:t>lending business.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 Completed numerous state and federal audits throughout 2019 with no material findings.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Scott W. Anderson</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Planned for and executed the integration of the PHH-Ocwen operating platforms and the</w:t>
            </w: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w w:val="97"/>
              </w:rPr>
              <w:t>Black Knight Financial Services, Inc. LoanSphere MSP® servicing system onboarding while</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overseeing 23 functional area integration plans.</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7860" w:type="dxa"/>
            <w:vAlign w:val="bottom"/>
            <w:gridSpan w:val="2"/>
          </w:tcPr>
          <w:p>
            <w:pPr>
              <w:ind w:left="500"/>
              <w:spacing w:after="0"/>
              <w:rPr>
                <w:sz w:val="20"/>
                <w:szCs w:val="20"/>
                <w:color w:val="auto"/>
              </w:rPr>
            </w:pPr>
            <w:r>
              <w:rPr>
                <w:rFonts w:ascii="Arial" w:cs="Arial" w:eastAsia="Arial" w:hAnsi="Arial"/>
                <w:sz w:val="18"/>
                <w:szCs w:val="18"/>
                <w:color w:val="auto"/>
              </w:rPr>
              <w:t>● Surpassed Servicing’s 2019 annualized cost reduction goal by 20%.</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w w:val="98"/>
              </w:rPr>
              <w:t>Developed a dynamic cost of servicing model which enabled us to differentiate/understand</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w w:val="98"/>
              </w:rPr>
              <w:t>servicing costs across three vectors, ultimately transforming the model from an analytic tool</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to a decision-making tool.</w:t>
            </w:r>
          </w:p>
        </w:tc>
        <w:tc>
          <w:tcPr>
            <w:tcW w:w="820" w:type="dxa"/>
            <w:vAlign w:val="bottom"/>
          </w:tcPr>
          <w:p>
            <w:pPr>
              <w:spacing w:after="0"/>
              <w:rPr>
                <w:sz w:val="18"/>
                <w:szCs w:val="18"/>
                <w:color w:val="auto"/>
              </w:rPr>
            </w:pPr>
          </w:p>
        </w:tc>
      </w:tr>
      <w:tr>
        <w:trPr>
          <w:trHeight w:val="230"/>
        </w:trPr>
        <w:tc>
          <w:tcPr>
            <w:tcW w:w="1880" w:type="dxa"/>
            <w:vAlign w:val="bottom"/>
          </w:tcPr>
          <w:p>
            <w:pPr>
              <w:spacing w:after="0"/>
              <w:rPr>
                <w:sz w:val="20"/>
                <w:szCs w:val="20"/>
                <w:color w:val="auto"/>
              </w:rPr>
            </w:pPr>
          </w:p>
        </w:tc>
        <w:tc>
          <w:tcPr>
            <w:tcW w:w="7860" w:type="dxa"/>
            <w:vAlign w:val="bottom"/>
            <w:gridSpan w:val="2"/>
          </w:tcPr>
          <w:p>
            <w:pPr>
              <w:ind w:left="500"/>
              <w:spacing w:after="0"/>
              <w:rPr>
                <w:sz w:val="20"/>
                <w:szCs w:val="20"/>
                <w:color w:val="auto"/>
              </w:rPr>
            </w:pPr>
            <w:r>
              <w:rPr>
                <w:rFonts w:ascii="Arial" w:cs="Arial" w:eastAsia="Arial" w:hAnsi="Arial"/>
                <w:sz w:val="18"/>
                <w:szCs w:val="18"/>
                <w:color w:val="auto"/>
              </w:rPr>
              <w:t>● Delivered on all Servicing regulatory commitments.</w:t>
            </w:r>
          </w:p>
        </w:tc>
        <w:tc>
          <w:tcPr>
            <w:tcW w:w="820" w:type="dxa"/>
            <w:vAlign w:val="bottom"/>
          </w:tcPr>
          <w:p>
            <w:pPr>
              <w:spacing w:after="0"/>
              <w:rPr>
                <w:sz w:val="20"/>
                <w:szCs w:val="20"/>
                <w:color w:val="auto"/>
              </w:rPr>
            </w:pPr>
          </w:p>
        </w:tc>
      </w:tr>
      <w:tr>
        <w:trPr>
          <w:trHeight w:val="418"/>
        </w:trPr>
        <w:tc>
          <w:tcPr>
            <w:tcW w:w="1880" w:type="dxa"/>
            <w:vAlign w:val="bottom"/>
          </w:tcPr>
          <w:p>
            <w:pPr>
              <w:spacing w:after="0"/>
              <w:rPr>
                <w:sz w:val="20"/>
                <w:szCs w:val="20"/>
                <w:color w:val="auto"/>
              </w:rPr>
            </w:pPr>
            <w:r>
              <w:rPr>
                <w:rFonts w:ascii="Arial" w:cs="Arial" w:eastAsia="Arial" w:hAnsi="Arial"/>
                <w:sz w:val="18"/>
                <w:szCs w:val="18"/>
                <w:color w:val="auto"/>
              </w:rPr>
              <w:t>Dennis Zeleny</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Quickly implemented a human capital agenda to support the merger and integration of</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people, processes and programs of Ocwen and PHH.</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Led efforts to achieve Ocwen’s cost and synergy restructuring goals in the areas of site</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w w:val="98"/>
              </w:rPr>
              <w:t>operations and personnel, which included the closing of eight facilities and the reduction of</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over 26% of the workforce from point of PHH’s acquisition.</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7860" w:type="dxa"/>
            <w:vAlign w:val="bottom"/>
            <w:gridSpan w:val="2"/>
          </w:tcPr>
          <w:p>
            <w:pPr>
              <w:ind w:left="500"/>
              <w:spacing w:after="0"/>
              <w:rPr>
                <w:sz w:val="20"/>
                <w:szCs w:val="20"/>
                <w:color w:val="auto"/>
              </w:rPr>
            </w:pPr>
            <w:r>
              <w:rPr>
                <w:rFonts w:ascii="Arial" w:cs="Arial" w:eastAsia="Arial" w:hAnsi="Arial"/>
                <w:sz w:val="18"/>
                <w:szCs w:val="18"/>
                <w:color w:val="auto"/>
              </w:rPr>
              <w:t>● Executed human capital plan including staffing efforts, extensive communication, and</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providing each outplaced employee with professional transition support.</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w w:val="99"/>
              </w:rPr>
              <w:t>Developed and deployed training to over 4,000 employees on the new mortgage servicing</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platform which was a critical requirement of the integration.</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w w:val="98"/>
              </w:rPr>
              <w:t>Demonstrated significant agility in responding to unplanned human capital business needs,</w:t>
            </w:r>
          </w:p>
        </w:tc>
        <w:tc>
          <w:tcPr>
            <w:tcW w:w="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including the design and launch of new corporate performance management process and</w:t>
            </w:r>
          </w:p>
        </w:tc>
        <w:tc>
          <w:tcPr>
            <w:tcW w:w="820" w:type="dxa"/>
            <w:vAlign w:val="bottom"/>
          </w:tcPr>
          <w:p>
            <w:pPr>
              <w:spacing w:after="0"/>
              <w:rPr>
                <w:sz w:val="18"/>
                <w:szCs w:val="18"/>
                <w:color w:val="auto"/>
              </w:rPr>
            </w:pPr>
          </w:p>
        </w:tc>
      </w:tr>
      <w:tr>
        <w:trPr>
          <w:trHeight w:val="230"/>
        </w:trPr>
        <w:tc>
          <w:tcPr>
            <w:tcW w:w="1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long-term incentive program.</w:t>
            </w:r>
          </w:p>
        </w:tc>
        <w:tc>
          <w:tcPr>
            <w:tcW w:w="8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Calculation of Total 2019 AIP Awards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Outlined below are the payout results (expressed as a percentage) for each component of the annual incentive opportunity: corporate component (based on the Corporate Scorecard), business unit component (based on the Business Unit Scorecard), individual component (individual performance multiplier based on performance appraisal) and total payout as a percentage of target annual incentive for each NEO.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w w:val="99"/>
              </w:rPr>
              <w:t>Payout for Annual Incentive Awards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Organization Performance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Individual Performance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Final Award</w:t>
            </w: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Final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2"/>
              </w:rPr>
              <w:t>Business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Reduction to</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7"/>
              </w:rPr>
              <w:t>Unit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Remain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Payout (as a</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Component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Component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Baseline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Resulting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within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 of Target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(80%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(20%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Funding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Preliminary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277"/>
        </w:trPr>
        <w:tc>
          <w:tcPr>
            <w:tcW w:w="316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weight)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weight)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(100%)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Multiplier</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Award</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Budget</w:t>
            </w:r>
            <w:r>
              <w:rPr>
                <w:rFonts w:ascii="Arial" w:cs="Arial" w:eastAsia="Arial" w:hAnsi="Arial"/>
                <w:sz w:val="29"/>
                <w:szCs w:val="29"/>
                <w:b w:val="1"/>
                <w:bCs w:val="1"/>
                <w:color w:val="auto"/>
                <w:w w:val="84"/>
                <w:vertAlign w:val="superscript"/>
              </w:rPr>
              <w:t>(1)</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Incentive)</w:t>
            </w: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102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113.5%</w:t>
            </w:r>
            <w:r>
              <w:rPr>
                <w:rFonts w:ascii="Arial" w:cs="Arial" w:eastAsia="Arial" w:hAnsi="Arial"/>
                <w:sz w:val="29"/>
                <w:szCs w:val="29"/>
                <w:color w:val="auto"/>
                <w:w w:val="84"/>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113.5%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88"/>
              </w:rPr>
              <w:t>x</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136.0%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113.5%</w:t>
            </w:r>
          </w:p>
        </w:tc>
        <w:tc>
          <w:tcPr>
            <w:tcW w:w="12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114.6%</w:t>
            </w:r>
          </w:p>
        </w:tc>
        <w:tc>
          <w:tcPr>
            <w:tcW w:w="12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113.7%</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88"/>
              </w:rPr>
              <w:t>x</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130.8%</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125.4%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88"/>
              </w:rPr>
              <w:t>x</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119.5%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113.5%</w:t>
            </w:r>
          </w:p>
        </w:tc>
        <w:tc>
          <w:tcPr>
            <w:tcW w:w="12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118.0%</w:t>
            </w:r>
          </w:p>
        </w:tc>
        <w:tc>
          <w:tcPr>
            <w:tcW w:w="12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114.4%</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88"/>
              </w:rPr>
              <w:t>x</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137.3%</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131.6%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88"/>
              </w:rPr>
              <w:t>x</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x</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129.5%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194" w:lineRule="auto"/>
        <w:tabs>
          <w:tab w:leader="none" w:pos="66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A negative adjustment of 4.14% was applied to all AIP eligible employees, including our NEOs, in order to remain within the budgeted cost for the 2019 AIP program.</w:t>
      </w:r>
    </w:p>
    <w:p>
      <w:pPr>
        <w:ind w:left="660" w:hanging="328"/>
        <w:spacing w:after="0" w:line="180"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Mr. Messina’s Total Baseline Funding was weighted 100% on Corporate Performance.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2019 Long-Term Incentive Plan (LTIP)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Ocwen’s long-term incentive opportunity for eligible employees, including executive officers, through equity awards is provided under the 2017 Performance Incentive Plan (the “2017 Plan”). The 2017 Plan authorizes the grant of restricted stock, restricted stock units, options, stock appreciation rights or other equity-based awards, including cash-settled awards, to our employees (including executive officers), directors, advisors and consultants. To date, we have made grants under the 2017 Plan only to employees and directors. We implemented the 2017 Plan to motivate employees to make extraordinary efforts to achieve significant improvements to shareholder value, support retention of key employees and align the interests of our employees with the interests of our shareholders.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periodically reviews the granting of equity awards to employees based on such factors as Company performance, market competitive conditions and advice on executive compensation from the Compensation Committee’s independent compensation consultant.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Long-Term Incentive (LTI) Awards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annual LTI is designed to promote actions and decisions aligned with our strategic objectives and reward our executives and other program participants for long-term value creation for our shareholders in a manner that is consistent with our pay-for-performance philosophy. The implementation of the annual LTI program in 2019 is a continuation of our compensation strategy to ensure that our executives’ overall pay mix accounts for both short-term and long-term objectives and will result in reduced target short-term compensation delivered through our Annual Incentive Plan.</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program includes both a time-vesting component for retention purposes and performance-based component to align with pay-for-performance objectives. Half of the target value is granted as restricted stock units (RSUs) vesting in equal thirds on the first, second and third anniversaries of the grant, and half is granted as performance-restricted stock units (PRSUs) vesting at the end of a measurement period from March 29, 2019 through March 29, 2021 based on cumulative Total Shareholder Return (TSR) during such period. The number of target PRSUs that may vest based on cumulative TSR performance during the measurement period are interpolated between threshold 50% of PRSUs at 27.3% TSR, target 100% of PRSUs at 59.1% TSR, and maximum 200% of PRSUs at 91.0% TSR. No PRSUs will vest if TSR is below threshold.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Messrs. Messina, Anderson, Yanoti and Zeleny and Ms. Dondzila received awards under the 2019 annual LTI program. Ms. Dondzila’s award was later forfeited prior to any vesting upon her resignation. With the exception of Mr. Messina’s award, these awards will be cash-settled to avoid share dilution, but were granted as share-based units to align final award value with share performance.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Messrs. Messina and Anderson and Ms. Dondzila received additional “transitional” awards relating to the 35% reduction of their 2018 bonus payment. Ms. Dondzila’s award was later forfeited prior to any vesting upon her resignation. These cash-settled restricted stock unit awards vest in equal thirds on the first, second and third anniversaries of the grant dates based on the Company's cumulative TSR during three performance periods, each beginning March 29, 2019. The number of target PRSUs that may vest range based on cumulative TSR performance during each measurement period are interpolated between 50% at threshold, 100% at target, and 200% at maximum. No PRSUs will vest if cumulative TSR is below threshold. For the one-, two- and three-year periods ending March 29, 2020, 2021 and 2022, cumulative TSR performance thresholds are 8.4%, 17.4% and 27.3%, targets are 16.7%, 36.3% and 59.1%, and maximums are 24.0%, 54.0% and 94.0%, respectively.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Ms. Campbell’s new hire offer, she was granted the following equity awards on March 4, 2019: (1) a stock option with a grant date fair value of $72,000 and an exercise price equal to the closing price of our stock on the date of grant, which vest in equal thirds on the first, second and third anniversaries of the grant date, (2) RSUs with a grant date fair value of $53,000, which vest in equal thirds on the first, second and third anniversaries of the grant date, and (3) PRSUs with a grant date fair value of $125,000, which vest in equal fourths on the first, second, third and fourth anniversaries of the grant date, provided that on or before the fourth anniversary of the grant date, the average of the closing stock price over a period of 20 consecutive trading days equal or exceeds $4.34. Ms. Campbell did not receive any awards under the 2019 annual LTI program but expects to participate in the 2020 annual LTI program.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The table below shows the annual target value of equity awards granted to our current NEOs in 2019 as well the percentage of the target value of such equity awards that are subject to performance vesting.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Annual</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Annual</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Target Value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Target</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Target Value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Granted as</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Target</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Target</w:t>
            </w:r>
          </w:p>
        </w:tc>
        <w:tc>
          <w:tcPr>
            <w:tcW w:w="11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Granted as</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Performance</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 of</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 of</w:t>
            </w:r>
          </w:p>
        </w:tc>
        <w:tc>
          <w:tcPr>
            <w:tcW w:w="11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Target Value</w:t>
            </w: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Restricted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Awards</w:t>
            </w:r>
          </w:p>
        </w:tc>
        <w:tc>
          <w:tcPr>
            <w:tcW w:w="11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that is</w:t>
            </w: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Stock Units</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Stock Units</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Units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Granted</w:t>
            </w:r>
          </w:p>
        </w:tc>
        <w:tc>
          <w:tcPr>
            <w:tcW w:w="11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Performance</w:t>
            </w:r>
          </w:p>
        </w:tc>
      </w:tr>
      <w:tr>
        <w:trPr>
          <w:trHeight w:val="24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Based</w:t>
            </w:r>
          </w:p>
        </w:tc>
        <w:tc>
          <w:tcPr>
            <w:tcW w:w="160" w:type="dxa"/>
            <w:vAlign w:val="bottom"/>
            <w:tcBorders>
              <w:bottom w:val="single" w:sz="8" w:color="CCEEFF"/>
            </w:tcBorders>
          </w:tcPr>
          <w:p>
            <w:pPr>
              <w:spacing w:after="0"/>
              <w:rPr>
                <w:sz w:val="20"/>
                <w:szCs w:val="20"/>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Glen A. Messina</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1,125,000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1,125,000</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115,212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2,365,212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4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June C. Campbell</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53,000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Timothy J. Yanoti</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Scott W. Anderson</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150,000</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175,000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475,000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Dennis Zeleny</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187,500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Catherine M. Dondzila</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54,138</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54,138</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96,915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205,190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Realizable Value of Outstanding Equity at Year-End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illustrating Ocwen’s commitment to shareholder alignment, if the year-end share price stays flat in future performance and vesting periods, it would result in a 75% average loss of target LTI value for our executives for awards granted over the past three years. (As reference, no equity awards were granted to NEOs between March 30, 2016 and October 3, 2018.) As shown below, based on $1.37 closing share price on December 31, 2019, all performance-based units would be forfeited and stock options would be underwater, in addition to the 52% total reduction in RSU value compared to their grant date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1"/>
              </w:rPr>
              <w:t>Award Value at $1.37 Share Price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Realizable</w:t>
            </w: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Target</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Realizable</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Realizable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 of</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Change in</w:t>
            </w: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Change in</w:t>
            </w: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Performance</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Outstanding</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Award</w:t>
            </w: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4"/>
              </w:rPr>
              <w:t>Award</w:t>
            </w: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Units at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Restricted</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Value from</w:t>
            </w: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Value from</w:t>
            </w: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Grant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Stock Units</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Stock Units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Grant</w:t>
            </w: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9"/>
              </w:rPr>
              <w:t>Grant</w:t>
            </w:r>
          </w:p>
        </w:tc>
      </w:tr>
      <w:tr>
        <w:trPr>
          <w:trHeight w:val="241"/>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43"/>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Glen A. Messina</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6,165,214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1,672,314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-4,492,900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June C. Campbell</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33,461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-216,540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Timothy J. Yanoti</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958,332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241,287</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Scott W. Anderson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475,000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112,911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-362,088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Dennis Zeleny</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135,197</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Stock Ownership and Prohibition against Short Sales, Hedging and Margin Accounts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do not have stock ownership requirements for our executives,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an Insider Trading Prevention Policy that governs the timing of transactions in securities of the Company by directors and executives. In addition, the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and to discourage active trading or short-term speculation.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maintains an incentive compensation clawback policy that allows our Board of Directors or the Compensation Committee to recoup incentive compensation if the Company restates its financial statements. The policy applies to cash or equity incentive payments or awards to Covered Individuals (as defined below) when (1) the amount of any such payment or award was determined based on the achievement of financial results that were subsequently the subject of an accounting restatement due to noncompliance with any financial reporting requirement under federal securities laws, (2) a lesser (or no) payment or award would have been made based upon the restated financial results, and (3) the payment or award was received (or the applicable vesting event of the award occurred) during the three-year period preceding the date on which the Company is required to prepare such accounting restatement. For purposes of the policy, a “Covered Individual” means any current or former employee who, at the time of receipt of any such payment or award, was an executive officer of the Company or an Executive Vice President or more senior officer of the Company or any of its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Other than these restrictive covenants, we generally do not have non-competition or non-solicitation agreements with our executive officers. From time to time, we enter into separation agreements with executive officers that contain these provisions. In addition, certain of our equity award agreements contain provisions that provide that post-retirement vesting or exercise of the award, as applicable, is dependent on compliance with certain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new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Also under the new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CEO Pay-Ratio Disclosure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2019 was $7,562,330 and the median of the total 2019 compensation of all of our employees (excluding our CEO) was $33,651 (after applying a cost-of-living adjustment and converting foreign currency to U.S. dollars, as described below). Accordingly, we estimate the cost-of-living-adjusted ratio of our CEO’s total compensation for 2019 to the median of the total 2019 compensation of all of our employees (excluding our CEO) to be 225 to 1.</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the median employee by taking into account the total compensation paid for 2019 to all individuals, excluding our CEO, who were employed by us or one of our subsidiaries on December 31, 2019. We included all employees, whether employed on a full-time, part-time, or seasonal basis. We did not annualize the compensation for any employees who were not employed by us for all of 2019. We applied a cost of living adjustment to employees employed outside of the United States as described below. Once the median employee was identified as described above, that employee’s total compensation for 2019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only considered our U.S.-based employees (excluding our CEO) in identifying the median employee using the methodology otherwise described above, we determined that our median U.S.-based employee’s total compensation was $57,598. Accordingly, we estimate the resulting ratio of our CEO’s total compensation to the median of the total compensation of all our U.S.-based employees (excluding our CEO) to be 131 to 1.</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calculating the compensation of our employees in the Philippines, we applied a currency conversion factor based on the U.S. dollar to Philippines Peso exchange rate as of December 31, 2019. In calculating the compensation of our employees in India, we applied a currency conversion factor based on the</w:t>
      </w:r>
    </w:p>
    <w:p>
      <w:pPr>
        <w:jc w:val="both"/>
        <w:spacing w:after="0" w:line="234" w:lineRule="auto"/>
        <w:rPr>
          <w:sz w:val="20"/>
          <w:szCs w:val="20"/>
          <w:color w:val="auto"/>
        </w:rPr>
      </w:pPr>
      <w:r>
        <w:rPr>
          <w:rFonts w:ascii="Arial" w:cs="Arial" w:eastAsia="Arial" w:hAnsi="Arial"/>
          <w:sz w:val="16"/>
          <w:szCs w:val="16"/>
          <w:color w:val="auto"/>
        </w:rPr>
        <w:t>U.S. dollar to Indian Rupee exchange rate as of December 31, 2019.</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As permitted under SEC rules, in identifying the median employee and in presenting the median employee’s total 2019 compensation above, we applied a cost-of-living adjustment to the compensation of employees outside the United States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based on a purchasing power parity conversion factor published by The World Bank for 2018.</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$10,916 and we estimate the resulting ratio of our CEO’s total compensation to the median of the total compensation of all of our employees (excluding our CEO) would have been to 693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5" w:lineRule="exact"/>
        <w:rPr>
          <w:sz w:val="20"/>
          <w:szCs w:val="20"/>
          <w:color w:val="auto"/>
        </w:rPr>
      </w:pPr>
    </w:p>
    <w:p>
      <w:pPr>
        <w:ind w:right="20" w:firstLine="8"/>
        <w:spacing w:after="0" w:line="207" w:lineRule="auto"/>
        <w:tabs>
          <w:tab w:leader="none" w:pos="112"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As reported by the U.S. Bureau of the Fiscal Service Treasury Reporting Rates of Exchange as of December 31, 2019, the Indian Rupee to U.S. Dollar to conversion rate was 71:1 and the Philippines Peso to U.S. Dollar to conversion rate was 50.64:1.</w:t>
      </w:r>
    </w:p>
    <w:p>
      <w:pPr>
        <w:spacing w:after="0" w:line="242" w:lineRule="exact"/>
        <w:rPr>
          <w:sz w:val="20"/>
          <w:szCs w:val="20"/>
          <w:color w:val="auto"/>
        </w:rPr>
      </w:pPr>
    </w:p>
    <w:p>
      <w:pPr>
        <w:jc w:val="both"/>
        <w:ind w:firstLine="8"/>
        <w:spacing w:after="0" w:line="237" w:lineRule="auto"/>
        <w:tabs>
          <w:tab w:leader="none" w:pos="112"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The “price level ratio of PPP conversion factor (GDP) to market exchange rate” published by the World Bank indicates how many U.S. dollars are needed to buy one U.S. dollar’s worth of goods in a particular country. For 2018, the most recent data accessible, the ratio reported for both India and the Philippines was 0.3, meaning the local currency equivalent of $1 purchased $3.33 worth of goods in those countries. Accordingly, we multiplied the 2019 compensation of each employee based in India or the Philippines by 3.33 prior to identifying the employee with the median of the total 2019 compensation and in presenting such employee’s total compensation in order to reflect a cost-of-living adjustment.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of this proxy statement with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April [●], 2020</w:t>
      </w:r>
      <w:r>
        <w:rPr>
          <w:sz w:val="20"/>
          <w:szCs w:val="20"/>
          <w:color w:val="auto"/>
        </w:rPr>
        <w:tab/>
      </w:r>
      <w:r>
        <w:rPr>
          <w:rFonts w:ascii="Arial" w:cs="Arial" w:eastAsia="Arial" w:hAnsi="Arial"/>
          <w:sz w:val="16"/>
          <w:szCs w:val="16"/>
          <w:b w:val="1"/>
          <w:bCs w:val="1"/>
          <w:color w:val="auto"/>
        </w:rPr>
        <w:t>Compensation Committee: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DeForest B. Soaries, Jr., Chair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Jenne K. Britell, Director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Jacques J. Busquet,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Summary Compensation Table - 2017, 2018 and 2019</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concerning the compensation of our named executive officers for the 2019, 2018 and 2017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Non-Equity</w:t>
            </w: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3"/>
              </w:rPr>
              <w:t>Incentive Plan</w:t>
            </w:r>
          </w:p>
        </w:tc>
        <w:tc>
          <w:tcPr>
            <w:tcW w:w="13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5"/>
                <w:szCs w:val="15"/>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Bonus</w:t>
            </w:r>
          </w:p>
        </w:tc>
        <w:tc>
          <w:tcPr>
            <w:tcW w:w="1000" w:type="dxa"/>
            <w:vAlign w:val="bottom"/>
            <w:gridSpan w:val="2"/>
          </w:tcPr>
          <w:p>
            <w:pPr>
              <w:jc w:val="center"/>
              <w:ind w:right="320"/>
              <w:spacing w:after="0" w:line="179" w:lineRule="exact"/>
              <w:rPr>
                <w:sz w:val="20"/>
                <w:szCs w:val="20"/>
                <w:color w:val="auto"/>
              </w:rPr>
            </w:pPr>
            <w:r>
              <w:rPr>
                <w:rFonts w:ascii="Arial" w:cs="Arial" w:eastAsia="Arial" w:hAnsi="Arial"/>
                <w:sz w:val="13"/>
                <w:szCs w:val="13"/>
                <w:b w:val="1"/>
                <w:bCs w:val="1"/>
                <w:color w:val="auto"/>
                <w:w w:val="94"/>
              </w:rPr>
              <w:t>Awards</w:t>
            </w:r>
            <w:r>
              <w:rPr>
                <w:rFonts w:ascii="Arial" w:cs="Arial" w:eastAsia="Arial" w:hAnsi="Arial"/>
                <w:sz w:val="20"/>
                <w:szCs w:val="20"/>
                <w:b w:val="1"/>
                <w:bCs w:val="1"/>
                <w:color w:val="auto"/>
                <w:w w:val="94"/>
                <w:vertAlign w:val="superscript"/>
              </w:rPr>
              <w:t>(1)</w:t>
            </w:r>
          </w:p>
        </w:tc>
        <w:tc>
          <w:tcPr>
            <w:tcW w:w="820" w:type="dxa"/>
            <w:vAlign w:val="bottom"/>
            <w:gridSpan w:val="2"/>
          </w:tcPr>
          <w:p>
            <w:pPr>
              <w:jc w:val="center"/>
              <w:ind w:right="160"/>
              <w:spacing w:after="0" w:line="179"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b w:val="1"/>
                <w:bCs w:val="1"/>
                <w:color w:val="auto"/>
                <w:w w:val="97"/>
                <w:vertAlign w:val="superscript"/>
              </w:rPr>
              <w:t>(1)</w:t>
            </w:r>
          </w:p>
        </w:tc>
        <w:tc>
          <w:tcPr>
            <w:tcW w:w="1480" w:type="dxa"/>
            <w:vAlign w:val="bottom"/>
            <w:gridSpan w:val="3"/>
          </w:tcPr>
          <w:p>
            <w:pPr>
              <w:jc w:val="center"/>
              <w:ind w:right="140"/>
              <w:spacing w:after="0" w:line="179" w:lineRule="exact"/>
              <w:rPr>
                <w:sz w:val="20"/>
                <w:szCs w:val="20"/>
                <w:color w:val="auto"/>
              </w:rPr>
            </w:pPr>
            <w:r>
              <w:rPr>
                <w:rFonts w:ascii="Arial" w:cs="Arial" w:eastAsia="Arial" w:hAnsi="Arial"/>
                <w:sz w:val="13"/>
                <w:szCs w:val="13"/>
                <w:b w:val="1"/>
                <w:bCs w:val="1"/>
                <w:color w:val="auto"/>
                <w:w w:val="95"/>
              </w:rPr>
              <w:t>Compensation</w:t>
            </w:r>
            <w:r>
              <w:rPr>
                <w:rFonts w:ascii="Arial" w:cs="Arial" w:eastAsia="Arial" w:hAnsi="Arial"/>
                <w:sz w:val="20"/>
                <w:szCs w:val="20"/>
                <w:b w:val="1"/>
                <w:bCs w:val="1"/>
                <w:color w:val="auto"/>
                <w:w w:val="95"/>
                <w:vertAlign w:val="superscript"/>
              </w:rPr>
              <w:t>(2)</w:t>
            </w:r>
          </w:p>
        </w:tc>
        <w:tc>
          <w:tcPr>
            <w:tcW w:w="1340" w:type="dxa"/>
            <w:vAlign w:val="bottom"/>
            <w:gridSpan w:val="2"/>
          </w:tcPr>
          <w:p>
            <w:pPr>
              <w:jc w:val="center"/>
              <w:ind w:right="300"/>
              <w:spacing w:after="0" w:line="179" w:lineRule="exact"/>
              <w:rPr>
                <w:sz w:val="20"/>
                <w:szCs w:val="20"/>
                <w:color w:val="auto"/>
              </w:rPr>
            </w:pPr>
            <w:r>
              <w:rPr>
                <w:rFonts w:ascii="Arial" w:cs="Arial" w:eastAsia="Arial" w:hAnsi="Arial"/>
                <w:sz w:val="13"/>
                <w:szCs w:val="13"/>
                <w:b w:val="1"/>
                <w:bCs w:val="1"/>
                <w:color w:val="auto"/>
                <w:w w:val="97"/>
              </w:rPr>
              <w:t>Compensation</w:t>
            </w:r>
            <w:r>
              <w:rPr>
                <w:rFonts w:ascii="Arial" w:cs="Arial" w:eastAsia="Arial" w:hAnsi="Arial"/>
                <w:sz w:val="20"/>
                <w:szCs w:val="20"/>
                <w:b w:val="1"/>
                <w:bCs w:val="1"/>
                <w:color w:val="auto"/>
                <w:w w:val="97"/>
                <w:vertAlign w:val="superscript"/>
              </w:rPr>
              <w:t>(3)</w:t>
            </w: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8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Glen A. Messina</w:t>
            </w:r>
          </w:p>
        </w:tc>
        <w:tc>
          <w:tcPr>
            <w:tcW w:w="820" w:type="dxa"/>
            <w:vAlign w:val="bottom"/>
            <w:gridSpan w:val="2"/>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900,000</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2,518,950</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1,529,974</w:t>
            </w:r>
          </w:p>
        </w:tc>
        <w:tc>
          <w:tcPr>
            <w:tcW w:w="13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2,613,406</w:t>
            </w: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7,562,330</w:t>
            </w: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President and Chief Executive Officer</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214,615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4,050,001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791,035</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213,966</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1,690,804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6,960,421</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June C. Campbell</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7"/>
              </w:rPr>
              <w:t>Executive Vice President and Chief Financial</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spacing w:after="0" w:line="225"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(4)</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370,673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253,757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153,986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51,432</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468,583</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120,113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1,418,545</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8"/>
              </w:rPr>
              <w:t xml:space="preserve">Timothy J. Yanoti </w:t>
            </w:r>
            <w:r>
              <w:rPr>
                <w:rFonts w:ascii="Arial" w:cs="Arial" w:eastAsia="Arial" w:hAnsi="Arial"/>
                <w:sz w:val="14"/>
                <w:szCs w:val="14"/>
                <w:color w:val="auto"/>
                <w:w w:val="98"/>
              </w:rPr>
              <w:t>Executive Vice President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and Chief Growth Officer</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450,001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559,066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597,359</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80,804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1,687,230</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Scott W. Anderson</w:t>
            </w:r>
          </w:p>
        </w:tc>
        <w:tc>
          <w:tcPr>
            <w:tcW w:w="820" w:type="dxa"/>
            <w:vAlign w:val="bottom"/>
            <w:gridSpan w:val="2"/>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538,002</w:t>
            </w:r>
          </w:p>
        </w:tc>
        <w:tc>
          <w:tcPr>
            <w:tcW w:w="8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592,207</w:t>
            </w:r>
          </w:p>
        </w:tc>
        <w:tc>
          <w:tcPr>
            <w:tcW w:w="13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1,630,208</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 Chief Servicing</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Officer</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314,236</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814,236</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2017</w:t>
            </w: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542,984</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1,043,734</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Dennis Zeleny</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Executive Vice President and Chief</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spacing w:after="0" w:line="225" w:lineRule="exact"/>
              <w:rPr>
                <w:sz w:val="20"/>
                <w:szCs w:val="20"/>
                <w:color w:val="auto"/>
              </w:rPr>
            </w:pPr>
            <w:r>
              <w:rPr>
                <w:rFonts w:ascii="Arial" w:cs="Arial" w:eastAsia="Arial" w:hAnsi="Arial"/>
                <w:sz w:val="14"/>
                <w:szCs w:val="14"/>
                <w:color w:val="auto"/>
              </w:rPr>
              <w:t>Administrative Officer</w:t>
            </w:r>
            <w:r>
              <w:rPr>
                <w:rFonts w:ascii="Arial" w:cs="Arial" w:eastAsia="Arial" w:hAnsi="Arial"/>
                <w:sz w:val="23"/>
                <w:szCs w:val="23"/>
                <w:color w:val="auto"/>
                <w:vertAlign w:val="superscript"/>
              </w:rPr>
              <w:t>(5)</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176,539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350,000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409,539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163,879</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426,000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1,525,956</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Catherine M. Dondzila</w:t>
            </w:r>
          </w:p>
        </w:tc>
        <w:tc>
          <w:tcPr>
            <w:tcW w:w="820" w:type="dxa"/>
            <w:vAlign w:val="bottom"/>
            <w:gridSpan w:val="2"/>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183,235</w:t>
            </w:r>
          </w:p>
        </w:tc>
        <w:tc>
          <w:tcPr>
            <w:tcW w:w="98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233,244</w:t>
            </w:r>
          </w:p>
        </w:tc>
        <w:tc>
          <w:tcPr>
            <w:tcW w:w="8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868,645</w:t>
            </w: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1,285,124</w:t>
            </w: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Former Senior Vice President and Chief</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spacing w:after="0" w:line="225" w:lineRule="exact"/>
              <w:rPr>
                <w:sz w:val="20"/>
                <w:szCs w:val="20"/>
                <w:color w:val="auto"/>
              </w:rPr>
            </w:pPr>
            <w:r>
              <w:rPr>
                <w:rFonts w:ascii="Arial" w:cs="Arial" w:eastAsia="Arial" w:hAnsi="Arial"/>
                <w:sz w:val="14"/>
                <w:szCs w:val="14"/>
                <w:color w:val="auto"/>
              </w:rPr>
              <w:t>Accounting Officer</w:t>
            </w:r>
            <w:r>
              <w:rPr>
                <w:rFonts w:ascii="Arial" w:cs="Arial" w:eastAsia="Arial" w:hAnsi="Arial"/>
                <w:sz w:val="23"/>
                <w:szCs w:val="23"/>
                <w:color w:val="auto"/>
                <w:vertAlign w:val="superscript"/>
              </w:rPr>
              <w:t>(6)</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433,100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159,197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598,497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1" w:lineRule="auto"/>
        <w:tabs>
          <w:tab w:leader="none" w:pos="34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grant date fair value of stock awards and stock options, computed in accordance with FASB ASC 718. These amounts do not represent the actual amounts paid to or realized by the executive. We based the grant date fair value of stock awards with a service condition on the average of the high and low prices of our common stock as reported on the New York Stock Exchange on the date of grant of the awards. The fair value of the time-based option awards was determined using the Black-Scholes options pricing model.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 Additional detail regarding the calculation of these values is included in Note [22] to our audited financial statements for the fiscal year ended December 31, 2019, which are included in our Annual Report on Form 10-K filed with the Securities and Exchange Commission on February 26, 2020.</w:t>
      </w:r>
    </w:p>
    <w:p>
      <w:pPr>
        <w:spacing w:after="0" w:line="4" w:lineRule="exact"/>
        <w:rPr>
          <w:rFonts w:ascii="Arial" w:cs="Arial" w:eastAsia="Arial" w:hAnsi="Arial"/>
          <w:sz w:val="27"/>
          <w:szCs w:val="27"/>
          <w:color w:val="auto"/>
          <w:vertAlign w:val="superscript"/>
        </w:rPr>
      </w:pP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Represents annual incentive compensation earned in the corresponding year and paid in the first quarter of the following year.</w:t>
      </w:r>
    </w:p>
    <w:p>
      <w:pPr>
        <w:spacing w:after="0" w:line="2" w:lineRule="exact"/>
        <w:rPr>
          <w:rFonts w:ascii="Arial" w:cs="Arial" w:eastAsia="Arial" w:hAnsi="Arial"/>
          <w:sz w:val="25"/>
          <w:szCs w:val="25"/>
          <w:color w:val="auto"/>
          <w:vertAlign w:val="superscript"/>
        </w:rPr>
      </w:pPr>
    </w:p>
    <w:p>
      <w:pPr>
        <w:ind w:left="340" w:hanging="332"/>
        <w:spacing w:after="0" w:line="194" w:lineRule="auto"/>
        <w:tabs>
          <w:tab w:leader="none" w:pos="340"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Amounts shown in this column are set forth in the supplemental “All Other Compensation” table below.</w:t>
      </w:r>
    </w:p>
    <w:p>
      <w:pPr>
        <w:spacing w:after="0" w:line="2" w:lineRule="exact"/>
        <w:rPr>
          <w:rFonts w:ascii="Arial" w:cs="Arial" w:eastAsia="Arial" w:hAnsi="Arial"/>
          <w:sz w:val="23"/>
          <w:szCs w:val="23"/>
          <w:color w:val="auto"/>
          <w:vertAlign w:val="superscript"/>
        </w:rPr>
      </w:pPr>
    </w:p>
    <w:p>
      <w:pPr>
        <w:ind w:left="340" w:hanging="332"/>
        <w:spacing w:after="0" w:line="187" w:lineRule="auto"/>
        <w:tabs>
          <w:tab w:leader="none" w:pos="34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Ms. Campbell assumed the role of Executive Vice President and Chief Financial Officer on March 4, 2019. In connection with her employment and to induce her to join the company, she received a signing bonus which is reported in the “Bonus” column.</w:t>
      </w:r>
    </w:p>
    <w:p>
      <w:pPr>
        <w:ind w:left="340" w:hanging="332"/>
        <w:spacing w:after="0" w:line="187" w:lineRule="auto"/>
        <w:tabs>
          <w:tab w:leader="none" w:pos="34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Mr. Zeleny assumed the role of Executive Vice President and Chief Administrative Officer on July 31, 2019. In connection with his employment and to induce him to join the company, he received a signing bonus which is reported in the “Bonus” column.</w:t>
      </w:r>
    </w:p>
    <w:p>
      <w:pPr>
        <w:spacing w:after="0" w:line="1" w:lineRule="exact"/>
        <w:rPr>
          <w:rFonts w:ascii="Arial" w:cs="Arial" w:eastAsia="Arial" w:hAnsi="Arial"/>
          <w:sz w:val="30"/>
          <w:szCs w:val="30"/>
          <w:color w:val="auto"/>
          <w:vertAlign w:val="superscript"/>
        </w:rPr>
      </w:pP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Ms. Dondzila resigned as Senior Vice President and Chief Accounting Officer on May 31, 2019.</w:t>
      </w: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All Other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additional information about the amounts that appear in the “All Other Compensation” column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401(k) Matching</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2"/>
          </w:tcPr>
          <w:p>
            <w:pPr>
              <w:jc w:val="center"/>
              <w:ind w:right="340"/>
              <w:spacing w:after="0" w:line="252" w:lineRule="exact"/>
              <w:rPr>
                <w:sz w:val="20"/>
                <w:szCs w:val="20"/>
                <w:color w:val="auto"/>
              </w:rPr>
            </w:pPr>
            <w:r>
              <w:rPr>
                <w:rFonts w:ascii="Arial" w:cs="Arial" w:eastAsia="Arial" w:hAnsi="Arial"/>
                <w:sz w:val="18"/>
                <w:szCs w:val="18"/>
                <w:b w:val="1"/>
                <w:bCs w:val="1"/>
                <w:color w:val="auto"/>
                <w:w w:val="88"/>
              </w:rPr>
              <w:t>Contributions</w:t>
            </w:r>
            <w:r>
              <w:rPr>
                <w:rFonts w:ascii="Arial" w:cs="Arial" w:eastAsia="Arial" w:hAnsi="Arial"/>
                <w:sz w:val="29"/>
                <w:szCs w:val="29"/>
                <w:b w:val="1"/>
                <w:bCs w:val="1"/>
                <w:color w:val="auto"/>
                <w:w w:val="88"/>
                <w:vertAlign w:val="superscript"/>
              </w:rPr>
              <w:t>(1)</w:t>
            </w:r>
          </w:p>
        </w:tc>
        <w:tc>
          <w:tcPr>
            <w:tcW w:w="2240" w:type="dxa"/>
            <w:vAlign w:val="bottom"/>
            <w:gridSpan w:val="2"/>
          </w:tcPr>
          <w:p>
            <w:pPr>
              <w:jc w:val="center"/>
              <w:ind w:right="340"/>
              <w:spacing w:after="0" w:line="252" w:lineRule="exact"/>
              <w:rPr>
                <w:sz w:val="20"/>
                <w:szCs w:val="20"/>
                <w:color w:val="auto"/>
              </w:rPr>
            </w:pPr>
            <w:r>
              <w:rPr>
                <w:rFonts w:ascii="Arial" w:cs="Arial" w:eastAsia="Arial" w:hAnsi="Arial"/>
                <w:sz w:val="18"/>
                <w:szCs w:val="18"/>
                <w:b w:val="1"/>
                <w:bCs w:val="1"/>
                <w:color w:val="auto"/>
                <w:w w:val="86"/>
              </w:rPr>
              <w:t>Relocation Benefits</w:t>
            </w:r>
            <w:r>
              <w:rPr>
                <w:rFonts w:ascii="Arial" w:cs="Arial" w:eastAsia="Arial" w:hAnsi="Arial"/>
                <w:sz w:val="29"/>
                <w:szCs w:val="29"/>
                <w:b w:val="1"/>
                <w:bCs w:val="1"/>
                <w:color w:val="auto"/>
                <w:w w:val="86"/>
                <w:vertAlign w:val="superscript"/>
              </w:rPr>
              <w:t>(2)</w:t>
            </w:r>
          </w:p>
        </w:tc>
        <w:tc>
          <w:tcPr>
            <w:tcW w:w="154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241"/>
        </w:trPr>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Executive Officer</w:t>
            </w:r>
          </w:p>
        </w:tc>
        <w:tc>
          <w:tcPr>
            <w:tcW w:w="22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83"/>
        </w:trPr>
        <w:tc>
          <w:tcPr>
            <w:tcW w:w="362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Glen A. Messina</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7,269</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577,971</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2,028,165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2,613,406</w:t>
            </w:r>
          </w:p>
        </w:tc>
      </w:tr>
      <w:tr>
        <w:trPr>
          <w:trHeight w:val="243"/>
        </w:trPr>
        <w:tc>
          <w:tcPr>
            <w:tcW w:w="384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120,113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120,113</w:t>
            </w:r>
          </w:p>
        </w:tc>
      </w:tr>
      <w:tr>
        <w:trPr>
          <w:trHeight w:val="243"/>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1,558</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79,247</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80,804</w:t>
            </w:r>
          </w:p>
        </w:tc>
      </w:tr>
      <w:tr>
        <w:trPr>
          <w:trHeight w:val="243"/>
        </w:trPr>
        <w:tc>
          <w:tcPr>
            <w:tcW w:w="384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83"/>
        </w:trPr>
        <w:tc>
          <w:tcPr>
            <w:tcW w:w="384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Dennis Zeleny</w:t>
            </w:r>
            <w:r>
              <w:rPr>
                <w:rFonts w:ascii="Arial" w:cs="Arial" w:eastAsia="Arial" w:hAnsi="Arial"/>
                <w:sz w:val="29"/>
                <w:szCs w:val="29"/>
                <w:color w:val="auto"/>
                <w:vertAlign w:val="superscript"/>
              </w:rPr>
              <w:t>(4)</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426,000</w:t>
            </w:r>
          </w:p>
        </w:tc>
      </w:tr>
      <w:tr>
        <w:trPr>
          <w:trHeight w:val="390"/>
        </w:trPr>
        <w:tc>
          <w:tcPr>
            <w:tcW w:w="3840" w:type="dxa"/>
            <w:vAlign w:val="bottom"/>
            <w:gridSpan w:val="2"/>
          </w:tcPr>
          <w:p>
            <w:pPr>
              <w:spacing w:after="0"/>
              <w:rPr>
                <w:sz w:val="20"/>
                <w:szCs w:val="20"/>
                <w:color w:val="auto"/>
              </w:rPr>
            </w:pPr>
            <w:r>
              <w:rPr>
                <w:rFonts w:ascii="Arial" w:cs="Arial" w:eastAsia="Arial" w:hAnsi="Arial"/>
                <w:sz w:val="18"/>
                <w:szCs w:val="18"/>
                <w:color w:val="auto"/>
              </w:rPr>
              <w:t>Catherine M. Dondzila</w:t>
            </w:r>
            <w:r>
              <w:rPr>
                <w:rFonts w:ascii="Arial" w:cs="Arial" w:eastAsia="Arial" w:hAnsi="Arial"/>
                <w:sz w:val="29"/>
                <w:szCs w:val="29"/>
                <w:color w:val="auto"/>
                <w:vertAlign w:val="superscript"/>
              </w:rPr>
              <w:t>(5)</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8,400</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860,245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868,645</w:t>
            </w:r>
          </w:p>
        </w:tc>
      </w:tr>
    </w:tbl>
    <w:p>
      <w:pPr>
        <w:ind w:left="340" w:hanging="332"/>
        <w:spacing w:after="0" w:line="226" w:lineRule="auto"/>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Reflects employer matching contributions made under the Ocwen Financial Corporation 401(k) Savings Plan.</w:t>
      </w:r>
    </w:p>
    <w:p>
      <w:pPr>
        <w:spacing w:after="0" w:line="2"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Reflects the value of temporary commuting and relocation benefits paid under the Ocwen Relocation Plan, including amounts to gross-up for taxable expenses.</w:t>
      </w:r>
    </w:p>
    <w:p>
      <w:pPr>
        <w:ind w:left="340" w:hanging="332"/>
        <w:spacing w:after="0" w:line="187" w:lineRule="auto"/>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“Other” reflects the value of Mr. Messina's severance benefits to which Mr. Messina was entitled as former President and Chief Executive Officer of PHH Corporation.</w:t>
      </w:r>
    </w:p>
    <w:p>
      <w:pPr>
        <w:spacing w:after="0" w:line="1" w:lineRule="exact"/>
        <w:rPr>
          <w:rFonts w:ascii="Arial" w:cs="Arial" w:eastAsia="Arial" w:hAnsi="Arial"/>
          <w:sz w:val="30"/>
          <w:szCs w:val="30"/>
          <w:color w:val="auto"/>
          <w:vertAlign w:val="superscript"/>
        </w:rPr>
      </w:pPr>
    </w:p>
    <w:p>
      <w:pPr>
        <w:ind w:left="340" w:hanging="332"/>
        <w:spacing w:after="0" w:line="180"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“Other” represents the value of fees paid to Mr. Zeleny as an independent consultant prior to regular full-time employment.</w:t>
      </w:r>
    </w:p>
    <w:p>
      <w:pPr>
        <w:spacing w:after="0" w:line="2" w:lineRule="exact"/>
        <w:rPr>
          <w:rFonts w:ascii="Arial" w:cs="Arial" w:eastAsia="Arial" w:hAnsi="Arial"/>
          <w:sz w:val="25"/>
          <w:szCs w:val="25"/>
          <w:color w:val="auto"/>
          <w:vertAlign w:val="superscript"/>
        </w:rPr>
      </w:pPr>
    </w:p>
    <w:p>
      <w:pPr>
        <w:jc w:val="both"/>
        <w:ind w:left="340" w:hanging="332"/>
        <w:spacing w:after="0" w:line="214" w:lineRule="auto"/>
        <w:tabs>
          <w:tab w:leader="none" w:pos="340" w:val="left"/>
        </w:tabs>
        <w:numPr>
          <w:ilvl w:val="0"/>
          <w:numId w:val="45"/>
        </w:numPr>
        <w:rPr>
          <w:rFonts w:ascii="Arial" w:cs="Arial" w:eastAsia="Arial" w:hAnsi="Arial"/>
          <w:sz w:val="29"/>
          <w:szCs w:val="29"/>
          <w:color w:val="auto"/>
          <w:vertAlign w:val="superscript"/>
        </w:rPr>
      </w:pPr>
      <w:r>
        <w:rPr>
          <w:rFonts w:ascii="Arial" w:cs="Arial" w:eastAsia="Arial" w:hAnsi="Arial"/>
          <w:sz w:val="17"/>
          <w:szCs w:val="17"/>
          <w:color w:val="auto"/>
        </w:rPr>
        <w:t>“Other” represents the values of Ms. Dondzila's lump sum payment in exchange for a general release of claims upon her resignation as Senior Vice President and Chief Accounting Officer on May 31, 2019 ($568,870), independent consulting agreement ($216,550), payout of accrued paid time off balances ($62,825), subsidy for COBRA benefits continuation ($11,620) and stipends paid to cover telecommuting expenses ($381).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Grants of Plan-Based Awards for 2019</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related to awards granted in 2019 under our 2017 Performance Incentive Plan and our 1998 Annual Incentive Plan, as amended.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91"/>
              </w:rPr>
              <w:t>Estimated Possible Payouts Under Non-</w:t>
            </w:r>
          </w:p>
        </w:tc>
        <w:tc>
          <w:tcPr>
            <w:tcW w:w="2660" w:type="dxa"/>
            <w:vAlign w:val="bottom"/>
            <w:gridSpan w:val="7"/>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Estimated Future Payouts</w:t>
            </w:r>
          </w:p>
        </w:tc>
        <w:tc>
          <w:tcPr>
            <w:tcW w:w="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or Base</w:t>
            </w:r>
          </w:p>
        </w:tc>
        <w:tc>
          <w:tcPr>
            <w:tcW w:w="8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6"/>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 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gridSpan w:val="5"/>
          </w:tcPr>
          <w:p>
            <w:pPr>
              <w:jc w:val="center"/>
              <w:spacing w:after="0" w:line="176" w:lineRule="exact"/>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Incentive Plan Awards</w:t>
            </w:r>
          </w:p>
        </w:tc>
        <w:tc>
          <w:tcPr>
            <w:tcW w:w="22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or</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3"/>
        </w:trPr>
        <w:tc>
          <w:tcPr>
            <w:tcW w:w="15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 Date</w:t>
            </w: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Threshold</w:t>
            </w: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Maximum</w:t>
            </w:r>
          </w:p>
        </w:tc>
        <w:tc>
          <w:tcPr>
            <w:tcW w:w="740" w:type="dxa"/>
            <w:vAlign w:val="bottom"/>
            <w:gridSpan w:val="2"/>
          </w:tcPr>
          <w:p>
            <w:pPr>
              <w:jc w:val="right"/>
              <w:ind w:right="100"/>
              <w:spacing w:after="0" w:line="153" w:lineRule="exact"/>
              <w:rPr>
                <w:sz w:val="20"/>
                <w:szCs w:val="20"/>
                <w:color w:val="auto"/>
              </w:rPr>
            </w:pPr>
            <w:r>
              <w:rPr>
                <w:rFonts w:ascii="Arial" w:cs="Arial" w:eastAsia="Arial" w:hAnsi="Arial"/>
                <w:sz w:val="14"/>
                <w:szCs w:val="14"/>
                <w:b w:val="1"/>
                <w:bCs w:val="1"/>
                <w:color w:val="auto"/>
                <w:w w:val="91"/>
              </w:rPr>
              <w:t>Threshold</w:t>
            </w:r>
          </w:p>
        </w:tc>
        <w:tc>
          <w:tcPr>
            <w:tcW w:w="140" w:type="dxa"/>
            <w:vAlign w:val="bottom"/>
          </w:tcPr>
          <w:p>
            <w:pPr>
              <w:spacing w:after="0"/>
              <w:rPr>
                <w:sz w:val="13"/>
                <w:szCs w:val="13"/>
                <w:color w:val="auto"/>
              </w:rPr>
            </w:pPr>
          </w:p>
        </w:tc>
        <w:tc>
          <w:tcPr>
            <w:tcW w:w="8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Maximum</w:t>
            </w:r>
          </w:p>
        </w:tc>
        <w:tc>
          <w:tcPr>
            <w:tcW w:w="780" w:type="dxa"/>
            <w:vAlign w:val="bottom"/>
            <w:gridSpan w:val="2"/>
          </w:tcPr>
          <w:p>
            <w:pPr>
              <w:jc w:val="center"/>
              <w:ind w:right="120"/>
              <w:spacing w:after="0" w:line="153"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7"/>
                <w:szCs w:val="17"/>
                <w:b w:val="1"/>
                <w:bCs w:val="1"/>
                <w:color w:val="auto"/>
                <w:vertAlign w:val="superscript"/>
              </w:rPr>
              <w:t>(2)</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tcPr>
          <w:p>
            <w:pPr>
              <w:jc w:val="right"/>
              <w:ind w:right="208"/>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Glen A. Messina</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3/29/2019</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562,500</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1,125,000</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1,687,500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54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54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2"/>
                <w:szCs w:val="12"/>
                <w:color w:val="auto"/>
              </w:rPr>
              <w:t>4/11/2019</w:t>
            </w:r>
            <w:r>
              <w:rPr>
                <w:rFonts w:ascii="Arial" w:cs="Arial" w:eastAsia="Arial" w:hAnsi="Arial"/>
                <w:sz w:val="19"/>
                <w:szCs w:val="19"/>
                <w:color w:val="auto"/>
                <w:vertAlign w:val="superscript"/>
              </w:rPr>
              <w:t>(4)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282,663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565,327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1,130,654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1,271,986</w:t>
            </w: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4/11/2019</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565,326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1,124,999</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line="189" w:lineRule="exact"/>
              <w:rPr>
                <w:sz w:val="20"/>
                <w:szCs w:val="20"/>
                <w:color w:val="auto"/>
              </w:rPr>
            </w:pPr>
            <w:r>
              <w:rPr>
                <w:rFonts w:ascii="Arial" w:cs="Arial" w:eastAsia="Arial" w:hAnsi="Arial"/>
                <w:sz w:val="13"/>
                <w:szCs w:val="13"/>
                <w:color w:val="auto"/>
                <w:w w:val="90"/>
              </w:rPr>
              <w:t>4/11/2019</w:t>
            </w:r>
            <w:r>
              <w:rPr>
                <w:rFonts w:ascii="Arial" w:cs="Arial" w:eastAsia="Arial" w:hAnsi="Arial"/>
                <w:sz w:val="21"/>
                <w:szCs w:val="21"/>
                <w:color w:val="auto"/>
                <w:w w:val="90"/>
                <w:vertAlign w:val="superscript"/>
              </w:rPr>
              <w:t>(5)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28,947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57,895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115,790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121,966</w:t>
            </w:r>
          </w:p>
        </w:tc>
        <w:tc>
          <w:tcPr>
            <w:tcW w:w="0" w:type="dxa"/>
            <w:vAlign w:val="bottom"/>
          </w:tcPr>
          <w:p>
            <w:pPr>
              <w:spacing w:after="0"/>
              <w:rPr>
                <w:sz w:val="1"/>
                <w:szCs w:val="1"/>
                <w:color w:val="auto"/>
              </w:rPr>
            </w:pPr>
          </w:p>
        </w:tc>
      </w:tr>
      <w:tr>
        <w:trPr>
          <w:trHeight w:val="140"/>
        </w:trPr>
        <w:tc>
          <w:tcPr>
            <w:tcW w:w="1500" w:type="dxa"/>
            <w:vAlign w:val="bottom"/>
          </w:tcPr>
          <w:p>
            <w:pPr>
              <w:spacing w:after="0" w:line="140" w:lineRule="exact"/>
              <w:rPr>
                <w:sz w:val="20"/>
                <w:szCs w:val="20"/>
                <w:color w:val="auto"/>
              </w:rPr>
            </w:pPr>
            <w:r>
              <w:rPr>
                <w:rFonts w:ascii="Arial" w:cs="Arial" w:eastAsia="Arial" w:hAnsi="Arial"/>
                <w:sz w:val="14"/>
                <w:szCs w:val="14"/>
                <w:color w:val="auto"/>
              </w:rPr>
              <w:t>June C. Campbell</w:t>
            </w:r>
          </w:p>
        </w:tc>
        <w:tc>
          <w:tcPr>
            <w:tcW w:w="100" w:type="dxa"/>
            <w:vAlign w:val="bottom"/>
          </w:tcPr>
          <w:p>
            <w:pPr>
              <w:spacing w:after="0"/>
              <w:rPr>
                <w:sz w:val="12"/>
                <w:szCs w:val="12"/>
                <w:color w:val="auto"/>
              </w:rPr>
            </w:pPr>
          </w:p>
        </w:tc>
        <w:tc>
          <w:tcPr>
            <w:tcW w:w="720" w:type="dxa"/>
            <w:vAlign w:val="bottom"/>
          </w:tcPr>
          <w:p>
            <w:pPr>
              <w:spacing w:after="0" w:line="140" w:lineRule="exact"/>
              <w:rPr>
                <w:sz w:val="20"/>
                <w:szCs w:val="20"/>
                <w:color w:val="auto"/>
              </w:rPr>
            </w:pPr>
            <w:r>
              <w:rPr>
                <w:rFonts w:ascii="Arial" w:cs="Arial" w:eastAsia="Arial" w:hAnsi="Arial"/>
                <w:sz w:val="14"/>
                <w:szCs w:val="14"/>
                <w:color w:val="auto"/>
              </w:rPr>
              <w:t>3/29/2019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186,884</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373,767</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560,651</w:t>
            </w:r>
          </w:p>
        </w:tc>
        <w:tc>
          <w:tcPr>
            <w:tcW w:w="74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940" w:type="dxa"/>
            <w:vAlign w:val="bottom"/>
            <w:gridSpan w:val="3"/>
          </w:tcPr>
          <w:p>
            <w:pPr>
              <w:ind w:left="100"/>
              <w:spacing w:after="0" w:line="179" w:lineRule="exact"/>
              <w:rPr>
                <w:sz w:val="20"/>
                <w:szCs w:val="20"/>
                <w:color w:val="auto"/>
              </w:rPr>
            </w:pPr>
            <w:r>
              <w:rPr>
                <w:rFonts w:ascii="Arial" w:cs="Arial" w:eastAsia="Arial" w:hAnsi="Arial"/>
                <w:sz w:val="13"/>
                <w:szCs w:val="13"/>
                <w:color w:val="auto"/>
              </w:rPr>
              <w:t>3/04/2019</w:t>
            </w:r>
            <w:r>
              <w:rPr>
                <w:rFonts w:ascii="Arial" w:cs="Arial" w:eastAsia="Arial" w:hAnsi="Arial"/>
                <w:sz w:val="20"/>
                <w:szCs w:val="20"/>
                <w:color w:val="auto"/>
                <w:vertAlign w:val="superscript"/>
              </w:rPr>
              <w:t>(6)</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57,604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100,986</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3/04/2019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24,424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53,000</w:t>
            </w:r>
          </w:p>
        </w:tc>
        <w:tc>
          <w:tcPr>
            <w:tcW w:w="0" w:type="dxa"/>
            <w:vAlign w:val="bottom"/>
          </w:tcPr>
          <w:p>
            <w:pPr>
              <w:spacing w:after="0"/>
              <w:rPr>
                <w:sz w:val="1"/>
                <w:szCs w:val="1"/>
                <w:color w:val="auto"/>
              </w:rPr>
            </w:pPr>
          </w:p>
        </w:tc>
      </w:tr>
      <w:tr>
        <w:trPr>
          <w:trHeight w:val="167"/>
        </w:trPr>
        <w:tc>
          <w:tcPr>
            <w:tcW w:w="15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3/04/2019</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33,180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51,432</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Timothy J. Yanoti</w:t>
            </w:r>
          </w:p>
        </w:tc>
        <w:tc>
          <w:tcPr>
            <w:tcW w:w="8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3/29/2019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500,000</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750,000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3/29/2019</w:t>
            </w:r>
            <w:r>
              <w:rPr>
                <w:rFonts w:ascii="Arial" w:cs="Arial" w:eastAsia="Arial" w:hAnsi="Arial"/>
                <w:sz w:val="19"/>
                <w:szCs w:val="19"/>
                <w:color w:val="auto"/>
                <w:vertAlign w:val="superscript"/>
              </w:rPr>
              <w:t>(4)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68,681</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137,363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274,726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309,067</w:t>
            </w: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3/29/2019</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137,362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249,999</w:t>
            </w:r>
          </w:p>
        </w:tc>
        <w:tc>
          <w:tcPr>
            <w:tcW w:w="0" w:type="dxa"/>
            <w:vAlign w:val="bottom"/>
          </w:tcPr>
          <w:p>
            <w:pPr>
              <w:spacing w:after="0"/>
              <w:rPr>
                <w:sz w:val="1"/>
                <w:szCs w:val="1"/>
                <w:color w:val="auto"/>
              </w:rPr>
            </w:pPr>
          </w:p>
        </w:tc>
      </w:tr>
      <w:tr>
        <w:trPr>
          <w:trHeight w:val="140"/>
        </w:trPr>
        <w:tc>
          <w:tcPr>
            <w:tcW w:w="1500" w:type="dxa"/>
            <w:vAlign w:val="bottom"/>
          </w:tcPr>
          <w:p>
            <w:pPr>
              <w:spacing w:after="0" w:line="140" w:lineRule="exact"/>
              <w:rPr>
                <w:sz w:val="20"/>
                <w:szCs w:val="20"/>
                <w:color w:val="auto"/>
              </w:rPr>
            </w:pPr>
            <w:r>
              <w:rPr>
                <w:rFonts w:ascii="Arial" w:cs="Arial" w:eastAsia="Arial" w:hAnsi="Arial"/>
                <w:sz w:val="14"/>
                <w:szCs w:val="14"/>
                <w:color w:val="auto"/>
              </w:rPr>
              <w:t>Scott W. Anderson</w:t>
            </w:r>
          </w:p>
        </w:tc>
        <w:tc>
          <w:tcPr>
            <w:tcW w:w="100" w:type="dxa"/>
            <w:vAlign w:val="bottom"/>
          </w:tcPr>
          <w:p>
            <w:pPr>
              <w:spacing w:after="0"/>
              <w:rPr>
                <w:sz w:val="12"/>
                <w:szCs w:val="12"/>
                <w:color w:val="auto"/>
              </w:rPr>
            </w:pPr>
          </w:p>
        </w:tc>
        <w:tc>
          <w:tcPr>
            <w:tcW w:w="720" w:type="dxa"/>
            <w:vAlign w:val="bottom"/>
          </w:tcPr>
          <w:p>
            <w:pPr>
              <w:spacing w:after="0" w:line="140" w:lineRule="exact"/>
              <w:rPr>
                <w:sz w:val="20"/>
                <w:szCs w:val="20"/>
                <w:color w:val="auto"/>
              </w:rPr>
            </w:pPr>
            <w:r>
              <w:rPr>
                <w:rFonts w:ascii="Arial" w:cs="Arial" w:eastAsia="Arial" w:hAnsi="Arial"/>
                <w:sz w:val="14"/>
                <w:szCs w:val="14"/>
                <w:color w:val="auto"/>
              </w:rPr>
              <w:t>3/29/2019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225,000</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450,000</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675,000</w:t>
            </w:r>
          </w:p>
        </w:tc>
        <w:tc>
          <w:tcPr>
            <w:tcW w:w="74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940" w:type="dxa"/>
            <w:vAlign w:val="bottom"/>
            <w:gridSpan w:val="3"/>
          </w:tcPr>
          <w:p>
            <w:pPr>
              <w:ind w:left="100"/>
              <w:spacing w:after="0" w:line="179" w:lineRule="exact"/>
              <w:rPr>
                <w:sz w:val="20"/>
                <w:szCs w:val="20"/>
                <w:color w:val="auto"/>
              </w:rPr>
            </w:pPr>
            <w:r>
              <w:rPr>
                <w:rFonts w:ascii="Arial" w:cs="Arial" w:eastAsia="Arial" w:hAnsi="Arial"/>
                <w:sz w:val="13"/>
                <w:szCs w:val="13"/>
                <w:color w:val="auto"/>
              </w:rPr>
              <w:t>3/29/2019</w:t>
            </w:r>
            <w:r>
              <w:rPr>
                <w:rFonts w:ascii="Arial" w:cs="Arial" w:eastAsia="Arial" w:hAnsi="Arial"/>
                <w:sz w:val="20"/>
                <w:szCs w:val="20"/>
                <w:color w:val="auto"/>
                <w:vertAlign w:val="superscript"/>
              </w:rPr>
              <w:t>(4)</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41,209</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82,418</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164,836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185,441</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8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3/29/2019</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82,417</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149,999</w:t>
            </w: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940" w:type="dxa"/>
            <w:vAlign w:val="bottom"/>
            <w:gridSpan w:val="3"/>
          </w:tcPr>
          <w:p>
            <w:pPr>
              <w:ind w:left="100"/>
              <w:spacing w:after="0" w:line="198" w:lineRule="exact"/>
              <w:rPr>
                <w:sz w:val="20"/>
                <w:szCs w:val="20"/>
                <w:color w:val="auto"/>
              </w:rPr>
            </w:pPr>
            <w:r>
              <w:rPr>
                <w:rFonts w:ascii="Arial" w:cs="Arial" w:eastAsia="Arial" w:hAnsi="Arial"/>
                <w:sz w:val="14"/>
                <w:szCs w:val="14"/>
                <w:color w:val="auto"/>
              </w:rPr>
              <w:t>3/29/2019</w:t>
            </w:r>
            <w:r>
              <w:rPr>
                <w:rFonts w:ascii="Arial" w:cs="Arial" w:eastAsia="Arial" w:hAnsi="Arial"/>
                <w:sz w:val="22"/>
                <w:szCs w:val="22"/>
                <w:color w:val="auto"/>
                <w:vertAlign w:val="superscript"/>
              </w:rPr>
              <w:t>(5)</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48,076</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96,153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192,306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202,562</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Dennis Zeleny</w:t>
            </w:r>
          </w:p>
        </w:tc>
        <w:tc>
          <w:tcPr>
            <w:tcW w:w="8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7/31/2019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63,288</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126,575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189,863</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7/31/2019</w:t>
            </w:r>
            <w:r>
              <w:rPr>
                <w:rFonts w:ascii="Arial" w:cs="Arial" w:eastAsia="Arial" w:hAnsi="Arial"/>
                <w:sz w:val="19"/>
                <w:szCs w:val="19"/>
                <w:color w:val="auto"/>
                <w:vertAlign w:val="superscript"/>
              </w:rPr>
              <w:t>(4)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49,342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98,684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197,368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222,039</w:t>
            </w: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7/31/2019</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98,684</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187,500</w:t>
            </w:r>
          </w:p>
        </w:tc>
        <w:tc>
          <w:tcPr>
            <w:tcW w:w="0" w:type="dxa"/>
            <w:vAlign w:val="bottom"/>
          </w:tcPr>
          <w:p>
            <w:pPr>
              <w:spacing w:after="0"/>
              <w:rPr>
                <w:sz w:val="1"/>
                <w:szCs w:val="1"/>
                <w:color w:val="auto"/>
              </w:rPr>
            </w:pPr>
          </w:p>
        </w:tc>
      </w:tr>
      <w:tr>
        <w:trPr>
          <w:trHeight w:val="140"/>
        </w:trPr>
        <w:tc>
          <w:tcPr>
            <w:tcW w:w="1500" w:type="dxa"/>
            <w:vAlign w:val="bottom"/>
          </w:tcPr>
          <w:p>
            <w:pPr>
              <w:spacing w:after="0" w:line="140" w:lineRule="exact"/>
              <w:rPr>
                <w:sz w:val="20"/>
                <w:szCs w:val="20"/>
                <w:color w:val="auto"/>
              </w:rPr>
            </w:pPr>
            <w:r>
              <w:rPr>
                <w:rFonts w:ascii="Arial" w:cs="Arial" w:eastAsia="Arial" w:hAnsi="Arial"/>
                <w:sz w:val="14"/>
                <w:szCs w:val="14"/>
                <w:color w:val="auto"/>
              </w:rPr>
              <w:t>Catherine M. Dondzila</w:t>
            </w:r>
          </w:p>
        </w:tc>
        <w:tc>
          <w:tcPr>
            <w:tcW w:w="100" w:type="dxa"/>
            <w:vAlign w:val="bottom"/>
          </w:tcPr>
          <w:p>
            <w:pPr>
              <w:spacing w:after="0"/>
              <w:rPr>
                <w:sz w:val="12"/>
                <w:szCs w:val="12"/>
                <w:color w:val="auto"/>
              </w:rPr>
            </w:pPr>
          </w:p>
        </w:tc>
        <w:tc>
          <w:tcPr>
            <w:tcW w:w="720" w:type="dxa"/>
            <w:vAlign w:val="bottom"/>
          </w:tcPr>
          <w:p>
            <w:pPr>
              <w:spacing w:after="0" w:line="140" w:lineRule="exact"/>
              <w:rPr>
                <w:sz w:val="20"/>
                <w:szCs w:val="20"/>
                <w:color w:val="auto"/>
              </w:rPr>
            </w:pPr>
            <w:r>
              <w:rPr>
                <w:rFonts w:ascii="Arial" w:cs="Arial" w:eastAsia="Arial" w:hAnsi="Arial"/>
                <w:sz w:val="14"/>
                <w:szCs w:val="14"/>
                <w:color w:val="auto"/>
              </w:rPr>
              <w:t>3/29/2019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138,450</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276,900</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415,350</w:t>
            </w:r>
          </w:p>
        </w:tc>
        <w:tc>
          <w:tcPr>
            <w:tcW w:w="74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940" w:type="dxa"/>
            <w:vAlign w:val="bottom"/>
            <w:gridSpan w:val="3"/>
          </w:tcPr>
          <w:p>
            <w:pPr>
              <w:ind w:left="100"/>
              <w:spacing w:after="0" w:line="179" w:lineRule="exact"/>
              <w:rPr>
                <w:sz w:val="20"/>
                <w:szCs w:val="20"/>
                <w:color w:val="auto"/>
              </w:rPr>
            </w:pPr>
            <w:r>
              <w:rPr>
                <w:rFonts w:ascii="Arial" w:cs="Arial" w:eastAsia="Arial" w:hAnsi="Arial"/>
                <w:sz w:val="13"/>
                <w:szCs w:val="13"/>
                <w:color w:val="auto"/>
              </w:rPr>
              <w:t>3/29/2019</w:t>
            </w:r>
            <w:r>
              <w:rPr>
                <w:rFonts w:ascii="Arial" w:cs="Arial" w:eastAsia="Arial" w:hAnsi="Arial"/>
                <w:sz w:val="20"/>
                <w:szCs w:val="20"/>
                <w:color w:val="auto"/>
                <w:vertAlign w:val="superscript"/>
              </w:rPr>
              <w:t>(4)</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14,873</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29,746</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59,492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66,929</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8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3/29/2019</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29,745</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54,136</w:t>
            </w:r>
          </w:p>
        </w:tc>
        <w:tc>
          <w:tcPr>
            <w:tcW w:w="0" w:type="dxa"/>
            <w:vAlign w:val="bottom"/>
          </w:tcPr>
          <w:p>
            <w:pPr>
              <w:spacing w:after="0"/>
              <w:rPr>
                <w:sz w:val="1"/>
                <w:szCs w:val="1"/>
                <w:color w:val="auto"/>
              </w:rPr>
            </w:pPr>
          </w:p>
        </w:tc>
      </w:tr>
      <w:tr>
        <w:trPr>
          <w:trHeight w:val="313"/>
        </w:trPr>
        <w:tc>
          <w:tcPr>
            <w:tcW w:w="150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color w:val="auto"/>
              </w:rPr>
              <w:t>3/29/2019</w:t>
            </w:r>
            <w:r>
              <w:rPr>
                <w:rFonts w:ascii="Arial" w:cs="Arial" w:eastAsia="Arial" w:hAnsi="Arial"/>
                <w:sz w:val="23"/>
                <w:szCs w:val="23"/>
                <w:color w:val="auto"/>
                <w:vertAlign w:val="superscript"/>
              </w:rPr>
              <w:t>(5)</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26,624</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53,250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106,500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112,180</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340" w:hanging="332"/>
        <w:spacing w:after="0" w:line="227" w:lineRule="auto"/>
        <w:tabs>
          <w:tab w:leader="none" w:pos="34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These amounts represent the potential non-equity compensation that would have been earned by each respective executive officer for 2019 service under the different achievement levels under their 2019 annual incentive opportunity, which are more fully discussed in “Compensation Discussion and Analysis,” pursuant to our 1998 Annual Incentive Plan.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2019 service is set forth in the “Non-Equity Incentive Plan Compensation” column of the “Summary Compensation Table” above.</w:t>
      </w:r>
    </w:p>
    <w:p>
      <w:pPr>
        <w:spacing w:after="0" w:line="206" w:lineRule="exact"/>
        <w:rPr>
          <w:rFonts w:ascii="Arial" w:cs="Arial" w:eastAsia="Arial" w:hAnsi="Arial"/>
          <w:sz w:val="30"/>
          <w:szCs w:val="30"/>
          <w:color w:val="auto"/>
          <w:vertAlign w:val="superscript"/>
        </w:rPr>
      </w:pPr>
    </w:p>
    <w:p>
      <w:pPr>
        <w:jc w:val="both"/>
        <w:ind w:left="340" w:hanging="332"/>
        <w:spacing w:after="0" w:line="219" w:lineRule="auto"/>
        <w:tabs>
          <w:tab w:leader="none" w:pos="340" w:val="left"/>
        </w:tabs>
        <w:numPr>
          <w:ilvl w:val="0"/>
          <w:numId w:val="46"/>
        </w:numPr>
        <w:rPr>
          <w:rFonts w:ascii="Arial" w:cs="Arial" w:eastAsia="Arial" w:hAnsi="Arial"/>
          <w:sz w:val="29"/>
          <w:szCs w:val="29"/>
          <w:color w:val="auto"/>
          <w:vertAlign w:val="superscript"/>
        </w:rPr>
      </w:pPr>
      <w:r>
        <w:rPr>
          <w:rFonts w:ascii="Arial" w:cs="Arial" w:eastAsia="Arial" w:hAnsi="Arial"/>
          <w:sz w:val="17"/>
          <w:szCs w:val="17"/>
          <w:color w:val="auto"/>
        </w:rPr>
        <w:t>RSU awards vest in three equal installments on the first, second and third anniversary dates of the grant, subject to continued employment. Awards for Mr. Messina and Ms. Campbell settle in equity, but they do not have any rights of a shareholder with respect to any of the shares subject to the award until such units are vested and settled. Awards for Messrs. Anderson, Yanoti and Zeleny and Ms. Dondzila settle in cash.</w:t>
      </w:r>
    </w:p>
    <w:p>
      <w:pPr>
        <w:spacing w:after="0" w:line="99"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46"/>
        </w:numPr>
        <w:rPr>
          <w:rFonts w:ascii="Arial" w:cs="Arial" w:eastAsia="Arial" w:hAnsi="Arial"/>
          <w:sz w:val="29"/>
          <w:szCs w:val="29"/>
          <w:color w:val="auto"/>
          <w:vertAlign w:val="superscript"/>
        </w:rPr>
      </w:pPr>
      <w:r>
        <w:rPr>
          <w:rFonts w:ascii="Arial" w:cs="Arial" w:eastAsia="Arial" w:hAnsi="Arial"/>
          <w:sz w:val="17"/>
          <w:szCs w:val="17"/>
          <w:color w:val="auto"/>
        </w:rPr>
        <w:t>See footnote (1) under “Summary Compensation Table” above for detail regarding the methodology used to calculate Grant Date Fair Value.</w:t>
      </w:r>
    </w:p>
    <w:p>
      <w:pPr>
        <w:spacing w:after="0" w:line="201" w:lineRule="exact"/>
        <w:rPr>
          <w:rFonts w:ascii="Arial" w:cs="Arial" w:eastAsia="Arial" w:hAnsi="Arial"/>
          <w:sz w:val="29"/>
          <w:szCs w:val="29"/>
          <w:color w:val="auto"/>
          <w:vertAlign w:val="superscript"/>
        </w:rPr>
      </w:pPr>
    </w:p>
    <w:p>
      <w:pPr>
        <w:jc w:val="both"/>
        <w:ind w:left="340" w:hanging="332"/>
        <w:spacing w:after="0" w:line="209" w:lineRule="auto"/>
        <w:tabs>
          <w:tab w:leader="none" w:pos="34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PRSU awards are earned based on the Company’s TSR during the performance period of March 29, 2019 through March 29, 2022, and vest at the third anniversary of the respective grant dates. Awards for all but Mr. Messina will settle in cash, if earned. Refer to “Compensation Discussion and Analysis - 2019 Long-Term Incentive Awards” for additional details.</w:t>
      </w:r>
    </w:p>
    <w:p>
      <w:pPr>
        <w:spacing w:after="0" w:line="203" w:lineRule="exact"/>
        <w:rPr>
          <w:rFonts w:ascii="Arial" w:cs="Arial" w:eastAsia="Arial" w:hAnsi="Arial"/>
          <w:sz w:val="30"/>
          <w:szCs w:val="30"/>
          <w:color w:val="auto"/>
          <w:vertAlign w:val="superscript"/>
        </w:rPr>
      </w:pPr>
    </w:p>
    <w:p>
      <w:pPr>
        <w:jc w:val="both"/>
        <w:ind w:left="340" w:hanging="332"/>
        <w:spacing w:after="0" w:line="229" w:lineRule="auto"/>
        <w:tabs>
          <w:tab w:leader="none" w:pos="340" w:val="left"/>
        </w:tabs>
        <w:numPr>
          <w:ilvl w:val="0"/>
          <w:numId w:val="46"/>
        </w:numPr>
        <w:rPr>
          <w:rFonts w:ascii="Arial" w:cs="Arial" w:eastAsia="Arial" w:hAnsi="Arial"/>
          <w:sz w:val="29"/>
          <w:szCs w:val="29"/>
          <w:color w:val="auto"/>
          <w:vertAlign w:val="superscript"/>
        </w:rPr>
      </w:pPr>
      <w:r>
        <w:rPr>
          <w:rFonts w:ascii="Arial" w:cs="Arial" w:eastAsia="Arial" w:hAnsi="Arial"/>
          <w:sz w:val="17"/>
          <w:szCs w:val="17"/>
          <w:color w:val="auto"/>
        </w:rPr>
        <w:t>PRSU awards vest in equal thirds on the first, second and third anniversaries of the respective grant dates based on the Company’s cumulative Total Shareholder Return during three performance periods (the first from March 29, 2019 through March 29, 2020, the second from March 29, 2019 through March 29, 2021, and the third from March 29, 2019 through March 29, 2022). These awards will settle in cash, if earned. Refer to “Compensation Discussion and Analysis - 2019 Long-Term Incentive Awards” for additional details on these “transitional” awards.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left="340" w:hanging="332"/>
        <w:spacing w:after="0" w:line="239" w:lineRule="auto"/>
        <w:tabs>
          <w:tab w:leader="none" w:pos="340" w:val="left"/>
        </w:tabs>
        <w:numPr>
          <w:ilvl w:val="0"/>
          <w:numId w:val="47"/>
        </w:numPr>
        <w:rPr>
          <w:rFonts w:ascii="Arial" w:cs="Arial" w:eastAsia="Arial" w:hAnsi="Arial"/>
          <w:sz w:val="29"/>
          <w:szCs w:val="29"/>
          <w:color w:val="auto"/>
          <w:vertAlign w:val="superscript"/>
        </w:rPr>
      </w:pPr>
      <w:r>
        <w:rPr>
          <w:rFonts w:ascii="Arial" w:cs="Arial" w:eastAsia="Arial" w:hAnsi="Arial"/>
          <w:sz w:val="17"/>
          <w:szCs w:val="17"/>
          <w:color w:val="auto"/>
        </w:rPr>
        <w:t>PRSU award granted March 4, 2019 to Ms. Campbell time-vests in equal fourths on the first, second, third and fourth anniversaries of the grant, and performance vesting upon the Average Stock Price equaling or exceeding $4.34 at any time during such four-year vesting period. For these purposes, “Average Stock Price” means the average of the Adjusted Stock Price for a period of twenty consecutive trading days, and the term “Adjusted Stock Price” shall mean, for a particular trading day, the sum of (i) the closing price of the Corporation’s common stock on such trading day, and (ii) the aggregate amount of dividends paid by the Company on a share of its common stock during the period commencing on the award date and ending on the applicable trading day. This PRSU award does not have threshold or maximum levels for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outstanding equity awards at December 31, 2019 for Ocwen’s named executive officers other than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Dondzila, who had no outstanding equity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6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Incentive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Number</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Incentive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Unearned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6"/>
                <w:szCs w:val="16"/>
                <w:color w:val="auto"/>
              </w:rPr>
            </w:pPr>
          </w:p>
        </w:tc>
        <w:tc>
          <w:tcPr>
            <w:tcW w:w="1140" w:type="dxa"/>
            <w:vAlign w:val="bottom"/>
            <w:gridSpan w:val="2"/>
          </w:tcPr>
          <w:p>
            <w:pPr>
              <w:jc w:val="center"/>
              <w:ind w:right="214"/>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of Shares</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Shares or</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Units or</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140" w:type="dxa"/>
            <w:vAlign w:val="bottom"/>
            <w:gridSpan w:val="2"/>
          </w:tcPr>
          <w:p>
            <w:pPr>
              <w:jc w:val="center"/>
              <w:ind w:right="234"/>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or Units</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Units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 w:type="dxa"/>
            <w:vAlign w:val="bottom"/>
          </w:tcPr>
          <w:p>
            <w:pPr>
              <w:spacing w:after="0"/>
              <w:rPr>
                <w:sz w:val="12"/>
                <w:szCs w:val="12"/>
                <w:color w:val="auto"/>
              </w:rPr>
            </w:pPr>
          </w:p>
        </w:tc>
        <w:tc>
          <w:tcPr>
            <w:tcW w:w="1140" w:type="dxa"/>
            <w:vAlign w:val="bottom"/>
            <w:gridSpan w:val="2"/>
          </w:tcPr>
          <w:p>
            <w:pPr>
              <w:jc w:val="center"/>
              <w:ind w:right="214"/>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of Stock</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0" w:type="dxa"/>
            <w:vAlign w:val="bottom"/>
          </w:tcPr>
          <w:p>
            <w:pPr>
              <w:spacing w:after="0"/>
              <w:rPr>
                <w:sz w:val="12"/>
                <w:szCs w:val="12"/>
                <w:color w:val="auto"/>
              </w:rPr>
            </w:pPr>
          </w:p>
        </w:tc>
        <w:tc>
          <w:tcPr>
            <w:tcW w:w="1140" w:type="dxa"/>
            <w:vAlign w:val="bottom"/>
            <w:gridSpan w:val="2"/>
          </w:tcPr>
          <w:p>
            <w:pPr>
              <w:jc w:val="center"/>
              <w:ind w:right="214"/>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That</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That Have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140" w:type="dxa"/>
            <w:vAlign w:val="bottom"/>
            <w:gridSpan w:val="2"/>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Options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Unearned</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Have Not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3"/>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Vested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3"/>
        </w:trPr>
        <w:tc>
          <w:tcPr>
            <w:tcW w:w="2620" w:type="dxa"/>
            <w:vAlign w:val="bottom"/>
            <w:vMerge w:val="continue"/>
          </w:tcPr>
          <w:p>
            <w:pPr>
              <w:spacing w:after="0"/>
              <w:rPr>
                <w:sz w:val="15"/>
                <w:szCs w:val="15"/>
                <w:color w:val="auto"/>
              </w:rPr>
            </w:pPr>
          </w:p>
        </w:tc>
        <w:tc>
          <w:tcPr>
            <w:tcW w:w="8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940" w:type="dxa"/>
            <w:vAlign w:val="bottom"/>
            <w:gridSpan w:val="2"/>
          </w:tcPr>
          <w:p>
            <w:pPr>
              <w:jc w:val="center"/>
              <w:ind w:left="5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300" w:type="dxa"/>
            <w:vAlign w:val="bottom"/>
          </w:tcPr>
          <w:p>
            <w:pPr>
              <w:spacing w:after="0"/>
              <w:rPr>
                <w:sz w:val="15"/>
                <w:szCs w:val="15"/>
                <w:color w:val="auto"/>
              </w:rPr>
            </w:pPr>
          </w:p>
        </w:tc>
        <w:tc>
          <w:tcPr>
            <w:tcW w:w="74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3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3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2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(4)</w:t>
            </w:r>
          </w:p>
        </w:tc>
        <w:tc>
          <w:tcPr>
            <w:tcW w:w="3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Glen A. Messina</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88,997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177,993</w:t>
            </w:r>
          </w:p>
        </w:tc>
        <w:tc>
          <w:tcPr>
            <w:tcW w:w="300" w:type="dxa"/>
            <w:vAlign w:val="bottom"/>
            <w:tcBorders>
              <w:top w:val="single" w:sz="8" w:color="CCEEFF"/>
            </w:tcBorders>
            <w:shd w:val="clear" w:color="auto" w:fill="CCEEFF"/>
          </w:tcPr>
          <w:p>
            <w:pPr>
              <w:jc w:val="right"/>
              <w:ind w:right="94"/>
              <w:spacing w:after="0"/>
              <w:rPr>
                <w:sz w:val="20"/>
                <w:szCs w:val="20"/>
                <w:color w:val="auto"/>
              </w:rPr>
            </w:pPr>
            <w:r>
              <w:rPr>
                <w:rFonts w:ascii="Arial" w:cs="Arial" w:eastAsia="Arial" w:hAnsi="Arial"/>
                <w:sz w:val="12"/>
                <w:szCs w:val="12"/>
                <w:color w:val="auto"/>
                <w:w w:val="81"/>
              </w:rPr>
              <w:t>(5)</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10/4/2028</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655,341</w:t>
            </w:r>
            <w:r>
              <w:rPr>
                <w:rFonts w:ascii="Arial" w:cs="Arial" w:eastAsia="Arial" w:hAnsi="Arial"/>
                <w:sz w:val="18"/>
                <w:szCs w:val="18"/>
                <w:color w:val="auto"/>
                <w:vertAlign w:val="superscript"/>
              </w:rPr>
              <w:t>(6)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897,817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565,326</w:t>
            </w:r>
            <w:r>
              <w:rPr>
                <w:rFonts w:ascii="Arial" w:cs="Arial" w:eastAsia="Arial" w:hAnsi="Arial"/>
                <w:sz w:val="18"/>
                <w:szCs w:val="18"/>
                <w:color w:val="auto"/>
                <w:vertAlign w:val="superscript"/>
              </w:rPr>
              <w:t>(7)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774,497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282,663</w:t>
            </w:r>
            <w:r>
              <w:rPr>
                <w:rFonts w:ascii="Arial" w:cs="Arial" w:eastAsia="Arial" w:hAnsi="Arial"/>
                <w:sz w:val="18"/>
                <w:szCs w:val="18"/>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387,248</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28,947</w:t>
            </w:r>
            <w:r>
              <w:rPr>
                <w:rFonts w:ascii="Arial" w:cs="Arial" w:eastAsia="Arial" w:hAnsi="Arial"/>
                <w:sz w:val="18"/>
                <w:szCs w:val="18"/>
                <w:color w:val="auto"/>
                <w:vertAlign w:val="superscript"/>
              </w:rPr>
              <w:t>(9)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39,657</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June C. Campbell</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34"/>
              <w:spacing w:after="0" w:line="162" w:lineRule="exact"/>
              <w:rPr>
                <w:sz w:val="20"/>
                <w:szCs w:val="20"/>
                <w:color w:val="auto"/>
              </w:rPr>
            </w:pPr>
            <w:r>
              <w:rPr>
                <w:rFonts w:ascii="Arial" w:cs="Arial" w:eastAsia="Arial" w:hAnsi="Arial"/>
                <w:sz w:val="12"/>
                <w:szCs w:val="12"/>
                <w:color w:val="auto"/>
              </w:rPr>
              <w:t>33,180</w:t>
            </w:r>
            <w:r>
              <w:rPr>
                <w:rFonts w:ascii="Arial" w:cs="Arial" w:eastAsia="Arial" w:hAnsi="Arial"/>
                <w:sz w:val="18"/>
                <w:szCs w:val="18"/>
                <w:color w:val="auto"/>
                <w:vertAlign w:val="superscript"/>
              </w:rPr>
              <w:t>(10)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3/4/2029</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24,424</w:t>
            </w:r>
            <w:r>
              <w:rPr>
                <w:rFonts w:ascii="Arial" w:cs="Arial" w:eastAsia="Arial" w:hAnsi="Arial"/>
                <w:sz w:val="18"/>
                <w:szCs w:val="18"/>
                <w:color w:val="auto"/>
                <w:vertAlign w:val="superscript"/>
              </w:rPr>
              <w:t>(11)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33,461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57,604</w:t>
            </w:r>
            <w:r>
              <w:rPr>
                <w:rFonts w:ascii="Arial" w:cs="Arial" w:eastAsia="Arial" w:hAnsi="Arial"/>
                <w:sz w:val="18"/>
                <w:szCs w:val="18"/>
                <w:color w:val="auto"/>
                <w:vertAlign w:val="superscript"/>
              </w:rPr>
              <w:t>(12)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78,917</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Timothy J. Yanoti</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27,132</w:t>
            </w:r>
          </w:p>
        </w:tc>
        <w:tc>
          <w:tcPr>
            <w:tcW w:w="1240" w:type="dxa"/>
            <w:vAlign w:val="bottom"/>
            <w:gridSpan w:val="3"/>
            <w:shd w:val="clear" w:color="auto" w:fill="CCEEFF"/>
          </w:tcPr>
          <w:p>
            <w:pPr>
              <w:jc w:val="right"/>
              <w:ind w:right="34"/>
              <w:spacing w:after="0" w:line="162" w:lineRule="exact"/>
              <w:rPr>
                <w:sz w:val="20"/>
                <w:szCs w:val="20"/>
                <w:color w:val="auto"/>
              </w:rPr>
            </w:pPr>
            <w:r>
              <w:rPr>
                <w:rFonts w:ascii="Arial" w:cs="Arial" w:eastAsia="Arial" w:hAnsi="Arial"/>
                <w:sz w:val="12"/>
                <w:szCs w:val="12"/>
                <w:color w:val="auto"/>
              </w:rPr>
              <w:t>54,263</w:t>
            </w:r>
            <w:r>
              <w:rPr>
                <w:rFonts w:ascii="Arial" w:cs="Arial" w:eastAsia="Arial" w:hAnsi="Arial"/>
                <w:sz w:val="18"/>
                <w:szCs w:val="18"/>
                <w:color w:val="auto"/>
                <w:vertAlign w:val="superscript"/>
              </w:rPr>
              <w:t>(10)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11/26/2028</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38,760</w:t>
            </w:r>
            <w:r>
              <w:rPr>
                <w:rFonts w:ascii="Arial" w:cs="Arial" w:eastAsia="Arial" w:hAnsi="Arial"/>
                <w:sz w:val="18"/>
                <w:szCs w:val="18"/>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53,101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93,023</w:t>
            </w:r>
            <w:r>
              <w:rPr>
                <w:rFonts w:ascii="Arial" w:cs="Arial" w:eastAsia="Arial" w:hAnsi="Arial"/>
                <w:sz w:val="18"/>
                <w:szCs w:val="18"/>
                <w:color w:val="auto"/>
                <w:vertAlign w:val="superscript"/>
              </w:rPr>
              <w:t>(12)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127,442</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137,362</w:t>
            </w:r>
            <w:r>
              <w:rPr>
                <w:rFonts w:ascii="Arial" w:cs="Arial" w:eastAsia="Arial" w:hAnsi="Arial"/>
                <w:sz w:val="18"/>
                <w:szCs w:val="18"/>
                <w:color w:val="auto"/>
                <w:vertAlign w:val="superscript"/>
              </w:rPr>
              <w:t>(7)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188,186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68,681</w:t>
            </w:r>
            <w:r>
              <w:rPr>
                <w:rFonts w:ascii="Arial" w:cs="Arial" w:eastAsia="Arial" w:hAnsi="Arial"/>
                <w:sz w:val="18"/>
                <w:szCs w:val="18"/>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94,093</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Scott W. Anderson</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22,500</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5/14/2024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2"/>
                <w:szCs w:val="12"/>
                <w:color w:val="auto"/>
              </w:rPr>
              <w:t>45,000</w:t>
            </w:r>
            <w:r>
              <w:rPr>
                <w:rFonts w:ascii="Arial" w:cs="Arial" w:eastAsia="Arial" w:hAnsi="Arial"/>
                <w:sz w:val="18"/>
                <w:szCs w:val="18"/>
                <w:color w:val="auto"/>
                <w:vertAlign w:val="superscript"/>
              </w:rPr>
              <w:t>(14)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5/14/2024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2"/>
                <w:szCs w:val="12"/>
                <w:color w:val="auto"/>
              </w:rPr>
              <w:t>22,500</w:t>
            </w:r>
            <w:r>
              <w:rPr>
                <w:rFonts w:ascii="Arial" w:cs="Arial" w:eastAsia="Arial" w:hAnsi="Arial"/>
                <w:sz w:val="18"/>
                <w:szCs w:val="18"/>
                <w:color w:val="auto"/>
                <w:vertAlign w:val="superscript"/>
              </w:rPr>
              <w:t>(15)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5/14/2024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32,772</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2/24/2025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20,000</w:t>
            </w:r>
            <w:r>
              <w:rPr>
                <w:rFonts w:ascii="Arial" w:cs="Arial" w:eastAsia="Arial" w:hAnsi="Arial"/>
                <w:sz w:val="18"/>
                <w:szCs w:val="18"/>
                <w:color w:val="auto"/>
                <w:vertAlign w:val="superscript"/>
              </w:rPr>
              <w:t>(16)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27,400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82,417</w:t>
            </w:r>
            <w:r>
              <w:rPr>
                <w:rFonts w:ascii="Arial" w:cs="Arial" w:eastAsia="Arial" w:hAnsi="Arial"/>
                <w:sz w:val="18"/>
                <w:szCs w:val="18"/>
                <w:color w:val="auto"/>
                <w:vertAlign w:val="superscript"/>
              </w:rPr>
              <w:t>(7)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112,911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41,209</w:t>
            </w:r>
            <w:r>
              <w:rPr>
                <w:rFonts w:ascii="Arial" w:cs="Arial" w:eastAsia="Arial" w:hAnsi="Arial"/>
                <w:sz w:val="18"/>
                <w:szCs w:val="18"/>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56,456</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48,076</w:t>
            </w:r>
            <w:r>
              <w:rPr>
                <w:rFonts w:ascii="Arial" w:cs="Arial" w:eastAsia="Arial" w:hAnsi="Arial"/>
                <w:sz w:val="18"/>
                <w:szCs w:val="18"/>
                <w:color w:val="auto"/>
                <w:vertAlign w:val="superscript"/>
              </w:rPr>
              <w:t>(9)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65,864</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9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Dennis Zeleny</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98,684</w:t>
            </w:r>
            <w:r>
              <w:rPr>
                <w:rFonts w:ascii="Arial" w:cs="Arial" w:eastAsia="Arial" w:hAnsi="Arial"/>
                <w:sz w:val="18"/>
                <w:szCs w:val="18"/>
                <w:color w:val="auto"/>
                <w:vertAlign w:val="superscript"/>
              </w:rPr>
              <w:t>(7)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135,197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2"/>
                <w:szCs w:val="12"/>
                <w:color w:val="auto"/>
              </w:rPr>
              <w:t>49,342</w:t>
            </w:r>
            <w:r>
              <w:rPr>
                <w:rFonts w:ascii="Arial" w:cs="Arial" w:eastAsia="Arial" w:hAnsi="Arial"/>
                <w:sz w:val="18"/>
                <w:szCs w:val="18"/>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Consists of equity awards with respect to which, as of December 31, 2019, any applicable performance hurdles have been met but awards remain subject to time-based vesting criteria.</w:t>
      </w:r>
    </w:p>
    <w:p>
      <w:pPr>
        <w:ind w:left="340" w:hanging="332"/>
        <w:spacing w:after="0" w:line="180"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Consists of option awards with respect to which, as of December 31, 2019, the applicable performance hurdles have not been met.</w:t>
      </w:r>
    </w:p>
    <w:p>
      <w:pPr>
        <w:spacing w:after="0" w:line="2" w:lineRule="exact"/>
        <w:rPr>
          <w:rFonts w:ascii="Arial" w:cs="Arial" w:eastAsia="Arial" w:hAnsi="Arial"/>
          <w:sz w:val="25"/>
          <w:szCs w:val="25"/>
          <w:color w:val="auto"/>
          <w:vertAlign w:val="superscript"/>
        </w:rPr>
      </w:pPr>
    </w:p>
    <w:p>
      <w:pPr>
        <w:ind w:left="340" w:right="20" w:hanging="332"/>
        <w:spacing w:after="0" w:line="195" w:lineRule="auto"/>
        <w:tabs>
          <w:tab w:leader="none" w:pos="340" w:val="left"/>
        </w:tabs>
        <w:numPr>
          <w:ilvl w:val="0"/>
          <w:numId w:val="48"/>
        </w:numPr>
        <w:rPr>
          <w:rFonts w:ascii="Arial" w:cs="Arial" w:eastAsia="Arial" w:hAnsi="Arial"/>
          <w:sz w:val="29"/>
          <w:szCs w:val="29"/>
          <w:color w:val="auto"/>
          <w:vertAlign w:val="superscript"/>
        </w:rPr>
      </w:pPr>
      <w:r>
        <w:rPr>
          <w:rFonts w:ascii="Arial" w:cs="Arial" w:eastAsia="Arial" w:hAnsi="Arial"/>
          <w:sz w:val="17"/>
          <w:szCs w:val="17"/>
          <w:color w:val="auto"/>
        </w:rPr>
        <w:t>The dollar amounts shown in these columns are determined by multiplying the number of unvested shares or units subject to the award by $1.37, the closing price of a share of our common stock on the New York Stock Exchange on December 31, 2019 (the last trading day of 2019).</w:t>
      </w:r>
    </w:p>
    <w:p>
      <w:pPr>
        <w:ind w:left="340" w:right="20" w:hanging="332"/>
        <w:spacing w:after="0" w:line="187" w:lineRule="auto"/>
        <w:tabs>
          <w:tab w:leader="none" w:pos="34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Consists of equity awards with respect to which, as of December 31, 2019, the applicable time-based and/or performance vesting criteria have not been met.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ind w:left="332" w:hanging="332"/>
        <w:spacing w:after="0" w:line="194" w:lineRule="auto"/>
        <w:tabs>
          <w:tab w:leader="none" w:pos="332"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Represents non-qualified stock options (NQSOs) granted to Mr. Messina October 4, 2018. One-third of granted options vested October 4, 2019, with the remaining options vesting in equal tranches on the second and third anniversaries of the grant.</w:t>
      </w:r>
    </w:p>
    <w:p>
      <w:pPr>
        <w:ind w:left="332" w:right="20" w:hanging="332"/>
        <w:spacing w:after="0" w:line="187" w:lineRule="auto"/>
        <w:tabs>
          <w:tab w:leader="none" w:pos="332"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Represents RSUs granted to Mr. Messina October 4, 2018. One-third of granted units vested October 4, 2019, with the remaining units vesting in equal tranches on the second and third anniversaries of the grant.</w:t>
      </w:r>
    </w:p>
    <w:p>
      <w:pPr>
        <w:spacing w:after="0" w:line="1" w:lineRule="exact"/>
        <w:rPr>
          <w:rFonts w:ascii="Arial" w:cs="Arial" w:eastAsia="Arial" w:hAnsi="Arial"/>
          <w:sz w:val="30"/>
          <w:szCs w:val="30"/>
          <w:color w:val="auto"/>
          <w:vertAlign w:val="superscript"/>
        </w:rPr>
      </w:pPr>
    </w:p>
    <w:p>
      <w:pPr>
        <w:ind w:left="332" w:hanging="332"/>
        <w:spacing w:after="0" w:line="209" w:lineRule="auto"/>
        <w:tabs>
          <w:tab w:leader="none" w:pos="332"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Represents RSUs granted to Mr. Messina April 11, 2019, to Messrs. Anderson and Yanoti March 29, 2019, and to Mr. Zeleny July 21, 2019, vesting in equal tranches on the first, second and third anniversaries of the respective grant dates. Awards for all but Mr. Messina will settle in cash.</w:t>
      </w:r>
    </w:p>
    <w:p>
      <w:pPr>
        <w:spacing w:after="0" w:line="1" w:lineRule="exact"/>
        <w:rPr>
          <w:rFonts w:ascii="Arial" w:cs="Arial" w:eastAsia="Arial" w:hAnsi="Arial"/>
          <w:sz w:val="27"/>
          <w:szCs w:val="27"/>
          <w:color w:val="auto"/>
          <w:vertAlign w:val="superscript"/>
        </w:rPr>
      </w:pPr>
    </w:p>
    <w:p>
      <w:pPr>
        <w:jc w:val="both"/>
        <w:ind w:left="332" w:hanging="332"/>
        <w:spacing w:after="0" w:line="214" w:lineRule="auto"/>
        <w:tabs>
          <w:tab w:leader="none" w:pos="332"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Represents PRSUs granted to Mr. Messina April 11, 2019, to Messrs. Anderson and Yanoti March 29, 2019, and to Mr. Zeleny July 21, 2019. These PRSUs are earned based on the Company’s TSR during the performance period of March 29, 2019 through March 29, 2022, and vest on the third anniversary of the respective grant dates. Awards for all but Mr. Messina will settle in cash, if earned. Amounts reported assume threshold levels of achievement.</w:t>
      </w:r>
    </w:p>
    <w:p>
      <w:pPr>
        <w:spacing w:after="0" w:line="2" w:lineRule="exact"/>
        <w:rPr>
          <w:rFonts w:ascii="Arial" w:cs="Arial" w:eastAsia="Arial" w:hAnsi="Arial"/>
          <w:sz w:val="30"/>
          <w:szCs w:val="30"/>
          <w:color w:val="auto"/>
          <w:vertAlign w:val="superscript"/>
        </w:rPr>
      </w:pPr>
    </w:p>
    <w:p>
      <w:pPr>
        <w:jc w:val="both"/>
        <w:ind w:left="332" w:hanging="332"/>
        <w:spacing w:after="0"/>
        <w:tabs>
          <w:tab w:leader="none" w:pos="332"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Represents PRSUs granted to Mr. Messina April 11, 2019, and to Mr. Anderson March 29, 2019. These PRSUs vest in equal thirds on the first, second and third anniversaries of the respective grant dates based on the Company’s cumulative Total Shareholder Return during three performance periods (the first from March 29, 2019 through March 29, 2020, the second from March 29, 2019 through March 29, 2021, and the third from March 29, 2019 through March 29, 2022). These awards will settle in cash, if earned. Amounts reported assume threshold levels of achievement.</w:t>
      </w:r>
    </w:p>
    <w:p>
      <w:pPr>
        <w:spacing w:after="0" w:line="1" w:lineRule="exact"/>
        <w:rPr>
          <w:rFonts w:ascii="Arial" w:cs="Arial" w:eastAsia="Arial" w:hAnsi="Arial"/>
          <w:sz w:val="27"/>
          <w:szCs w:val="27"/>
          <w:color w:val="auto"/>
          <w:vertAlign w:val="superscript"/>
        </w:rPr>
      </w:pPr>
    </w:p>
    <w:p>
      <w:pPr>
        <w:ind w:left="332" w:hanging="332"/>
        <w:spacing w:after="0" w:line="200" w:lineRule="auto"/>
        <w:tabs>
          <w:tab w:leader="none" w:pos="332"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November 26, 2018 to Mr. Yanoti and March 4, 2019 to Ms. Campbell, vesting in equal thirds on the first, second and third anniversaries of the grant.</w:t>
      </w:r>
    </w:p>
    <w:p>
      <w:pPr>
        <w:ind w:left="332" w:hanging="332"/>
        <w:spacing w:after="0" w:line="180" w:lineRule="auto"/>
        <w:tabs>
          <w:tab w:leader="none" w:pos="332"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RSUs granted March 4, 2019 to Ms. Campbell, vesting in equal thirds on the first, second and third anniversaries of the grant.</w:t>
      </w:r>
    </w:p>
    <w:p>
      <w:pPr>
        <w:spacing w:after="0" w:line="2" w:lineRule="exact"/>
        <w:rPr>
          <w:rFonts w:ascii="Arial" w:cs="Arial" w:eastAsia="Arial" w:hAnsi="Arial"/>
          <w:sz w:val="25"/>
          <w:szCs w:val="25"/>
          <w:color w:val="auto"/>
          <w:vertAlign w:val="superscript"/>
        </w:rPr>
      </w:pPr>
    </w:p>
    <w:p>
      <w:pPr>
        <w:jc w:val="both"/>
        <w:ind w:left="332" w:hanging="332"/>
        <w:spacing w:after="0" w:line="252" w:lineRule="auto"/>
        <w:tabs>
          <w:tab w:leader="none" w:pos="332"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Represents PRSUs granted November 26, 2018 to Mr. Yanoti and March 4, 2019 to Ms. Campbell, time-vesting in equal fourths on the first, second, third and fourth anniversaries of the grant, and performance vesting upon the Average Stock Price equaling or exceeding $5.80 and $4.34 for Mr. Yanoti and Ms. Campbell, respectively, at any time during such four-year period. For these purposes, “Average Stock Price” means the average of the Adjusted Stock Price for a period of twenty consecutive trading days, and the term “Adjusted Stock Price” shall mean, for a particular trading day, the sum of (i) the closing price of the Corporation’s common stock on such trading day, and (ii) the aggregate amount of dividends paid by the Company on a share of its common stock during the period commencing on the award date and ending on the applicable trading day.</w:t>
      </w:r>
    </w:p>
    <w:p>
      <w:pPr>
        <w:spacing w:after="0" w:line="2" w:lineRule="exact"/>
        <w:rPr>
          <w:rFonts w:ascii="Arial" w:cs="Arial" w:eastAsia="Arial" w:hAnsi="Arial"/>
          <w:sz w:val="27"/>
          <w:szCs w:val="27"/>
          <w:color w:val="auto"/>
          <w:vertAlign w:val="superscript"/>
        </w:rPr>
      </w:pPr>
    </w:p>
    <w:p>
      <w:pPr>
        <w:ind w:left="332" w:hanging="332"/>
        <w:spacing w:after="0" w:line="200" w:lineRule="auto"/>
        <w:tabs>
          <w:tab w:leader="none" w:pos="332"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RSUs granted to Mr. Yanoti November 26, 2018. One-third of granted units vested November 26, 2019, with the remaining units vesting in equal tranches on the second and third anniversaries of the grant.</w:t>
      </w:r>
    </w:p>
    <w:p>
      <w:pPr>
        <w:ind w:left="332" w:right="20" w:hanging="332"/>
        <w:spacing w:after="0" w:line="200" w:lineRule="auto"/>
        <w:tabs>
          <w:tab w:leader="none" w:pos="332"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to Mr. Anderson 5/14/2014, one-fourth of which vest upon achieving a stock price of $66.90 and compounded annual gain of 20% over the exercise price, with the balance vesting one-fourth each subsequent anniversary.</w:t>
      </w:r>
    </w:p>
    <w:p>
      <w:pPr>
        <w:ind w:left="332" w:hanging="332"/>
        <w:spacing w:after="0" w:line="200" w:lineRule="auto"/>
        <w:tabs>
          <w:tab w:leader="none" w:pos="332"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to Mr. Anderson 5/14/2014, one-fourth of which vest upon achieving a stock price of $100.35 and compounded annual gain of 25% over the exercise price, with the balance vesting one-fourth each subsequent anniversary.</w:t>
      </w:r>
    </w:p>
    <w:p>
      <w:pPr>
        <w:ind w:left="332" w:hanging="332"/>
        <w:spacing w:after="0" w:line="180" w:lineRule="auto"/>
        <w:tabs>
          <w:tab w:leader="none" w:pos="332"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remaining one-fourth of PRSUs granted to Mr. Anderson March 29, 2016, which vested March 29, 2020.</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Option Exercises and Stock Vested During 2019</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2019 for the individuals named in the Summary Compensation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5"/>
          </w:tcPr>
          <w:p>
            <w:pPr>
              <w:ind w:left="1060"/>
              <w:spacing w:after="0"/>
              <w:rPr>
                <w:sz w:val="20"/>
                <w:szCs w:val="20"/>
                <w:color w:val="auto"/>
              </w:rPr>
            </w:pPr>
            <w:r>
              <w:rPr>
                <w:rFonts w:ascii="Arial" w:cs="Arial" w:eastAsia="Arial" w:hAnsi="Arial"/>
                <w:sz w:val="18"/>
                <w:szCs w:val="18"/>
                <w:b w:val="1"/>
                <w:bCs w:val="1"/>
                <w:color w:val="auto"/>
              </w:rPr>
              <w:t>Option Awards</w:t>
            </w:r>
          </w:p>
        </w:tc>
        <w:tc>
          <w:tcPr>
            <w:tcW w:w="3320" w:type="dxa"/>
            <w:vAlign w:val="bottom"/>
            <w:gridSpan w:val="4"/>
          </w:tcPr>
          <w:p>
            <w:pPr>
              <w:ind w:left="108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ind w:left="150"/>
              <w:spacing w:after="0" w:line="198" w:lineRule="exact"/>
              <w:rPr>
                <w:sz w:val="20"/>
                <w:szCs w:val="20"/>
                <w:color w:val="auto"/>
              </w:rPr>
            </w:pPr>
            <w:r>
              <w:rPr>
                <w:rFonts w:ascii="Arial" w:cs="Arial" w:eastAsia="Arial" w:hAnsi="Arial"/>
                <w:sz w:val="18"/>
                <w:szCs w:val="18"/>
                <w:b w:val="1"/>
                <w:bCs w:val="1"/>
                <w:color w:val="auto"/>
                <w:w w:val="93"/>
              </w:rPr>
              <w:t>Number of</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Value Realized</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Value Realized</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left="150"/>
              <w:spacing w:after="0" w:line="181" w:lineRule="exact"/>
              <w:rPr>
                <w:sz w:val="20"/>
                <w:szCs w:val="20"/>
                <w:color w:val="auto"/>
              </w:rPr>
            </w:pPr>
            <w:r>
              <w:rPr>
                <w:rFonts w:ascii="Arial" w:cs="Arial" w:eastAsia="Arial" w:hAnsi="Arial"/>
                <w:sz w:val="18"/>
                <w:szCs w:val="18"/>
                <w:b w:val="1"/>
                <w:bCs w:val="1"/>
                <w:color w:val="auto"/>
                <w:w w:val="92"/>
              </w:rPr>
              <w:t>Acquired</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6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2"/>
              </w:rPr>
              <w:t>Acquired</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on Exercise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96"/>
              </w:rPr>
              <w:t>on Exercise</w:t>
            </w:r>
            <w:r>
              <w:rPr>
                <w:rFonts w:ascii="Arial" w:cs="Arial" w:eastAsia="Arial" w:hAnsi="Arial"/>
                <w:sz w:val="25"/>
                <w:szCs w:val="25"/>
                <w:b w:val="1"/>
                <w:bCs w:val="1"/>
                <w:color w:val="auto"/>
                <w:w w:val="96"/>
                <w:vertAlign w:val="superscript"/>
              </w:rPr>
              <w:t>(1)</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on Vesting</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on Vesting</w:t>
            </w:r>
          </w:p>
        </w:tc>
        <w:tc>
          <w:tcPr>
            <w:tcW w:w="0" w:type="dxa"/>
            <w:vAlign w:val="bottom"/>
          </w:tcPr>
          <w:p>
            <w:pPr>
              <w:spacing w:after="0"/>
              <w:rPr>
                <w:sz w:val="1"/>
                <w:szCs w:val="1"/>
                <w:color w:val="auto"/>
              </w:rPr>
            </w:pPr>
          </w:p>
        </w:tc>
      </w:tr>
      <w:tr>
        <w:trPr>
          <w:trHeight w:val="277"/>
        </w:trPr>
        <w:tc>
          <w:tcPr>
            <w:tcW w:w="4280" w:type="dxa"/>
            <w:vAlign w:val="bottom"/>
            <w:gridSpan w:val="2"/>
          </w:tcPr>
          <w:p>
            <w:pPr>
              <w:ind w:left="1800"/>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4"/>
                <w:szCs w:val="24"/>
                <w:color w:val="auto"/>
              </w:rPr>
            </w:pPr>
          </w:p>
        </w:tc>
        <w:tc>
          <w:tcPr>
            <w:tcW w:w="146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327,669</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2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1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19,380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28,682</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2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45,112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83,024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Catherine M. Dondzila</w:t>
            </w:r>
          </w:p>
        </w:tc>
        <w:tc>
          <w:tcPr>
            <w:tcW w:w="124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26,431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48,565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No options were exercised during 2019.</w:t>
      </w:r>
    </w:p>
    <w:p>
      <w:pPr>
        <w:spacing w:after="0" w:line="1" w:lineRule="exact"/>
        <w:rPr>
          <w:rFonts w:ascii="Arial" w:cs="Arial" w:eastAsia="Arial" w:hAnsi="Arial"/>
          <w:sz w:val="30"/>
          <w:szCs w:val="30"/>
          <w:color w:val="auto"/>
          <w:vertAlign w:val="superscript"/>
        </w:rPr>
      </w:pPr>
    </w:p>
    <w:p>
      <w:pPr>
        <w:ind w:left="340" w:right="140" w:hanging="332"/>
        <w:spacing w:after="0" w:line="187" w:lineRule="auto"/>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The dollar amounts shown in this column for stock awards are calculated based on the closing price of a share of our common stock on the New York Stock Exchange on the date of vesting.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and non-disclosure agreement discussed above under “Restrictive Covenants,” and our clawback policy, as applicable. In addition, a named executive officer would typically retain any vested portion of prior equity awards granted through the 1998 Annual Incentive Plan, the 2007 Plan and the 2017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Options and Equity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stock option agreements generally provide that, in the event of death, disability, retirement or termination by the Company without 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w:t>
      </w:r>
    </w:p>
    <w:p>
      <w:pPr>
        <w:spacing w:after="0" w:line="1" w:lineRule="exact"/>
        <w:rPr>
          <w:sz w:val="20"/>
          <w:szCs w:val="20"/>
          <w:color w:val="auto"/>
        </w:rPr>
      </w:pPr>
    </w:p>
    <w:p>
      <w:pPr>
        <w:jc w:val="both"/>
        <w:ind w:firstLine="8"/>
        <w:spacing w:after="0" w:line="255"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vested options generally terminate within a specified timeframe. Upon termination for cause, all vested and unvested options are immediately terminated. Additionally, pursuant to these stock option agreements, if there is a “change of control” as defined in the applicable stock option agreement, all options would immediately vest.</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time-based and performance-based stock unit agreements for awards granted prior to March 29, 2019 provide for continued vesting upon retirement, disability or death. Upon retirement on or after the first anniversary of the award, or in the event of disability, vesting of the award continues as provided in the award agreement if certain conditions relating to cooperation and non-competition as set forth in the agreement are met. Upon death, vesting also continues as provided in the award agreement. If terminated (other than by retirement, disability or death), any unvested portion of the award shall be terminated on the last day of employment. If there is a “change of control” as defined in the applicable stock unit agreement, then all outstanding and unvested awards immediately vest.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Long-Term Incentive (LTI) awards granted March 29, 2019 and after, in the case of death or disability, the awards will immediately vest on a pro-rata basis in proportion to the percentage of the vesting period the participant served prior to termination, and the performance-based vesting condition shall be deemed to have been achieved at target level, as applicable. In the event of voluntary resignation (other than for good reason, as defined in the applicable award agreements), any unvested portion of an award will be forfeited.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Upon a termination without cause, the restricted stock units vest in the same pro-rata manner described above, and the pro-rata portion (determined in the same manner described above) of the three-year cliff-vesting performance-restricted stock units remain eligible to become vested, subject to achievement of applicable performance objectives, and the transitional three-year ratable-vesting performance-restricted stock units remain eligible to become vested in full, subject to achievement of performance objectives.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change of control, awards continue vesting in accordance with their terms, but the performance-based vesting condition shall be deemed to have been achieved at target levels at each subsequent vesting date, as applicable. If, within 12 months of such change of control, the corporation terminates the participant’s employment for any reason other than for cause or the participant resigns for good reason, the awards will vest at target level as of the date of termination.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the provisions in our equity award agreements relating to change in control support our compelling business need to incentivize the retention of key employees during the uncertain times preceding a change of control. As described above, beginning with our March 29, 2019 awards, our award agreements provide for accelerated vesting following change of control only if such change of control is followed by actual or constructive termination (i.e., a “double trigger”), in order to further incentivize post-change of control retention and engagement.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for Mr. Messina</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of Mr. Messina’s termination without cause or resignation for good reason, under the terms of his offer letter he will be entitled to receive (i) a lump sum termination payment in an amount equal to the sum of his base salary plus his annual target incentive, (ii) the estimated cost of 18 months’ COBRA benefits, and (iii) a pro rata portion of his annual bonus payment based on actual achievement of Ocwen performance objectives and payment of any unpaid prior year bonus. In addition, in the event of Mr. Messina’s termination without cause, resignation for good reason or termination due to death or disability, he will be entitled to accelerated vesting of his sign-on option award and sign-on restricted stock unit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Messrs. Anderson, Yanoti and Zeleny and Ms. Campbell are eligible for severance benefits upon a qualifying termination of employment, conditioned upon the execution of a separation and release agreement, consistent with either the United States Basic Severance Plan (the “Severance Plan”) or the United States Change in Control Severance Plan (the “CIC Plan”).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Severance Plan, if an executive officer’s employment with the Company is terminated by the Company due to an eligible termination as defined in the Plan, the executive will be entitled to receive the following benefits: (i) a lump sum payment equal to 18 times the monthly base salary rate; and (ii) a monthly subsidy equal to the executive’s expected cost of COBRA premiums for continued medical coverage for 18 months.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CIC Plan, if a Change in Control (as defined in the Plan) occurs and either the participant’s employment is involuntarily terminated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and (ii) a monthly subsidy equal to the participant’s expected cost of COBRA premiums for continued medical coverage for 24 months.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Tabular Disclosure of Payments on Termination or Change in Control</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table below sets forth the potential benefits that each named executive officer serving as of December 31, 2019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2019. For Ms. Dondzila, as required under SEC rules, payments to her in connection with her termination of employment on May 31, 2019 are described below.</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value of any outstanding equity awards that would accelerate is determined by multiplying (i) the number of unvested restricted stock units held by the named executive officer that would accelerate by (ii) $1.37, the closing price of a share of our common stock on the New York Stock Exchange on December 31, 2019 (the last trading day of the year). Additionally, at that share price, no stock options for which vesting would accelerate had value.</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1"/>
              </w:rPr>
              <w:t>Voluntary</w:t>
            </w: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Termination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without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Good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Change in</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Reason or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Voluntary</w:t>
            </w:r>
          </w:p>
        </w:tc>
        <w:tc>
          <w:tcPr>
            <w:tcW w:w="1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Involuntary</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c>
          <w:tcPr>
            <w:tcW w:w="8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Control</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Involuntary</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Resignation</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Control</w:t>
            </w:r>
          </w:p>
        </w:tc>
        <w:tc>
          <w:tcPr>
            <w:tcW w:w="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with</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Termination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with Good</w:t>
            </w:r>
          </w:p>
        </w:tc>
        <w:tc>
          <w:tcPr>
            <w:tcW w:w="1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Not for</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without</w:t>
            </w:r>
          </w:p>
        </w:tc>
        <w:tc>
          <w:tcPr>
            <w:tcW w:w="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Qualifying</w:t>
            </w: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Disability</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Cause</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Reason</w:t>
            </w:r>
          </w:p>
        </w:tc>
        <w:tc>
          <w:tcPr>
            <w:tcW w:w="1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Cause</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Termination</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Termination</w:t>
            </w:r>
          </w:p>
        </w:tc>
        <w:tc>
          <w:tcPr>
            <w:tcW w:w="8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Death</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Retirement</w:t>
            </w:r>
          </w:p>
        </w:tc>
      </w:tr>
      <w:tr>
        <w:trPr>
          <w:trHeight w:val="216"/>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3,573,440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3,573,440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897,817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4,538,151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653,017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712,500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712,500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112,378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1,062,378</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Yanoti</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722,690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180,543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1,456,916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95,379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47,690</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750,000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778,612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27,400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1,384,954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188,956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28,612</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637,500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656,479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1,120,394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37,957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18,979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Catherine M. Dondzila Separation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May 31, 2019, Ms. Dondzila resigned as our Senior Vice President and Chief Accounting Officer. The Company entered into a separation and release agreement with Ms. Dondzila on June 19, 2019 in connection with her departure. Under this agreement, in addition to any other accrued obligations and vested benefits under the Company’s benefit plans, the Company agreed to pay Ms. Dondzila a lump sum payment of $568,870 in exchange for a general release of claims. This agreement also included certain restrictive covenants.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ADVISORY 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of our Board of Directors has appointed Deloitte &amp; Touche LLP, independent registered public accountants, to be our independent registered public accounting firm for the year ending December 31, 2020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6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RATIFICATION OF DELOITTE &amp; TOUCHE LLP AS OUR INDEPENDENT REGISTERED PUBLIC ACCOUNTING FIRM FOR 2020.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2019;</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Discussed with Deloitte &amp; Touche LLP, Ocwen’s independent registered public accounting firm, the matters required to be discussed by the applicable requirements of the Public Company Accounting Oversight Board and the Securities and Exchange Commission;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ectPr>
          <w:pgSz w:w="11900" w:h="16838" w:orient="portrait"/>
          <w:cols w:equalWidth="0" w:num="1">
            <w:col w:w="11240"/>
          </w:cols>
          <w:pgMar w:left="320" w:top="688"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April [●], 2020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J. Bowers, 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Robert J. Lipstein,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Kevin Stein, Director</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Deloitte &amp; Touche LLP Fees</w:t>
      </w:r>
    </w:p>
    <w:p>
      <w:pPr>
        <w:sectPr>
          <w:pgSz w:w="11900" w:h="16838" w:orient="portrait"/>
          <w:cols w:equalWidth="0" w:num="1">
            <w:col w:w="11240"/>
          </w:cols>
          <w:pgMar w:left="320" w:top="688"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2019 and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6,584,205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5,601,457</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313,000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1,846,820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2,150,010</w:t>
            </w:r>
          </w:p>
        </w:tc>
      </w:tr>
      <w:tr>
        <w:trPr>
          <w:trHeight w:val="236"/>
        </w:trPr>
        <w:tc>
          <w:tcPr>
            <w:tcW w:w="788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38,877</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4,286</w:t>
            </w:r>
          </w:p>
        </w:tc>
      </w:tr>
      <w:tr>
        <w:trPr>
          <w:trHeight w:val="230"/>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8,782,902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fiscal years 2019 and 2018, for the reviews of the financial statements included in Ocwen’s quarterly reports on Form 10-Q during fiscal years 2019 and 2018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Related Fees. </w:t>
      </w:r>
      <w:r>
        <w:rPr>
          <w:rFonts w:ascii="Arial" w:cs="Arial" w:eastAsia="Arial" w:hAnsi="Arial"/>
          <w:sz w:val="18"/>
          <w:szCs w:val="18"/>
          <w:color w:val="auto"/>
        </w:rPr>
        <w:t>This category includes the aggregate fees billed for reporting on internal controls relating to servicing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for tax compliance, tax planning and tax advice.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0" w:name="page61"/>
    <w:bookmarkEnd w:id="60"/>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amounts billed in each of the last two fiscal years by the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that are not reported above under “Audit Fees,” “Audit-Related Fees” or “Tax Fees.”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Deloitte &amp; Touche LLP in 2018 and 2019 and the proposed services for 2020 and determined that such services and fees are compatible with the independence of Deloitte &amp; Touche LLP.</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Principles for Audit Committee Pre-Approval of Audit and Non-Audit Services Provided by the Independent Auditor (the “Pre-Approval Principles”). </w:t>
      </w:r>
      <w:r>
        <w:rPr>
          <w:rFonts w:ascii="Arial" w:cs="Arial" w:eastAsia="Arial" w:hAnsi="Arial"/>
          <w:sz w:val="17"/>
          <w:szCs w:val="17"/>
          <w:color w:val="auto"/>
        </w:rPr>
        <w:t>The 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does not delegate its responsibilities to pre-approve services performed by the independent auditor to management.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in more detail under the heading “Executive Compensation,” we believe our executive compensation programs are effectively designed, are in alignment with the interests of our shareholders and are instrumental to achieving our business strategy. Prior to 2019, shareholder feedback in the form of shareholder advisory votes on Ocwen’s executive compensation has been very positive. At each of our Annual Meetings of Shareholders from 2014 through 2018, we received at least 85% of votes cast on our Say-on-Pay proposal in favor of our executive compensation. In 2019, we received 66% support on the votes casted on our Say-on-Pay proposal. Based on outreach efforts to both institutional and active investors, we believe that a significant driver of this was the “AGAINST” recommendation provided by ISS’s proxy advisory group. ISS comments included, among others, that our “annual incentive awards being tied to a large number of metrics, several which appear to be subjective” and that our new Chief Executive Officer, Mr. Messina, received equity grants that were “large and entirely time-vesting.”</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Compensation Committee considered ISS’s input, as well as the input we gathered from reaching out or meeting directly with active investors. Through these outreach efforts we reached a group who held approximately 58% of our outstanding shares. During the shareholder engagement process, we shared with investors the changes we had made in our programs including the reduction of compensation levels and the introduction of a long-term incentive plan. As a result of the engagement process, we concluded that Ocwen’s current focus on rewarding the management team for cost reduction, maximizing the synergies of the PHH acquisition, settling legacy issues with regulators and focusing on the quickest return to profitability, as well as linking management’s compensation to absolute total shareholder return, aligns with the priorities of our shareholders.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2020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2017 Annual Meeting for Shareholders, who voted overwhelmingly to advise the Company to hold Say-on-Pay votes annually. Therefore, we expect that the next such vote will occur at the 2020 annual meeting of shareholders.</w:t>
      </w:r>
    </w:p>
    <w:p>
      <w:pPr>
        <w:spacing w:after="0" w:line="183" w:lineRule="exact"/>
        <w:rPr>
          <w:sz w:val="20"/>
          <w:szCs w:val="20"/>
          <w:color w:val="auto"/>
        </w:rPr>
      </w:pPr>
    </w:p>
    <w:p>
      <w:pPr>
        <w:jc w:val="center"/>
        <w:ind w:left="340" w:right="158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ADVISORY APPROVAL OF AN AMENDMENT TO THE ARTICLES OF INCORPORATION</w:t>
      </w:r>
    </w:p>
    <w:p>
      <w:pPr>
        <w:spacing w:after="0" w:line="27" w:lineRule="exact"/>
        <w:rPr>
          <w:sz w:val="20"/>
          <w:szCs w:val="20"/>
          <w:color w:val="auto"/>
        </w:rPr>
      </w:pPr>
    </w:p>
    <w:p>
      <w:pPr>
        <w:jc w:val="center"/>
        <w:ind w:left="340" w:right="80"/>
        <w:spacing w:after="0" w:line="255" w:lineRule="auto"/>
        <w:rPr>
          <w:sz w:val="20"/>
          <w:szCs w:val="20"/>
          <w:color w:val="auto"/>
        </w:rPr>
      </w:pPr>
      <w:r>
        <w:rPr>
          <w:rFonts w:ascii="Arial" w:cs="Arial" w:eastAsia="Arial" w:hAnsi="Arial"/>
          <w:sz w:val="18"/>
          <w:szCs w:val="18"/>
          <w:b w:val="1"/>
          <w:bCs w:val="1"/>
          <w:color w:val="auto"/>
        </w:rPr>
        <w:t xml:space="preserve">TO EFFECT A REVERSE STOCK SPLIT OF OUR ISSUED AND OUTSTANDING COMMON STOCK AND REDUCE THE NUMBER OF AUTHORIZED SHARES OF OUR COMMON STOCK BY THE SAME PROPORTION AS THE RATIO OF OUR REVERSE STOCK SPLIT </w:t>
      </w:r>
      <w:r>
        <w:rPr>
          <w:rFonts w:ascii="Arial" w:cs="Arial" w:eastAsia="Arial" w:hAnsi="Arial"/>
          <w:sz w:val="18"/>
          <w:szCs w:val="18"/>
          <w:color w:val="auto"/>
        </w:rPr>
        <w:t>(Proposal Four)</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Board has approved and is requesting shareholders to approve, on an advisory basis, an amendment to our Articles of Incorporation that would effect a reverse split of all outstanding shares of our common stock if the Board deems that it is in our and our shareholders’ best interests, at a ratio of any amount between, and including, one-for-five and one-for-25, and reduce the number of authorized shares of our common stock by the same proportion as the ratio of our reverse stock split (the “Reverse Stock Split”). Under the Florida Business Corporation Act, we may enact this amendment to our Articles of Incorporation without shareholder approval because we are reducing our authorized shares proportionately. However, our Board has determined that it is appropriate to request shareholder approval of this amendment and will give appropriate consideration to the outcome of the advisory vote in determining whether or not to effect a Reverse Stock Split, and if so, at which split ratio. Our Board will continue to have the authority to elect to implement a Reverse Stock Split at its sole discretion if the members of the Board believe, due to changing circumstances or otherwise, that it is in the best interests of the Company and its shareholders, and therefore required by the Board’s fulfillment of its fiduciary duties. Further, our Board may elect not to implement a Reverse Stock Split at its sole discretion, if it believes as a result of changed circumstances or otherwise that to abandon the Reverse Stock Split would be in the best interest of our shareholders.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our Board elects to implement the Reverse Stock Split, our Board would authorize our management to file Articles of Amendment to our Articles of Incorporation with the Florida Secretary of State to effect the Reverse Stock Split. If our Board elects to implement the Reverse Stock Split, the number of issued and outstanding shares of our common stock would be reduced in accordance with the ratio of the selected Reverse Stock Split. The par value of our common stock would remain unchanged, and the number of our authorized shares of common stock, which is presently 200,000,000, would be decreased proportionally. For example, if we implemented a one-for-five Reverse Stock Split, our authorized shares would be reduced to 40,000,000 and if we implemented a one-for-20 Reverse Stock Split, our authorized shares would be reduced to 10,000,000. Because the number of authorized shares of our common stock will be reduced by the same proportion as the ratio of our Reverse Stock Split, the Reverse Stock Split will not result in an increase to the proportion of our authorized but unissued shares of common stock. If our Board elects to implement the Reverse Stock Split, the ratio selected by our Board would be publicly disclosed by us to our shareholders on or before the date on which the Articles of Amendment to our Articles of Incorporation effecting the Reverse Stock Split is filed with the Florida Secretary of State.</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You may elect to vote in favor of the Reverse Stock Split, against the Reverse Stock Split, or you may abstain from voting on the proposal. The proposed form of amendment to our Articles of Incorporation to implement the Reverse Stock Split is attached to this Proxy Statement as </w:t>
      </w:r>
      <w:r>
        <w:rPr>
          <w:rFonts w:ascii="Arial" w:cs="Arial" w:eastAsia="Arial" w:hAnsi="Arial"/>
          <w:sz w:val="17"/>
          <w:szCs w:val="17"/>
          <w:u w:val="single" w:color="auto"/>
          <w:color w:val="auto"/>
        </w:rPr>
        <w:t>Annex A</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Reverse Stock Split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that a Reverse Stock Split is desirable for a number of reasons, including:</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Help us Comply with New York Stock Exchange (NYSE) Continued Listing Requirements. </w:t>
      </w:r>
      <w:r>
        <w:rPr>
          <w:rFonts w:ascii="Arial" w:cs="Arial" w:eastAsia="Arial" w:hAnsi="Arial"/>
          <w:sz w:val="16"/>
          <w:szCs w:val="16"/>
          <w:color w:val="auto"/>
        </w:rPr>
        <w:t>Our common stock is quoted on the NYSE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symbol “OCN”. On the record date, the last sale price of our common stock was $0.57 per share. As previously disclosed, we were notified on April 8, 2020 by the NYSE that we were non-compliant with the NYSE’s continued listing standards because the average closing price of our common stock over the 30 trading-day period ending April 7, 2020 was less than $1.00. If we are not able to regain compliance with the NYSE’s share price standards, which generally require that on the last trading day of any calendar month during the six months ended October 8, 2020, our common stock has a closing share price of at least $1.00 and an average closing share price of at least $1.00 over the 30 trading-day period ending on the last trading day of that month, we will be de-listed from the NYSE, absent a determination by the NYSE to grant general or Company-specific relief due to the extraordinary circumstances brought about by the COVID-19 pandemic or otherwise. On April 3, 2020, the NYSE filed two proposals with the SEC, designed to assist NYSE-listed companies with temporary relief in response to the market-wide declines as a result of COVID-19. One of the proposals seeks to suspend the application of the NYSE’s continued listing requirements of a minimum $1.00 price and $50 million market capitalization/shareholder’s equity through June 30, 2020. The likelihood of NYSE relief, and the precise nature of any such relief, remain uncertain at this time. Therefore, we believe we should effectuate the Reverse Stock Split in order to potentially increase our stock price and therefore our ability comply with the continued listing requirements of the NYSE.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Increase in Eligible Institutional and Other Investors. </w:t>
      </w:r>
      <w:r>
        <w:rPr>
          <w:rFonts w:ascii="Arial" w:cs="Arial" w:eastAsia="Arial" w:hAnsi="Arial"/>
          <w:sz w:val="18"/>
          <w:szCs w:val="18"/>
          <w:color w:val="auto"/>
        </w:rPr>
        <w:t>We believe a Reverse Stock Split has the ability to increase the price of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potentially decrease its volatility, and thus may facilitate investment in our stock by a broader range of institutional investors. For example, many funds and institutions have investment guidelines and policies that prohibit them from investing in stocks with a price below a certain threshold. We believe that increased institutional investor interest in the Company and our common stock may potentially lead to an increase in the market price of our common stock, as well as the trading volume and liquidity of our common stock.</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Increase Analyst and Broker Interest. </w:t>
      </w:r>
      <w:r>
        <w:rPr>
          <w:rFonts w:ascii="Arial" w:cs="Arial" w:eastAsia="Arial" w:hAnsi="Arial"/>
          <w:sz w:val="16"/>
          <w:szCs w:val="16"/>
          <w:color w:val="auto"/>
        </w:rPr>
        <w:t>We believe a Reverse Stock Split would help increase analyst and broker-dealer interest in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as many brokerage and investment advisory firms’ policies can discourage analysts, advisors, and broker/dealers from following or recommending companies with low stock prices. Because of the trading volatility and lack of liquidity often associated with lower-priced stocks, many brokerage houses have adopted investment guidelines and policies and practices that either prohibit or discourage them from investing or trading such stocks or recommending them to their clients and customers. Some of those guidelines, policies and practices may also function to make the processing of trades in lower-priced stocks economically unattractive to broker-dealers. Additionally, because brokers’ commissions and dealer mark-ups/mark-downs on transactions in lower-priced stocks generally represent a higher percentage of the stock price than commissions and mark-ups/mark-downs on higher-priced stocks, the current average price per share of our common stock can result in shareholders or potential shareholders paying transaction costs representing a higher percentage of the total share value than would otherwise be the case if the share price were substantially higher.</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evaluating the Reverse Stock Split, our Board of Directors also considered a number of negative factors commonly associated with reverse stock splits. These factors include the negative perception of reverse stock splits held by some investors and analysts, as well as the fact that the stock prices of some companies that effect reverse stock splits do not necessarily trade at levels commensurate with expectations based on the applicable reverse stock split ratios. See “- </w:t>
      </w:r>
      <w:r>
        <w:rPr>
          <w:rFonts w:ascii="Arial" w:cs="Arial" w:eastAsia="Arial" w:hAnsi="Arial"/>
          <w:sz w:val="16"/>
          <w:szCs w:val="16"/>
          <w:i w:val="1"/>
          <w:iCs w:val="1"/>
          <w:color w:val="auto"/>
        </w:rPr>
        <w:t>Risks of the Reverse Stock Split</w:t>
      </w:r>
      <w:r>
        <w:rPr>
          <w:rFonts w:ascii="Arial" w:cs="Arial" w:eastAsia="Arial" w:hAnsi="Arial"/>
          <w:sz w:val="16"/>
          <w:szCs w:val="16"/>
          <w:color w:val="auto"/>
        </w:rPr>
        <w:t>” below for more information on the risks associated with the Reverse Stock Split. Our Board, however, may determine that these potential negative factors would be significantly outweighed by the potential benefits, and may believe that the increase of the per share market price of our common stock that may result from the Reverse Stock Split may allow us to maintain the listing of our common stock on the NYSE, encourage greater interest in our common stock from market participants, and enhance the marketability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of the Reverse Stock Split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Before voting on this proposal, you should consider the following risks associated with the implementation of the Reverse Stock Split.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The Reverse Stock Split may not increase our market capitalization, which would prevent us from realizing some of the anticipated benefits of the Reverse Stock Split. </w:t>
      </w:r>
      <w:r>
        <w:rPr>
          <w:rFonts w:ascii="Arial" w:cs="Arial" w:eastAsia="Arial" w:hAnsi="Arial"/>
          <w:sz w:val="17"/>
          <w:szCs w:val="17"/>
          <w:color w:val="auto"/>
        </w:rPr>
        <w:t>The market price of our common stock is based on a number of factors which may be unrelated to the number of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These factors may include our performance, general economic and market conditions and other factors, many of which are beyond our control. The market price per share may not rise in inverse proportion to the reduction in the number of shares outstanding before the Reverse Stock Split, and any increase in share price may not be maintained. For example, based on the closing price of our common stock on March 31, 2020, of $0.50 per share, if our Board were to implement the Reverse Stock Split and utilize a ratio of one-for-20, we cannot assure you that the post-split market price of our common stock would be $10.00 (that is $0.50 multiplied by 20) per share or greater. Accordingly, the total market capitalization of our common stock after the Reverse Stock Split may be lower than the total market capitalization before the Reverse Stock Split.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Even if the Reverse Stock Split is implemented, we may still become ineligible for continued listing on the NYSE. </w:t>
      </w:r>
      <w:r>
        <w:rPr>
          <w:rFonts w:ascii="Arial" w:cs="Arial" w:eastAsia="Arial" w:hAnsi="Arial"/>
          <w:sz w:val="18"/>
          <w:szCs w:val="18"/>
          <w:color w:val="auto"/>
        </w:rPr>
        <w:t>In the future, the market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common stock following the Reverse Stock Split may not equal or exceed the market price prior to the Reverse Stock Split. The long- and near-term effect of a Reverse Stock Split upon the market price of our common stock cannot be predicted with any certainty. Even if the Reverse Stock Split is implemented, we may still become ineligible for continued listing on the NYSE.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If the Reverse Stock Split is effected, the resulting per-share market price may not attract institutional investors or investment funds and may not satisfy the investing guidelines of such investors and, consequently, the trading liquidity of our common stock may not improve. </w:t>
      </w:r>
      <w:r>
        <w:rPr>
          <w:rFonts w:ascii="Arial" w:cs="Arial" w:eastAsia="Arial" w:hAnsi="Arial"/>
          <w:sz w:val="18"/>
          <w:szCs w:val="18"/>
          <w:color w:val="auto"/>
        </w:rPr>
        <w:t>There can be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The reduced number of issued shares of common stock resulting from the Reverse Stock Split could adversely affect the liquidity of our common stock. </w:t>
      </w:r>
      <w:r>
        <w:rPr>
          <w:rFonts w:ascii="Arial" w:cs="Arial" w:eastAsia="Arial" w:hAnsi="Arial"/>
          <w:sz w:val="18"/>
          <w:szCs w:val="18"/>
          <w:color w:val="auto"/>
        </w:rPr>
        <w:t>As noted above, the Reverse Stock Split may not increase interest in our common stock and to the contrary, the reduced number of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 after the Reverse Stock Split could adversely affect the liquidity of our common stock by reducing the number of shares available for trading.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Reverse Stock Split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Reduction of the number of Shares Held by Individual Shareholders</w:t>
      </w:r>
      <w:r>
        <w:rPr>
          <w:rFonts w:ascii="Arial" w:cs="Arial" w:eastAsia="Arial" w:hAnsi="Arial"/>
          <w:sz w:val="17"/>
          <w:szCs w:val="17"/>
          <w:color w:val="auto"/>
        </w:rPr>
        <w:t>. After the effective date of the Reverse Stock Split, each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will own fewer shares of our common stock. However, the Reverse Stock Split will affect all of our common shareholders uniformly and will not affect any common shareholder’s percentage ownership interests in us, except to the extent that the Reverse Stock Split results in any of our shareholders owning a fractional share as described below. As discussed further below, we will round up any fractional shares. The number of shareholders of record will not be affected by the Reverse Stock Split. However, if the Reverse Stock Split is approved, it will increase the number of shareholders who own “odd lots” of less than 100 shares of our common stock. Brokerage commissions and other costs of transactions in odd lots may be higher than the costs of transactions of more than 100 shares of common stock.</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Reduction in Total Outstanding Shares. </w:t>
      </w:r>
      <w:r>
        <w:rPr>
          <w:rFonts w:ascii="Arial" w:cs="Arial" w:eastAsia="Arial" w:hAnsi="Arial"/>
          <w:sz w:val="18"/>
          <w:szCs w:val="18"/>
          <w:color w:val="auto"/>
        </w:rPr>
        <w:t>The proposed Reverse Stock Split will reduce the total number of outstanding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 factor based on the ratio of the split. The following table shows the number of shares of our common stock outstanding both before the Reverse Stock Split and after the Reverse Stock Split: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 Number</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of</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1"/>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 Issued</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and</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Authorized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Available for</w:t>
            </w:r>
          </w:p>
        </w:tc>
      </w:tr>
      <w:tr>
        <w:trPr>
          <w:trHeight w:val="277"/>
        </w:trPr>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Reverse Split Ratio</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Authorized</w:t>
            </w:r>
          </w:p>
        </w:tc>
        <w:tc>
          <w:tcPr>
            <w:tcW w:w="1960" w:type="dxa"/>
            <w:vAlign w:val="bottom"/>
            <w:gridSpan w:val="2"/>
          </w:tcPr>
          <w:p>
            <w:pPr>
              <w:jc w:val="center"/>
              <w:ind w:right="180"/>
              <w:spacing w:after="0" w:line="270" w:lineRule="exact"/>
              <w:rPr>
                <w:sz w:val="20"/>
                <w:szCs w:val="20"/>
                <w:color w:val="auto"/>
              </w:rPr>
            </w:pPr>
            <w:r>
              <w:rPr>
                <w:rFonts w:ascii="Arial" w:cs="Arial" w:eastAsia="Arial" w:hAnsi="Arial"/>
                <w:sz w:val="18"/>
                <w:szCs w:val="18"/>
                <w:b w:val="1"/>
                <w:bCs w:val="1"/>
                <w:color w:val="auto"/>
                <w:w w:val="87"/>
              </w:rPr>
              <w:t>Outstanding</w:t>
            </w:r>
            <w:r>
              <w:rPr>
                <w:rFonts w:ascii="Arial" w:cs="Arial" w:eastAsia="Arial" w:hAnsi="Arial"/>
                <w:sz w:val="29"/>
                <w:szCs w:val="29"/>
                <w:b w:val="1"/>
                <w:bCs w:val="1"/>
                <w:color w:val="auto"/>
                <w:w w:val="87"/>
                <w:vertAlign w:val="superscript"/>
              </w:rPr>
              <w:t>(1)</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r>
      <w:tr>
        <w:trPr>
          <w:trHeight w:val="216"/>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Current Shares</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200,000,000</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134,956,288</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65,043,712</w:t>
            </w:r>
          </w:p>
        </w:tc>
      </w:tr>
      <w:tr>
        <w:trPr>
          <w:trHeight w:val="216"/>
        </w:trPr>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1-for-5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40,000,000</w:t>
            </w: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26,991,258</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13,008,742</w:t>
            </w:r>
          </w:p>
        </w:tc>
      </w:tr>
      <w:tr>
        <w:trPr>
          <w:trHeight w:val="216"/>
        </w:trPr>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1-for-10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20,000,000</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13,495,629</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6,504,371</w:t>
            </w:r>
          </w:p>
        </w:tc>
      </w:tr>
      <w:tr>
        <w:trPr>
          <w:trHeight w:val="216"/>
        </w:trPr>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1-for-15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13,333,333</w:t>
            </w: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8,997,086</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4,336,247</w:t>
            </w:r>
          </w:p>
        </w:tc>
      </w:tr>
      <w:tr>
        <w:trPr>
          <w:trHeight w:val="216"/>
        </w:trPr>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1-for-20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10,000,000</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6,747,814</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3,252,186</w:t>
            </w:r>
          </w:p>
        </w:tc>
      </w:tr>
      <w:tr>
        <w:trPr>
          <w:trHeight w:val="230"/>
        </w:trPr>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1-for-25</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8,000,000</w:t>
            </w:r>
          </w:p>
        </w:tc>
        <w:tc>
          <w:tcPr>
            <w:tcW w:w="1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5,398,252</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2,601,748</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As of the Record Date, March 27,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Change in Number and Exercise Price of Employee and Equity Awards</w:t>
      </w:r>
      <w:r>
        <w:rPr>
          <w:rFonts w:ascii="Arial" w:cs="Arial" w:eastAsia="Arial" w:hAnsi="Arial"/>
          <w:sz w:val="16"/>
          <w:szCs w:val="16"/>
          <w:color w:val="auto"/>
        </w:rPr>
        <w:t>. The Reverse Stock Split will reduce the number of shares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available for issuance under the 2017 Performance Incentive Plan (the “2017 Plan”) and equity award agreements issued under the 2017 Plan in proportion to the split ratio. Under the terms of our outstanding equity awards, the Reverse Stock Split will cause a reduction in the number of shares of common stock issuable upon exercise or vesting of such awards in proportion to the split ratio of the Reverse Stock Split and will cause a proportionate increase in the exercise price of such awards to the extent they are stock options. The number of shares of common stock issuable upon exercise or vesting of stock option awards will be rounded to the nearest whole share and no cash payment will be made in respect of such rounding.</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Effect on cash-settled and equity-settled RSUs and relevant performance metrics. </w:t>
      </w:r>
      <w:r>
        <w:rPr>
          <w:rFonts w:ascii="Arial" w:cs="Arial" w:eastAsia="Arial" w:hAnsi="Arial"/>
          <w:sz w:val="18"/>
          <w:szCs w:val="18"/>
          <w:color w:val="auto"/>
        </w:rPr>
        <w:t>The number of outstanding Restricted Stock Units (RSUs)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proportionately reduced and rounded down to the nearest whole unit. The remaining fractional unit will be converted to a cash obligation not subject to the terms of the Plan but administered according to the same vesting, performance and other terms contained in the corresponding Award agreement. As applicable, performance requirements assigned to RSU vesting that are based on share price metrics (including total shareholder return) will be increased in proportion to the split ratio.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Regulatory Effects</w:t>
      </w:r>
      <w:r>
        <w:rPr>
          <w:rFonts w:ascii="Arial" w:cs="Arial" w:eastAsia="Arial" w:hAnsi="Arial"/>
          <w:sz w:val="18"/>
          <w:szCs w:val="18"/>
          <w:color w:val="auto"/>
        </w:rPr>
        <w:t>. Our common stock is currently registered under Section 12(b) of the Exchange Act and we are subject to the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and other requirements of the Exchange Act. The Reverse Stock Split will not affect the registration of the common stock under the Exchange Act or our obligation to publicly file financial and other information with the Securities and Exchange Commission. If the Reverse Stock Split is implemented, we will remain subject to NYSE continued listing standards, including compliance with the minimum price per share requirements described above, in order to continue to trade on the NYSE.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the Reverse Stock Split will have the following effects upon our common stock:</w:t>
      </w:r>
    </w:p>
    <w:p>
      <w:pPr>
        <w:spacing w:after="0" w:line="225" w:lineRule="exact"/>
        <w:rPr>
          <w:sz w:val="20"/>
          <w:szCs w:val="20"/>
          <w:color w:val="auto"/>
        </w:rPr>
      </w:pPr>
    </w:p>
    <w:p>
      <w:pPr>
        <w:ind w:left="660" w:right="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 share loss and net book value of our common stock will be increased because there will be a lesser number of shares of our common stock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authorized common stock and the par value of the common stock will remain $0.01 per share;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stated capital on our balance sheet attributable to the common stock will be decreased and the additional paid-in capital account will be credited with the amount by which the stated capital is decreased.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of common stock outstanding after the Reverse Stock Split will be fully paid and non-assessable. The amendment will not change any of the other terms of our common stock. The shares of common stock outstanding after the Reverse Stock Split will have the same voting rights and rights to dividends and distributions and will be identical in all other respects to the shares of common stock outstanding prior to the Reverse Stock Split.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number of authorized shares of our common stock will be reduced by the same proportion as the ratio of our Reverse Stock Split, the Reverse Stock Split will not result in an increase to the proportion of our authorized but unissued shares of common stock.</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Once we implement a Reverse Stock Split, all share certificates issued prior to the Reverse Stock Split will continue to be valid. In the future, new share certificates will be issued reflecting the Reverse Stock Split, but this in no way will affect the validity of your current share certificates. When implemented, the Reverse Stock Split will adjust the number of shares held by each shareholder without any further action on the part of our shareholders. After the effective date of the Reverse Stock Split, each book-entry share certificate issued prior to the Reverse Stock Split will be re-issued by our transfer agent, American Stock Transfer &amp; Trust Company, LLC (AST), to account for the Reverse Stock Split.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effective date of the Reverse Stock Split, each physical share certificate issued prior to the Reverse Stock Split will be deemed to represent the number of shares shown on the certificate, divided by the split ratio. Physical share certificates will be re-issued in book-entry form in due course as such certificates are tendered for exchange or transfer to our transfer agent in accordance with instructions in a transmittal letter that will be provided to shareholders of record.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7"/>
          <w:szCs w:val="17"/>
          <w:color w:val="auto"/>
        </w:rPr>
        <w:t>As applicable, if a share certificate issued prior to the Reverse Stock Split bears a restrictive legend, the replacement share certificate that will be issued following the Reverse Stock Split will contain the same restrictive legend. Also, if applicable, for purposes of determining the term of the restrictive period applicable to shares after the Reverse Stock Split for purposes of Rule 144 of the Securities Act of 1933, as amended, the time period during which a shareholder has held their existing pre-Reverse Stock Split shares will be included in the total holding period.</w:t>
      </w:r>
    </w:p>
    <w:p>
      <w:pPr>
        <w:spacing w:after="0" w:line="16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request that shareholders do not send in any of their stock certificates at this time and follow the instructions on the transmittal letter that will be sent to record holders of physical certificates by our stock transfer agent, American Stock Transfer &amp; Trust Company, LLC (AST).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Implementing the Reverse Stock Split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Reverse Stock Split would become effective upon the filing of Articles of Amendment to our Articles of Incorporation with the Secretary of State of Florida. The exact date of the filing of the Articles of Amendment that will effectuate the Reverse Stock Split will be determined by our Board based on its evaluation as to when such action will be the most advantageous to us and our shareholders. In addition, our Board reserves the right, notwithstanding shareholder approval and without further action by the shareholders, to elect not to proceed with the Reverse Stock Split if, at any time prior to filing the amendment to our Articles, our Board, in its sole discretion, determines that it is no longer in our best interest and the best interests of our shareholders to proceed with the Reverse Stock Split.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filing of the Articles of Amendment, our common stock will have a new CUSIP number, which is a number used to identify our equity securities, and stock certificates with the prior CUSIP number will need to be exchanged for stock certificates with the new CUSIP number by following the procedures described below.</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soon as practicable after the Reverse Stock Split is implemented, our transfer agent will act as exchange agent for purposes of implementing the exchange of physical stock certificates for record holders (i.e., shareholders who hold their shares directly in their own name and not through a broker). Record holders of pre-Reverse Stock Split physical share certificates will be asked to surrender to the transfer agent certificates representing pre-Reverse Stock Split shares in exchange for a book-entry certificate representing post-Reverse Stock Split shares in accordance with the procedures to be set forth in a letter of transmittal for from our transfer agent. No new certificates will be issued to a shareholder until such shareholder has surrendered such shareholder’s outstanding physical share certificate(s) together with the properly completed and executed letter of transmittal to the exchange agent.</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street name holders of pre-Reverse Stock Split shares (i.e., shareholders who hold their shares through a broker), your broker will make the appropriate adjustment to the number of shares held in your account following the effective date of the Reverse Stock Split.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SHAREHOLDERS SHOULD NOT DESTROY ANY STOCK CERTIFICATE(S) AND SHOULD NOT SUBMIT ANY CERTIFICATE(S) UNTIL THEY RECEIVE A TRANSMITTAL FORM FROM OUR TRANSFER AGENT.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service charges, brokerage commissions or transfer taxes will be payable by any shareholder, except that if any new stock certificates are to be issued in a name other than that in which the surrendered certificate(s) are registered it will be a condition of such issuance that (1) the person requesting such issuance pays all applicable transfer taxes resulting from the transfer (or prior to transfer of such certificate, if any) or establishes to our satisfaction that such taxes have been paid or are not payable, (2) the transfer complies with all applicable federal and state securities laws, and (3) the surrendered certificate is properly endorsed and otherwise in proper form for transfer.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fractional shares of common stock will be issued as a result of the Reverse Stock Split. Instead, shareholders who otherwise would be entitled to a fraction of a share of common stock will, in lieu of such fractional share, receive one whole share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par value per share of our common stock will remain unchanged at $0.01 per share after the Reverse Stock Split. As a result, on the effective date of the Reverse Stock Split, the stated capital on our consolidated balance sheet attributable to common stock will be reduced and the additional paid-in-capital account will be increased by the amount by which the stated capital is reduced. Per share net income or loss will be increased because there will be fewer shares of our common stock outstanding. We do not anticipate that any other accounting consequences, including changes to the amount of stock-based compensation expense to be recognized in any period, will arise as a result of the Reverse Stock Split.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Each shareholder is advised to consult their own tax advisor as the following discussion may be limited, modified or not apply based on your own particular situation.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summary of certain United States federal income tax consequences of the Reverse Stock Split is based on current law, including the Internal Revenue Code of 1986, as amended (the “Code”) and is for general information only. This summary addresses only shareholders who are United States Persons, as defined in Section 7701(a)(30) of the Code and who hold the pre-Reverse Stock Split shares and post-Reverse Stock Split shares as capital assets. This summary does not purport to be complete and does not address shareholders subject to special rules, such as financial institutions, tax-exempt organizations, insurance companies, dealers in securities, mutual funds, non-U.S. shareholders, shareholders who hold the pre-Reverse Stock Split shares as part of a straddle, hedge, or conversion transaction, shareholders who hold the pre-Reverse Stock Split shares as qualified small business stock within the meaning of Section 1202 of the Code, shareholders who hold the pre-Reverse Stock split shares as Section 1244 stock within the meaning of Section 1244 of the Code, shareholders who are subject to the alternative minimum tax provisions of the Code, and shareholders who acquired their pre-Reverse Stock Split shares pursuant to the exercise of employee stock options or otherwise as compensation. This summary does not address tax considerations under state, local and/or non-U.S. income tax and other laws. If a partnership holds pre-Reverse Stock Split shares, the tax treatment of a partner in such partnership will generally depend upon the status of the partner and the activities of such partnership. Furthermore, we have not obtained a ruling from the Internal Revenue Service or an opinion of legal or tax counsel with respect to the consequences of the Reverse Stock Split and do not intend to do so. This summary is not binding upon the Internal Revenue Service or the courts, and there can be no assurance that the Internal Revenue Service or the courts will accept the positions expressed herein.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Reverse Stock Split is intended to constitute a reorganization within the meaning of Section 368 of the Code. Assuming the Reverse Stock Split qualifies as a reorganization for federal income tax purposes, we will not recognize taxable income, gain or loss as a result of the transaction.</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Assuming the Reverse Stock Split qualifies as a reorganization for federal income tax purposes, a shareholder generally will not recognize income, gain or loss on the Reverse Stock Split, except possibly to the extent of the value of the shares received solely as a result of the stock “round up” (see below). The aggregate tax basis of the post-Reverse Stock Split shares received by a shareholder will be equal to the aggregate tax basis of its pre-Reverse Stock Split shares plus the value of the shares received solely as a result of the stock “round up”. The holding period of the post-Reverse Stock Split shares received by a shareholder will include the holding period of the pre-Reverse Stock Split shares exchanged by such shareholder as part of this transaction for all shares received other than any received as a result of the “round-up.” The shares received as a result of the “round-up” may have a new holding period starting on the date of the Reverse Stock Split.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federal income tax consequences of the stock “round up” are unclear, and a holder of the pre-Reverse Stock Split shares may recognize income or gain to the extent of the value of the shares received solely as a result of the stock “round up.”</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PLEASE CONSULT YOUR OWN TAX ADVISOR REGARDING THE U.S. FEDERAL, STATE, LOCAL, AND FOREIGN INCOME AND OTHER TAX CONSEQUENCES OF THE REVERSE STOCK SPLIT AND THE RECEIPT OF ANY “ROUND UP” SHARES IN YOUR PARTICULAR CIRCUMSTANCES UNDER THE INTERNAL REVENUE CODE AND THE LAWS OF ANY OTHER TAXING JURISDICTION.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have no rights under the Florida Business Corporation Act or under our charter documents to exercise dissenters’ rights of appraisal with respect to the Reverse Stock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Expected Anti-Takeover Effects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Reverse Stock Split will not result in Ocwen having additional authorized and unissued shares, we do not expect the Reverse Stock Split to have any impact on the ability of the Company to engage in a merger, business combination or other transformative transaction, nor do we expect it to impact the ability of any party to assume control of us through a hostile-takeover, tender offer or proxy contest. Additionally, the Reverse Stock Split is not intended to effect a going private transaction.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Neither our Articles of Incorporation nor our Bylaws presently contain any provisions having anti-takeover effects, with the exception of our Board’s ability to issue preferred stock, at any time and from time to time, with such voting powers, designations, preferences and relative, participating, optional or other special rights, qualification, limitations or restrictions as adopted by our Board. The Reverse Stock Split Proposal is not a plan by our Board to adopt a series of amendments to our Articles or Bylaws to institute an anti-takeover provision. We do not have any plans or proposals to adopt other provisions or enter into other arrangements that may have material anti-takeover consequences.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Rather, as discussed above, the reason for the Reverse Stock Split is to increase the ability of institutions to purchase our common stock and the interest in our common stock by analysts and brokers as well as help us comply with NYSE continued listing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this Proposal Four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officers and directors have an interest in Proposal Four as a result of their ownership of shares of our common stock. However, the Reverse Stock Split will affect all of our common shareholders uniformly and will not affect any common shareholder’s percentage ownership interests in us, except to the extent that the Reverse Stock Split results in any of our shareholders owning a fractional share as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Reverse Stock Split is Not Approved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that the Reverse Stock Split is not approved by shareholders, we intend to actively monitor the trading price of our common stock on the NYSE and will consider available options in order to comply with the NYSE listing rules. We believe that our ability to remain listed on the NYSE may be significantly and negatively affected if a Reverse Stock Split is not implemented. If we are unable to achieve an increase in our stock price and our common stock is subsequently delisted, we would experience significant negative impacts, including but not limited to, impairment of our ability to obtain debt or equity financing to support our operations, and our shareholders could experience significant negative impacts, including but not limited to, decreased trading volume and liquidity of our common stock. Therefore, if the members of the Board believe, due to changing circumstances or otherwise, that it is in the best interests of the Company and its shareholders, and therefore required by the Board’s fulfillment of its fiduciary duties, to act to prevent delisting of the Company, the Board reserves discretion to implement the Reverse Stock Split.</w:t>
      </w:r>
    </w:p>
    <w:p>
      <w:pPr>
        <w:spacing w:after="0" w:line="17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APPROVAL OF AN AMENDMENT TO OUR ARTICLES OF INCORPORATION TO IMPLEMENT A REVERSE STOCK SPLIT AS DISCLOSED IN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APPROVAL OF THE ADJOURNMENT OF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Five)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at the Annual Meeting, the number of shares of common stock present in person or represented by proxy and voting in favor of Proposal Four to approve the Reverse Stock Split is insufficient to approve such proposal, the Company believes it is advisable that the Company should be authorized to move to adjourn the Annual Meeting in order to enable the Board of Directors to solicit additional proxies for the approval of Proposal Four. If we determine that this is necessary, we will ask our shareholders to vote only on Proposals One, Two, Three and Five and not on Proposal Four. We do not intend to call a vote on this Proposal Five if Proposal Four is approved by the requisite number of shares of our common stock at the Annual Meeting.</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shareholders approve this Proposal Five to adjourn the Annual Meeting, we could adjourn the Annual Meeting and use the additional time to solicit additional proxies, including the solicitation of proxies from shareholders that have previously voted. Among other things, approval of this Proposal Five could mean that, even if we had received proxies representing a sufficient number of votes “AGAINST” Proposal Four to defeat such proposal, we could adjourn the Annual Meeting without a vote on the Reverse Stock Split and seek to convince the holders of those shares to change their votes to votes in favor of Proposal Four.</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AUTHORITY OF THE COMPANY TO ADJOURN THE ANNUAL MEETING, IF NECESSARY OR APPROPRIATE, TO SOLICIT ADDITIONAL PROXIES IN THE EVENT THAT THERE ARE NOT SUFFICIENT VOTES AT THE TIME OF THE ANNUAL MEETING TO APPROVE PROPOSAL FOUR.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 (vii) 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Arial" w:cs="Arial" w:eastAsia="Arial" w:hAnsi="Arial"/>
          <w:sz w:val="17"/>
          <w:szCs w:val="17"/>
          <w:u w:val="single" w:color="auto"/>
          <w:color w:val="auto"/>
        </w:rPr>
        <w:t>www.ocwen.com</w:t>
      </w:r>
      <w:r>
        <w:rPr>
          <w:rFonts w:ascii="Arial" w:cs="Arial" w:eastAsia="Arial" w:hAnsi="Arial"/>
          <w:sz w:val="17"/>
          <w:szCs w:val="17"/>
          <w:color w:val="auto"/>
        </w:rPr>
        <w:t>, also includes policies and procedures that broadly cover situations in which conflicts of interest may arise.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and Compliance Committee (the “Committee”) of the Board of Directors provides independent review, approval and oversight of Related Party Transactions as required under the Policy.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may consider the following factors, as well as any others it deems appropriate, to the extent relevant to the transaction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 of such Related Party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information contained in filings under the Exchange Act, we understand that Deer Park Road Management Company, LP, an Ocwen shareholder reporting beneficial ownership of over 5% of our common stock, also reports beneficial ownership of 19.8% of the common stock of Altisource Portfolio Solutions, S.A. (“Altisource”) as of December 31, 2019. Pursuant to SEC guidance, we consider this shareholder to have an indirect material interest in our transactions with Altisource, and, pursuant to our Policy, we consider our transactions with Altisource and certain of its subsidiaries to be Related Party Transactions notwithstanding that such Specified Companies are not “related persons” as defined in Item 404 or “related parties” as defined in ASC 850.</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relationship with Altisource is governed by a series of agreements that set forth the terms on which we do business with Altisource. The key agreements are summarized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6"/>
          <w:szCs w:val="16"/>
          <w:color w:val="auto"/>
        </w:rPr>
        <w:t>Ocwen Financial Corporation is a party to a number of long-term agreements with Altisource S.à r.l., and certain other subsidiaries of Altisource, including a Services Agreement, under which Altisource provides various services, such as property valuation services, property preservation and inspection services and title services, among other things. This agreement expires August 31, 2025 and includes renewal provisions. Ocwen and Altisource have also entered into a Master Services Agreement pursuant to which Altisource currently provides title services to Ocwen’s subsidiary PHH Mortgage Corporation doing business as Liberty Reverse Mortgage. Ocwen also has a General Referral Fee Agreement with Altisource pursuant to which Ocwen receives referral fees which are paid out of the commission that would otherwise be paid to Altisource as the selling broker in connection with certain real estate sales services provided by Altisource. In February 2019, Ocwen and Altisource S.à r.l (a subsidiary of Altisource) signed a Binding Term Sheet, which among other things, confirmed Altisource’s cooperation with the deboarding of loans from Altisource’s REALServicing servicing system to Black Knight MSP. The Binding Term Sheet also amends certain provisions in the Services Agreement. After certain conditions have been met and where Ocwen has the right to select the services provider, Ocwen agreed to use Altisource to provide the types of services that Altisource currently provides under the Services Agreement for at least 90% of services for all portfolios for which Ocwen is the servicer or subservicer, except that Altisource will be the provider for all such services for the portfolios: (i) acquired by Ocwen pursuant to loan servicing under agreements from Homeward Residential, Inc. (acquired in 2012) or assigned and assumed by Ocwen from Residential Capital, LLC, et al (assets acquired in 2013); and (ii) acquired from Ocwen, excluding certain portfolios in which PHH has an interest, by New Residential Investment Corp. or its affiliates prior to the date of the Binding Term Sheet.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Binding Term Sheet also sets forth a framework for negotiating additional service level changes under the Services Agreement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service referrals received by Altisource after the effective date of the Binding Term Sheet, the provisions include reciprocal indemnification obligations in the event of negligence by either party, and Altisource’s indemnification of Ocwen in the event of breach by Altisource of its obligations under the Services Agreement. The limitations of liability provisions include an exception for losses either party suffers as a result of third-party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we paid expenses of $18.3 million to Altisource under our agreements with Altisource.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18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SUBMISSION OF SHAREHOLDER PROPOSALS FOR 2021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to be Considered for Inclusion in Proxy Materials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2021 Annual Meeting of Shareholders, must be received by the Secretary of Ocwen at our principal executive offices no later than December [•], 2020 and must comply with the procedures prescribed in Rule 14a-8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Not Intended for Inclusion in Proxy Materials and for Nomination of Director Candidates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2020 Annual Meeting, we must receive written notice of the proposal or nomination no earlier than December [•], 2020 and no later than January [●], 2021,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2021 proxy materials and notices of intent to present a proposal or nomination directly at the 2021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 copy of our annual report on Form 10-K for the year ended December 31, 2019 was mailed on or about April [•], 2020 to shareholders of record as of March 27, 2020.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2019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this proxy statement and our annual report on Form 10-K for the year ended December 31, 2019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on an advisory basis, of the appointment of Deloitte &amp; Touche LLP as our independent registered public accounting firm for 2020, (iii) “for” the approval, on an advisory basis, of the compensation of our named executive officers as disclosed in this proxy statement, (iv) “for” the approval, on an advisory basis, of an amendment to our Articles of Incorporation to implement a reverse stock split of our issued and outstanding common stock and reduce the number of authorized shares of our common stock by the same proportion as the ratio of our reverse stock split, and (v) “for” the approval to authorize an adjournment of the Annual Meeting to solicit additional proxies for Proposal Four.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2020 Annual Meeting. If you are interested in participating in the virtual Annual Meeting and voting at that time, please see “Annual Meeting Participation” above for further details on participation requirements.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proxy statement and our 2019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Assumes a Reverse Stock Split ratio of 1-for-10 for illustrative purposes only. If approved and implemented, the actual Reverse Stock Split ratio will be between, and including, one-for-five and one-for-25.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OCWEN FINANCIAL CORPORATION</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Ocwen Financial Corporation, a Florida corporation (the “Corporation”), acting pursuant to the provisions of Sections 607.1006 and 607.10025 of the Florida Business Corporation Act, does hereby adopt the following Articles of Amendment to its Amended and Restated Articles of Incorporation: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FIRST: The name of the Corporation is: Ocwen Financial Corporation.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SECOND: These Articles of Amendment have been adopted and approved in connection with a share division pursuant to Section 607.10025 of the Florida Business Corporation Act. The resolutions approving the division of shares were adopted and approved by the Board of Directors of the Corporation on [ ], without shareholder action. Shareholder action was not required pursuant to Section 607.10025(2) of the Florida Business Corporation Act.</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THIRD: The amendment to the Amended and Restated Articles of Incorporation set forth below does not adversely affect the rights or preferences of the holders of outstanding shares of the Corporation’s common stock, and the percentage of authorized shares of the Corporation’s common stock remaining unissued after the division will not exceed the percentage of authorized shares of the Corporation’s common stock that were unissued before the division.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 Paragraph one (1) of Article III of the Amended and Restated Articles of Incorporation shall be deleted in its entirety and replaced with the following:</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total number of shares of stock of all classes and series the Company shall have authority to issue is [40,000,000] shares consisting of (i) [20,000,000] shares of common stock, par value of $0.01 per share and (ii) 20,000,000 shares of preferred stock, par value $0.001 with such rights, preferences and limitations as may be set from time to time by resolution of the board of directors and the filing of Articles of Amendment as required by the Florida Business Corporation Act. Upon the filing and effectiveness (the “Effective Time”) pursuant to the Florida Business Corporation Act of these Articles of Amendment to the Articles of Incorporation of the Corporation, each [ten (10)] shares of Common Stock either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Shareholders who otherwise would be entitled to receive fractional shares of Common Stock shall be entitled to receive shares rounded up to the nearest whole share. Each certificate that immediately prior to the Effective Time represented shares of Common Stock (“Old Certificates”), shall from and after the Effective Time, automatically and without the necessity of presenting the same for exchange, represent that number of shares of Common Stock into which the shares of Common Stock represented by the Old Certificate shall have been combined, subject to the elimination of fractional share interests as described above.”</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FIFTH: That these Articles of Amendment shall become effective at [time] eastern time on [date], in accordance with the applicable provisions of the Florida Statutes.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IN WITNESS WHEREOF, the undersigned duly authorized officer of the Corporation has executed these Articles of Amendment as of this _____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 20__.</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62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62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7629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lvl>
    <w:lvl w:ilvl="1">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3"/>
    </w:lvl>
  </w:abstractNum>
  <w:abstractNum w:abstractNumId="16">
    <w:nsid w:val="5577F8E1"/>
    <w:multiLevelType w:val="hybridMultilevel"/>
    <w:lvl w:ilvl="0">
      <w:lvlJc w:val="left"/>
      <w:lvlText w:val="(%1)"/>
      <w:numFmt w:val="decimal"/>
      <w:start w:val="1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lowerRoman"/>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bullet"/>
      <w:start w:val="1"/>
    </w:lvl>
  </w:abstractNum>
  <w:abstractNum w:abstractNumId="42">
    <w:nsid w:val="7644A45C"/>
    <w:multiLevelType w:val="hybridMultilevel"/>
    <w:lvl w:ilvl="0">
      <w:lvlJc w:val="left"/>
      <w:lvlText w:val="2"/>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6"/>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5"/>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Roman"/>
      <w:start w:val="3"/>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2020-04-15T15:49:28Z</dcterms:created>
  <dcterms:modified xsi:type="dcterms:W3CDTF">2020-04-15T15:49:28Z</dcterms:modified>
</cp:coreProperties>
</file>