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6" w:lineRule="exact"/>
        <w:rPr>
          <w:sz w:val="24"/>
          <w:szCs w:val="24"/>
          <w:color w:val="auto"/>
        </w:rPr>
      </w:pPr>
    </w:p>
    <w:p>
      <w:pPr>
        <w:ind w:left="360" w:right="60"/>
        <w:spacing w:after="0" w:line="234"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-226695</wp:posOffset>
            </wp:positionV>
            <wp:extent cx="123190" cy="1231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16"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3190" cy="123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190" cy="1231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4"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5253355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-626745</wp:posOffset>
            </wp:positionV>
            <wp:extent cx="58420" cy="640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744855</wp:posOffset>
            </wp:positionV>
            <wp:extent cx="6993255" cy="50831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1244"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O'Neil Sean Bradley</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1661 WORTHINGTON ROAD,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ONITY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ONIT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06/13/2026</w:t>
      </w:r>
    </w:p>
    <w:p>
      <w:pPr>
        <w:spacing w:after="0" w:line="20" w:lineRule="exact"/>
        <w:rPr>
          <w:sz w:val="24"/>
          <w:szCs w:val="24"/>
          <w:color w:val="auto"/>
        </w:rPr>
      </w:pPr>
      <w:r>
        <w:rPr>
          <w:sz w:val="24"/>
          <w:szCs w:val="24"/>
          <w:color w:val="auto"/>
        </w:rPr>
        <w:br w:type="column"/>
      </w:r>
    </w:p>
    <w:p>
      <w:pPr>
        <w:ind w:left="-3" w:right="640" w:firstLine="3"/>
        <w:spacing w:after="0" w:line="259"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37"/>
        <w:spacing w:after="0"/>
        <w:tabs>
          <w:tab w:leader="none" w:pos="2076"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5" w:lineRule="exact"/>
        <w:rPr>
          <w:sz w:val="24"/>
          <w:szCs w:val="24"/>
          <w:color w:val="auto"/>
        </w:rPr>
      </w:pPr>
    </w:p>
    <w:p>
      <w:pPr>
        <w:ind w:left="537"/>
        <w:spacing w:after="0"/>
        <w:tabs>
          <w:tab w:leader="none" w:pos="2076"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537"/>
        <w:spacing w:after="0"/>
        <w:rPr>
          <w:sz w:val="20"/>
          <w:szCs w:val="20"/>
          <w:color w:val="auto"/>
        </w:rPr>
      </w:pPr>
      <w:r>
        <w:rPr>
          <w:rFonts w:ascii="Times New Roman" w:cs="Times New Roman" w:eastAsia="Times New Roman" w:hAnsi="Times New Roman"/>
          <w:sz w:val="17"/>
          <w:szCs w:val="17"/>
          <w:color w:val="0000FF"/>
        </w:rPr>
        <w:t>EVP &amp; Chief Financial Officer</w:t>
      </w:r>
    </w:p>
    <w:p>
      <w:pPr>
        <w:spacing w:after="0" w:line="317" w:lineRule="exact"/>
        <w:rPr>
          <w:sz w:val="24"/>
          <w:szCs w:val="24"/>
          <w:color w:val="auto"/>
        </w:rPr>
      </w:pPr>
    </w:p>
    <w:p>
      <w:pPr>
        <w:sectPr>
          <w:pgSz w:w="11900" w:h="16838" w:orient="portrait"/>
          <w:cols w:equalWidth="0" w:num="3">
            <w:col w:w="3180" w:space="720"/>
            <w:col w:w="3103" w:space="720"/>
            <w:col w:w="3357"/>
          </w:cols>
          <w:pgMar w:left="460" w:top="217" w:right="359" w:bottom="1440" w:gutter="0" w:footer="0" w:header="0"/>
          <w:type w:val="continuous"/>
        </w:sectPr>
      </w:pPr>
    </w:p>
    <w:p>
      <w:pPr>
        <w:spacing w:after="0" w:line="119"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2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gridSpan w:val="7"/>
          </w:tcPr>
          <w:p>
            <w:pPr>
              <w:jc w:val="center"/>
              <w:ind w:right="39"/>
              <w:spacing w:after="0"/>
              <w:rPr>
                <w:sz w:val="20"/>
                <w:szCs w:val="20"/>
                <w:color w:val="auto"/>
              </w:rPr>
            </w:pPr>
            <w:r>
              <w:rPr>
                <w:rFonts w:ascii="Arial" w:cs="Arial" w:eastAsia="Arial" w:hAnsi="Arial"/>
                <w:sz w:val="13"/>
                <w:szCs w:val="13"/>
                <w:color w:val="auto"/>
                <w:w w:val="99"/>
              </w:rPr>
              <w:t>4. If Amendment, Date of Original Filed (Month/Day/Year)</w:t>
            </w:r>
          </w:p>
        </w:tc>
        <w:tc>
          <w:tcPr>
            <w:tcW w:w="3640" w:type="dxa"/>
            <w:vAlign w:val="bottom"/>
            <w:gridSpan w:val="10"/>
          </w:tcPr>
          <w:p>
            <w:pPr>
              <w:ind w:left="2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WEST PALM</w:t>
            </w:r>
          </w:p>
        </w:tc>
        <w:tc>
          <w:tcPr>
            <w:tcW w:w="2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w w:val="90"/>
              </w:rPr>
              <w:t>FL</w:t>
            </w:r>
          </w:p>
        </w:tc>
        <w:tc>
          <w:tcPr>
            <w:tcW w:w="980" w:type="dxa"/>
            <w:vAlign w:val="bottom"/>
          </w:tcPr>
          <w:p>
            <w:pPr>
              <w:spacing w:after="0"/>
              <w:rPr>
                <w:sz w:val="14"/>
                <w:szCs w:val="14"/>
                <w:color w:val="auto"/>
              </w:rPr>
            </w:pP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33409</w:t>
            </w: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8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180" w:type="dxa"/>
            <w:vAlign w:val="bottom"/>
          </w:tcPr>
          <w:p>
            <w:pPr>
              <w:spacing w:after="0"/>
              <w:rPr>
                <w:sz w:val="7"/>
                <w:szCs w:val="7"/>
                <w:color w:val="auto"/>
              </w:rPr>
            </w:pPr>
          </w:p>
        </w:tc>
        <w:tc>
          <w:tcPr>
            <w:tcW w:w="86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BEACH</w:t>
            </w:r>
          </w:p>
        </w:tc>
        <w:tc>
          <w:tcPr>
            <w:tcW w:w="54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6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4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540" w:type="dxa"/>
            <w:vAlign w:val="bottom"/>
            <w:tcBorders>
              <w:bottom w:val="single" w:sz="8" w:color="9A9A9A"/>
            </w:tcBorders>
          </w:tcPr>
          <w:p>
            <w:pPr>
              <w:spacing w:after="0"/>
              <w:rPr>
                <w:sz w:val="6"/>
                <w:szCs w:val="6"/>
                <w:color w:val="auto"/>
              </w:rPr>
            </w:pPr>
          </w:p>
        </w:tc>
        <w:tc>
          <w:tcPr>
            <w:tcW w:w="26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6"/>
                <w:szCs w:val="6"/>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180" w:type="dxa"/>
            <w:vAlign w:val="bottom"/>
            <w:tcBorders>
              <w:top w:val="single" w:sz="8" w:color="2C2C2C"/>
            </w:tcBorders>
            <w:gridSpan w:val="14"/>
          </w:tcPr>
          <w:p>
            <w:pPr>
              <w:ind w:left="76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74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Transaction</w:t>
            </w:r>
          </w:p>
        </w:tc>
        <w:tc>
          <w:tcPr>
            <w:tcW w:w="2020" w:type="dxa"/>
            <w:vAlign w:val="bottom"/>
            <w:gridSpan w:val="5"/>
          </w:tcPr>
          <w:p>
            <w:pPr>
              <w:ind w:left="120"/>
              <w:spacing w:after="0" w:line="128" w:lineRule="exact"/>
              <w:rPr>
                <w:sz w:val="20"/>
                <w:szCs w:val="20"/>
                <w:color w:val="auto"/>
              </w:rPr>
            </w:pPr>
            <w:r>
              <w:rPr>
                <w:rFonts w:ascii="Arial" w:cs="Arial" w:eastAsia="Arial" w:hAnsi="Arial"/>
                <w:sz w:val="12"/>
                <w:szCs w:val="12"/>
                <w:b w:val="1"/>
                <w:bCs w:val="1"/>
                <w:color w:val="auto"/>
                <w:w w:val="99"/>
              </w:rPr>
              <w:t>Disposed Of (D) (Instr. 3, 4 and 5)</w:t>
            </w:r>
          </w:p>
        </w:tc>
        <w:tc>
          <w:tcPr>
            <w:tcW w:w="12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8"/>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20"/>
              <w:spacing w:after="0" w:line="129"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2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760" w:type="dxa"/>
            <w:vAlign w:val="bottom"/>
            <w:gridSpan w:val="3"/>
          </w:tcPr>
          <w:p>
            <w:pPr>
              <w:ind w:left="840"/>
              <w:spacing w:after="0"/>
              <w:rPr>
                <w:sz w:val="20"/>
                <w:szCs w:val="20"/>
                <w:color w:val="auto"/>
              </w:rPr>
            </w:pPr>
            <w:r>
              <w:rPr>
                <w:rFonts w:ascii="Times New Roman" w:cs="Times New Roman" w:eastAsia="Times New Roman" w:hAnsi="Times New Roman"/>
                <w:sz w:val="17"/>
                <w:szCs w:val="17"/>
                <w:color w:val="0000FF"/>
              </w:rPr>
              <w:t>06/13/2026</w:t>
            </w:r>
          </w:p>
        </w:tc>
        <w:tc>
          <w:tcPr>
            <w:tcW w:w="18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20" w:type="dxa"/>
            <w:vAlign w:val="bottom"/>
          </w:tcPr>
          <w:p>
            <w:pPr>
              <w:jc w:val="center"/>
              <w:ind w:right="219"/>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12,887</w:t>
            </w:r>
          </w:p>
        </w:tc>
        <w:tc>
          <w:tcPr>
            <w:tcW w:w="6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right"/>
              <w:ind w:right="36"/>
              <w:spacing w:after="0"/>
              <w:rPr>
                <w:sz w:val="20"/>
                <w:szCs w:val="20"/>
                <w:color w:val="auto"/>
              </w:rPr>
            </w:pPr>
            <w:r>
              <w:rPr>
                <w:rFonts w:ascii="Times New Roman" w:cs="Times New Roman" w:eastAsia="Times New Roman" w:hAnsi="Times New Roman"/>
                <w:sz w:val="11"/>
                <w:szCs w:val="11"/>
                <w:color w:val="008000"/>
              </w:rPr>
              <w:t>(1)</w:t>
            </w: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74,316</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26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gridSpan w:val="3"/>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06/13/2026</w:t>
            </w:r>
          </w:p>
        </w:tc>
        <w:tc>
          <w:tcPr>
            <w:tcW w:w="1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39"/>
              <w:spacing w:after="0"/>
              <w:rPr>
                <w:sz w:val="20"/>
                <w:szCs w:val="20"/>
                <w:color w:val="auto"/>
              </w:rPr>
            </w:pPr>
            <w:r>
              <w:rPr>
                <w:rFonts w:ascii="Times New Roman" w:cs="Times New Roman" w:eastAsia="Times New Roman" w:hAnsi="Times New Roman"/>
                <w:sz w:val="13"/>
                <w:szCs w:val="13"/>
                <w:color w:val="0000FF"/>
                <w:w w:val="82"/>
              </w:rPr>
              <w:t>F</w:t>
            </w:r>
          </w:p>
        </w:tc>
        <w:tc>
          <w:tcPr>
            <w:tcW w:w="70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5,071</w:t>
            </w:r>
          </w:p>
        </w:tc>
        <w:tc>
          <w:tcPr>
            <w:tcW w:w="640" w:type="dxa"/>
            <w:vAlign w:val="bottom"/>
            <w:tcBorders>
              <w:bottom w:val="single" w:sz="8" w:color="2C2C2C"/>
            </w:tcBorders>
          </w:tcPr>
          <w:p>
            <w:pPr>
              <w:ind w:left="300"/>
              <w:spacing w:after="0" w:line="309" w:lineRule="exact"/>
              <w:rPr>
                <w:sz w:val="20"/>
                <w:szCs w:val="20"/>
                <w:color w:val="auto"/>
              </w:rPr>
            </w:pPr>
            <w:r>
              <w:rPr>
                <w:rFonts w:ascii="Times New Roman" w:cs="Times New Roman" w:eastAsia="Times New Roman" w:hAnsi="Times New Roman"/>
                <w:sz w:val="33"/>
                <w:szCs w:val="33"/>
                <w:color w:val="0000FF"/>
                <w:vertAlign w:val="subscript"/>
              </w:rPr>
              <w:t>D</w:t>
            </w:r>
            <w:r>
              <w:rPr>
                <w:rFonts w:ascii="Times New Roman" w:cs="Times New Roman" w:eastAsia="Times New Roman" w:hAnsi="Times New Roman"/>
                <w:sz w:val="11"/>
                <w:szCs w:val="11"/>
                <w:color w:val="008000"/>
              </w:rPr>
              <w:t>(2)</w:t>
            </w:r>
          </w:p>
        </w:tc>
        <w:tc>
          <w:tcPr>
            <w:tcW w:w="68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36.63</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69,245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5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3"/>
          </w:tcPr>
          <w:p>
            <w:pPr>
              <w:jc w:val="center"/>
              <w:ind w:right="9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1"/>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5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6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6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26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3"/>
          </w:tcPr>
          <w:p>
            <w:pPr>
              <w:ind w:left="2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Price of</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Security</w:t>
            </w: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7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12,887</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2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11"/>
                <w:szCs w:val="11"/>
                <w:color w:val="auto"/>
              </w:rPr>
            </w:pPr>
          </w:p>
        </w:tc>
        <w:tc>
          <w:tcPr>
            <w:tcW w:w="260" w:type="dxa"/>
            <w:vAlign w:val="bottom"/>
          </w:tcPr>
          <w:p>
            <w:pPr>
              <w:spacing w:after="0"/>
              <w:rPr>
                <w:sz w:val="11"/>
                <w:szCs w:val="11"/>
                <w:color w:val="auto"/>
              </w:rPr>
            </w:pPr>
          </w:p>
        </w:tc>
        <w:tc>
          <w:tcPr>
            <w:tcW w:w="980" w:type="dxa"/>
            <w:vAlign w:val="bottom"/>
          </w:tcPr>
          <w:p>
            <w:pPr>
              <w:ind w:left="200"/>
              <w:spacing w:after="0" w:line="129" w:lineRule="exact"/>
              <w:rPr>
                <w:sz w:val="20"/>
                <w:szCs w:val="20"/>
                <w:color w:val="auto"/>
              </w:rPr>
            </w:pPr>
            <w:r>
              <w:rPr>
                <w:rFonts w:ascii="Times New Roman" w:cs="Times New Roman" w:eastAsia="Times New Roman" w:hAnsi="Times New Roman"/>
                <w:sz w:val="13"/>
                <w:szCs w:val="13"/>
                <w:color w:val="0000FF"/>
              </w:rPr>
              <w:t>06/13/2026</w:t>
            </w: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ind w:left="80"/>
              <w:spacing w:after="0" w:line="129"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6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12,887</w:t>
            </w:r>
          </w:p>
        </w:tc>
        <w:tc>
          <w:tcPr>
            <w:tcW w:w="780" w:type="dxa"/>
            <w:vAlign w:val="bottom"/>
            <w:gridSpan w:val="2"/>
            <w:vMerge w:val="continue"/>
          </w:tcPr>
          <w:p>
            <w:pPr>
              <w:spacing w:after="0"/>
              <w:rPr>
                <w:sz w:val="11"/>
                <w:szCs w:val="11"/>
                <w:color w:val="auto"/>
              </w:rPr>
            </w:pP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52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ind w:left="14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tcPr>
          <w:p>
            <w:pPr>
              <w:ind w:left="380"/>
              <w:spacing w:after="0" w:line="129" w:lineRule="exact"/>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ind w:left="12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gridSpan w:val="2"/>
            <w:vMerge w:val="continue"/>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260" w:firstLine="2"/>
        <w:spacing w:after="0" w:line="256"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June 13, 2022, the reporting person was granted 51,546 restricted stock units scheduled to vest in four approximately equal annual installments on the first, second, third and fourth anniversaries of grant, subject to the reporting person's continued employment and certain other conditions.</w:t>
      </w:r>
    </w:p>
    <w:p>
      <w:pPr>
        <w:spacing w:after="0" w:line="1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withheld pursuant to terms of the award to cover tax withholding obligations.</w:t>
      </w:r>
    </w:p>
    <w:p>
      <w:pPr>
        <w:spacing w:after="0" w:line="44"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Not applicable.</w:t>
      </w:r>
    </w:p>
    <w:p>
      <w:pPr>
        <w:spacing w:after="0" w:line="55"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Leah E. Hutton,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06/15/2026</w:t>
            </w:r>
          </w:p>
        </w:tc>
        <w:tc>
          <w:tcPr>
            <w:tcW w:w="0" w:type="dxa"/>
            <w:vAlign w:val="bottom"/>
          </w:tcPr>
          <w:p>
            <w:pPr>
              <w:spacing w:after="0"/>
              <w:rPr>
                <w:sz w:val="1"/>
                <w:szCs w:val="1"/>
                <w:color w:val="auto"/>
              </w:rPr>
            </w:pPr>
          </w:p>
        </w:tc>
      </w:tr>
      <w:tr>
        <w:trPr>
          <w:trHeight w:val="88"/>
        </w:trPr>
        <w:tc>
          <w:tcPr>
            <w:tcW w:w="1760" w:type="dxa"/>
            <w:vAlign w:val="bottom"/>
            <w:tcBorders>
              <w:top w:val="single" w:sz="8" w:color="auto"/>
              <w:bottom w:val="single" w:sz="8" w:color="auto"/>
            </w:tcBorders>
            <w:vMerge w:val="restart"/>
          </w:tcPr>
          <w:p>
            <w:pPr>
              <w:spacing w:after="0" w:line="187" w:lineRule="exact"/>
              <w:rPr>
                <w:sz w:val="20"/>
                <w:szCs w:val="20"/>
                <w:color w:val="auto"/>
              </w:rPr>
            </w:pPr>
            <w:r>
              <w:rPr>
                <w:rFonts w:ascii="Times New Roman" w:cs="Times New Roman" w:eastAsia="Times New Roman" w:hAnsi="Times New Roman"/>
                <w:sz w:val="17"/>
                <w:szCs w:val="17"/>
                <w:color w:val="0000FF"/>
                <w:w w:val="97"/>
              </w:rPr>
              <w:t>in-Fact for Sean B. O'Neil</w:t>
            </w:r>
          </w:p>
        </w:tc>
        <w:tc>
          <w:tcPr>
            <w:tcW w:w="200" w:type="dxa"/>
            <w:vAlign w:val="bottom"/>
            <w:tcBorders>
              <w:top w:val="single" w:sz="8" w:color="auto"/>
              <w:bottom w:val="single" w:sz="8" w:color="auto"/>
            </w:tcBorders>
            <w:vMerge w:val="restart"/>
          </w:tcPr>
          <w:p>
            <w:pPr>
              <w:spacing w:after="0"/>
              <w:rPr>
                <w:sz w:val="7"/>
                <w:szCs w:val="7"/>
                <w:color w:val="auto"/>
              </w:rPr>
            </w:pPr>
          </w:p>
        </w:tc>
        <w:tc>
          <w:tcPr>
            <w:tcW w:w="24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760" w:type="dxa"/>
            <w:vAlign w:val="bottom"/>
            <w:tcBorders>
              <w:bottom w:val="single" w:sz="8" w:color="auto"/>
            </w:tcBorders>
            <w:vMerge w:val="continue"/>
          </w:tcPr>
          <w:p>
            <w:pPr>
              <w:spacing w:after="0"/>
              <w:rPr>
                <w:sz w:val="7"/>
                <w:szCs w:val="7"/>
                <w:color w:val="auto"/>
              </w:rPr>
            </w:pPr>
          </w:p>
        </w:tc>
        <w:tc>
          <w:tcPr>
            <w:tcW w:w="200" w:type="dxa"/>
            <w:vAlign w:val="bottom"/>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58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32063" TargetMode="External"/><Relationship Id="rId14" Type="http://schemas.openxmlformats.org/officeDocument/2006/relationships/hyperlink" Target="http://www.sec.gov/cgi-bin/browse-edgar?action=getcompany&amp;CIK=00008738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2026-06-15T16:20:46Z</dcterms:created>
  <dcterms:modified xsi:type="dcterms:W3CDTF">2026-06-15T16:20:46Z</dcterms:modified>
</cp:coreProperties>
</file>