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212" w:lineRule="exact"/>
        <w:rPr>
          <w:sz w:val="24"/>
          <w:szCs w:val="24"/>
          <w:color w:val="auto"/>
        </w:rPr>
      </w:pPr>
    </w:p>
    <w:p>
      <w:pPr>
        <w:ind w:left="3600"/>
        <w:spacing w:after="0"/>
        <w:rPr>
          <w:sz w:val="20"/>
          <w:szCs w:val="20"/>
          <w:color w:val="auto"/>
        </w:rPr>
      </w:pPr>
      <w:r>
        <w:rPr>
          <w:rFonts w:ascii="Arial" w:cs="Arial" w:eastAsia="Arial" w:hAnsi="Arial"/>
          <w:sz w:val="22"/>
          <w:szCs w:val="22"/>
          <w:color w:val="auto"/>
        </w:rPr>
        <w:t>Proxy Statement Pursuant to Section 14(a) of the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Exchange Act of 1934</w:t>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1000" w:hanging="371"/>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 w:lineRule="exact"/>
        <w:rPr>
          <w:rFonts w:ascii="Arial" w:cs="Arial" w:eastAsia="Arial" w:hAnsi="Arial"/>
          <w:sz w:val="18"/>
          <w:szCs w:val="18"/>
          <w:color w:val="auto"/>
        </w:rPr>
      </w:pPr>
    </w:p>
    <w:p>
      <w:pPr>
        <w:ind w:left="620" w:right="4700" w:firstLine="9"/>
        <w:spacing w:after="0" w:line="250" w:lineRule="auto"/>
        <w:tabs>
          <w:tab w:leader="none" w:pos="98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ind w:left="1000" w:hanging="371"/>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1000" w:hanging="371"/>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536575</wp:posOffset>
            </wp:positionH>
            <wp:positionV relativeFrom="paragraph">
              <wp:posOffset>168275</wp:posOffset>
            </wp:positionV>
            <wp:extent cx="61829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246"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157"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o   Fee paid previously with preliminary materials.</w:t>
      </w:r>
    </w:p>
    <w:p>
      <w:pPr>
        <w:spacing w:after="0" w:line="9" w:lineRule="exact"/>
        <w:rPr>
          <w:rFonts w:ascii="Arial" w:cs="Arial" w:eastAsia="Arial" w:hAnsi="Arial"/>
          <w:sz w:val="18"/>
          <w:szCs w:val="18"/>
          <w:color w:val="auto"/>
        </w:rPr>
      </w:pPr>
    </w:p>
    <w:p>
      <w:pPr>
        <w:ind w:left="920" w:hanging="338"/>
        <w:spacing w:after="0" w:line="261" w:lineRule="auto"/>
        <w:rPr>
          <w:rFonts w:ascii="Arial" w:cs="Arial" w:eastAsia="Arial" w:hAnsi="Arial"/>
          <w:sz w:val="18"/>
          <w:szCs w:val="18"/>
          <w:color w:val="auto"/>
        </w:rPr>
      </w:pPr>
      <w:r>
        <w:rPr>
          <w:rFonts w:ascii="Arial" w:cs="Arial" w:eastAsia="Arial" w:hAnsi="Arial"/>
          <w:sz w:val="18"/>
          <w:szCs w:val="18"/>
          <w:color w:val="auto"/>
        </w:rPr>
        <w:t>o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4" w:lineRule="exact"/>
        <w:rPr>
          <w:sz w:val="24"/>
          <w:szCs w:val="24"/>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1" w:name="page2"/>
    <w:bookmarkEnd w:id="1"/>
    <w:p>
      <w:pPr>
        <w:spacing w:after="0" w:line="3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3355975</wp:posOffset>
            </wp:positionH>
            <wp:positionV relativeFrom="page">
              <wp:posOffset>88900</wp:posOffset>
            </wp:positionV>
            <wp:extent cx="857885" cy="900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857885" cy="9004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March 31,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behalf of the Board of Directors, I cordially invite you to attend the Annual Meeting of Shareholders of Ocwen Financial Corporation which will be held at the offices of the company located at 1661 Worthington Road, Suite 100, West Palm Beach, Florida 33409, on Wednesday, May 6, 2009, at 9:00 a.m., Eastern Daylight Time. The matters to be considered by shareholders at the Annual Meeting are described in detail in the accompanying materials.</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are sincerely appreciated.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85788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88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William C. Erbey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1661 Worthington Road, Suite 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 Palm Beach, Florida 33409</w:t>
      </w:r>
    </w:p>
    <w:p>
      <w:pPr>
        <w:spacing w:after="0" w:line="213" w:lineRule="exact"/>
        <w:rPr>
          <w:sz w:val="20"/>
          <w:szCs w:val="20"/>
          <w:color w:val="auto"/>
        </w:rPr>
      </w:pPr>
    </w:p>
    <w:p>
      <w:pPr>
        <w:jc w:val="center"/>
        <w:ind w:left="260" w:right="2340"/>
        <w:spacing w:after="0" w:line="262"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MAY 6, 2009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pacing w:after="0" w:line="233"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May 6, 2009</w:t>
      </w:r>
    </w:p>
    <w:p>
      <w:pPr>
        <w:spacing w:after="0" w:line="158"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Eastern Daylight Time</w:t>
      </w:r>
    </w:p>
    <w:p>
      <w:pPr>
        <w:spacing w:after="0" w:line="158"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Ocwen Financial Corporation</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1661 Worthington Road, Suite 100</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West Palm Beach, Florida 33409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45"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 for a one-year term and/or until their successors are elected and qualified;</w:t>
      </w:r>
    </w:p>
    <w:p>
      <w:pPr>
        <w:spacing w:after="0" w:line="157"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our Board of Directors of PricewaterhouseCoopers LLP as the independent registered certified public accounting firm of Ocwen Financial Corporation for the fiscal year ending December 31, 2009; and</w:t>
      </w:r>
    </w:p>
    <w:p>
      <w:pPr>
        <w:spacing w:after="0" w:line="118"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 of the meeting. Management is not aware of any such other business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45" w:lineRule="exact"/>
        <w:rPr>
          <w:sz w:val="20"/>
          <w:szCs w:val="20"/>
          <w:color w:val="auto"/>
        </w:rPr>
      </w:pPr>
    </w:p>
    <w:p>
      <w:pPr>
        <w:ind w:left="1160" w:hanging="571"/>
        <w:spacing w:after="0" w:line="268"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has fixed Friday, February 27, 2009 as the record date for the determination of shareholders entitled to notice of and to vote at the Annual Meeting.</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that date will be entitled to vote at the Annual Meeting.</w:t>
      </w:r>
    </w:p>
    <w:p>
      <w:pPr>
        <w:spacing w:after="0" w:line="157" w:lineRule="exact"/>
        <w:rPr>
          <w:rFonts w:ascii="Arial" w:cs="Arial" w:eastAsia="Arial" w:hAnsi="Arial"/>
          <w:sz w:val="18"/>
          <w:szCs w:val="18"/>
          <w:color w:val="auto"/>
        </w:rPr>
      </w:pPr>
    </w:p>
    <w:p>
      <w:pPr>
        <w:jc w:val="both"/>
        <w:ind w:left="1160" w:hanging="571"/>
        <w:spacing w:after="0" w:line="256"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proxy statement for our 2009 Annual Meeting of Shareholders and our annual report to shareholders on Form 10-K for the year ended December 31, 2008 are available on our website at www.ocwen.com under Shareholder Relations. Additionally, and in accordance with Securities and Exchange Commission rules, you may access our proxy statement at http://www.cfonews.com/ocn, a website that does not identify or track visitors of the site.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71513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513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Kevin J. Wilcox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31,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West Palm Beach,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sent you this proxy statement on or about March 31, 2009 as a holder of common stock, because our Board of Directors is soliciting your proxy to be used at our Annual Meeting of Shareholders and at any adjournment of this meeting. The meeting will be held at our offices located at 1661 Worthington Road, Suite 100, West Palm Beach, Florida 33409, on Wednesday, May 6, 2009, at 9:00 a.m., Eastern Daylight Time for the purposes listed in the Notice of Annual Meeting of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If you properly complete, sign and return your proxy to Ocwen and do not revoke it prior to its use, it will be voted in accordance with your instructions. If no contrary instructions are given, each proxy received will be voted:</w:t>
      </w:r>
    </w:p>
    <w:p>
      <w:pPr>
        <w:spacing w:after="0" w:line="199"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each of the nominees for Director;</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ratification of the appointment of PricewaterhouseCoopers LLP as our independent registered certified public accounting firm for 2009; and</w:t>
      </w:r>
    </w:p>
    <w:p>
      <w:pPr>
        <w:spacing w:after="0" w:line="180" w:lineRule="exact"/>
        <w:rPr>
          <w:rFonts w:ascii="Arial" w:cs="Arial" w:eastAsia="Arial" w:hAnsi="Arial"/>
          <w:sz w:val="16"/>
          <w:szCs w:val="16"/>
          <w:color w:val="auto"/>
        </w:rPr>
      </w:pPr>
    </w:p>
    <w:p>
      <w:pPr>
        <w:ind w:left="116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regard to any other business that properly comes before the meeting, in accordance with the best judgment of the persons appointed as proxies.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Your proxy may be used only at the Annual Meeting and any adjournment of this meeting and will not be used for any other meeting. You have the power to revoke your proxy at any time before it is exercised by:</w:t>
      </w:r>
    </w:p>
    <w:p>
      <w:pPr>
        <w:spacing w:after="0" w:line="199"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written notice with our Secretary at the following address:</w:t>
      </w:r>
    </w:p>
    <w:p>
      <w:pPr>
        <w:spacing w:after="0" w:line="157" w:lineRule="exact"/>
        <w:rPr>
          <w:rFonts w:ascii="Arial" w:cs="Arial" w:eastAsia="Arial" w:hAnsi="Arial"/>
          <w:sz w:val="18"/>
          <w:szCs w:val="18"/>
          <w:color w:val="auto"/>
        </w:rPr>
      </w:pPr>
    </w:p>
    <w:p>
      <w:pPr>
        <w:ind w:left="1160" w:right="8180"/>
        <w:spacing w:after="0" w:line="286" w:lineRule="auto"/>
        <w:rPr>
          <w:rFonts w:ascii="Arial" w:cs="Arial" w:eastAsia="Arial" w:hAnsi="Arial"/>
          <w:sz w:val="18"/>
          <w:szCs w:val="18"/>
          <w:color w:val="auto"/>
        </w:rPr>
      </w:pPr>
      <w:r>
        <w:rPr>
          <w:rFonts w:ascii="Arial" w:cs="Arial" w:eastAsia="Arial" w:hAnsi="Arial"/>
          <w:sz w:val="16"/>
          <w:szCs w:val="16"/>
          <w:color w:val="auto"/>
        </w:rPr>
        <w:t>Kevin J. Wilcox, Secretary Ocwen Financial Corporation</w:t>
      </w:r>
    </w:p>
    <w:p>
      <w:pPr>
        <w:ind w:left="1160" w:right="7820"/>
        <w:spacing w:after="0" w:line="361" w:lineRule="auto"/>
        <w:rPr>
          <w:rFonts w:ascii="Arial" w:cs="Arial" w:eastAsia="Arial" w:hAnsi="Arial"/>
          <w:sz w:val="18"/>
          <w:szCs w:val="18"/>
          <w:color w:val="auto"/>
        </w:rPr>
      </w:pPr>
      <w:r>
        <w:rPr>
          <w:rFonts w:ascii="Arial" w:cs="Arial" w:eastAsia="Arial" w:hAnsi="Arial"/>
          <w:sz w:val="15"/>
          <w:szCs w:val="15"/>
          <w:color w:val="auto"/>
        </w:rPr>
        <w:t>1661 Worthington Road, Suite 100 West Palm Beach, Florida 33409</w:t>
      </w:r>
    </w:p>
    <w:p>
      <w:pPr>
        <w:spacing w:after="0" w:line="5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at the Annual Meeting and giving the Secretary notice of your intention to vote in person.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You are entitled to vote at the Annual Meeting or any adjournment of the meeting if you are a holder of record of our common stock at the close of business on February 27, 2009. At the close of business on February 27, 2009 there were 62,726,663 shares of common stock issued and outstanding, and no other class of equity securities outstanding. Each share of our common stock is entitled to one vote at the Annual Meeting on all matters properly presented.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presence at the Annual Meeting of a majority of the votes of our common stock entitled to be cast, represented in person or by proxy, will constitute a quorum for the transaction of business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both"/>
        <w:spacing w:after="0" w:line="298" w:lineRule="auto"/>
        <w:rPr>
          <w:sz w:val="20"/>
          <w:szCs w:val="20"/>
          <w:color w:val="auto"/>
        </w:rPr>
      </w:pPr>
      <w:r>
        <w:rPr>
          <w:rFonts w:ascii="Arial" w:cs="Arial" w:eastAsia="Arial" w:hAnsi="Arial"/>
          <w:sz w:val="16"/>
          <w:szCs w:val="16"/>
          <w:color w:val="auto"/>
        </w:rPr>
        <w:t>Assuming a quorum, the seven persons receiving the greatest number of votes for Director will be elected as Directors of Ocwen. You may vote in favor of or withhold authority to vote for one or more nominees for Director. The proposal to ratify the appointment of PricewaterhouseCoopers LLP as our independent registered certified public accounting firm for 2009 and any other matter properly submitted for your consideration at the Annual Meeting (other than the election of Directors), will be approved if the votes cast in favor of the action exceed the votes cast opposing the action.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Abstentions and broker “non-votes” will not be counted in determining the votes cast in connection with the foregoing matters. A broker “non-vote” occurs when a shareholder has not provided voting instructions to the broker on a non-routine item. In such cases, the New York Stock Exchange precludes brokers from giving a proxy to vote on non-routine items.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Many banks and brokerage firms offer the option of voting over the Internet or by telephone. Please contact your bank or brokerage firm for further information.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One)</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Bylaws provide that our Board of Directors shall consist of no less than three and no more than eight members, with the exact number to be fixed by our Board of Directors. On March 18, 2009, our Board of Directors fixed the number of directors at seven, to be effective immediately following the 2009 Annual Meeting of Shareholders to be held on May 6, 2009. Directors are elected annually and hold office until the earlier of the election and qualification of their successors or their resignation and removal.</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will propose the seven nominees listed below for election as Directors at the Annual Meeting. All nominees, with the exception of Mr. Reiner, currently serve as our Directors. There are no arrangements or understandings between any nominee and any other person for selection as a nominee.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nominee is unable or unwilling to stand for election at the time of the Annual Meeting, the person or persons appointed as proxies will nominate and vote for a replacement nominee or nominees recommended by our Board of Directors. At this time, our Board of Directors knows of no reason why any of the nominees would not be able or willing to serve as director if elected.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Nomination/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Arial" w:cs="Arial" w:eastAsia="Arial" w:hAnsi="Arial"/>
                <w:sz w:val="35"/>
                <w:szCs w:val="35"/>
                <w:b w:val="1"/>
                <w:bCs w:val="1"/>
                <w:color w:val="auto"/>
                <w:w w:val="78"/>
                <w:vertAlign w:val="subscript"/>
              </w:rPr>
              <w:t>Age</w:t>
            </w:r>
            <w:r>
              <w:rPr>
                <w:rFonts w:ascii="Arial" w:cs="Arial" w:eastAsia="Arial" w:hAnsi="Arial"/>
                <w:sz w:val="15"/>
                <w:szCs w:val="15"/>
                <w:color w:val="auto"/>
                <w:w w:val="78"/>
              </w:rPr>
              <w:t xml:space="preserve"> (1)</w:t>
            </w:r>
          </w:p>
        </w:tc>
        <w:tc>
          <w:tcPr>
            <w:tcW w:w="4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48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Executive</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Audit</w:t>
            </w: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Compensation</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Governance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6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9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3"/>
              </w:rPr>
              <w:t>Since</w:t>
            </w: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Committee</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Committee</w:t>
            </w:r>
          </w:p>
        </w:tc>
        <w:tc>
          <w:tcPr>
            <w:tcW w:w="240" w:type="dxa"/>
            <w:vAlign w:val="bottom"/>
          </w:tcPr>
          <w:p>
            <w:pPr>
              <w:spacing w:after="0"/>
              <w:rPr>
                <w:sz w:val="21"/>
                <w:szCs w:val="21"/>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Committee</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68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940" w:type="dxa"/>
            <w:vAlign w:val="bottom"/>
            <w:shd w:val="clear" w:color="auto" w:fill="EAF9E8"/>
          </w:tcPr>
          <w:p>
            <w:pPr>
              <w:spacing w:after="0"/>
              <w:rPr>
                <w:sz w:val="18"/>
                <w:szCs w:val="18"/>
                <w:color w:val="auto"/>
              </w:rPr>
            </w:pPr>
          </w:p>
        </w:tc>
        <w:tc>
          <w:tcPr>
            <w:tcW w:w="8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79"/>
              </w:rPr>
              <w:t>59</w:t>
            </w:r>
          </w:p>
        </w:tc>
        <w:tc>
          <w:tcPr>
            <w:tcW w:w="480" w:type="dxa"/>
            <w:vAlign w:val="bottom"/>
            <w:shd w:val="clear" w:color="auto" w:fill="EAF9E8"/>
          </w:tcPr>
          <w:p>
            <w:pPr>
              <w:spacing w:after="0"/>
              <w:rPr>
                <w:sz w:val="18"/>
                <w:szCs w:val="18"/>
                <w:color w:val="auto"/>
              </w:rPr>
            </w:pPr>
          </w:p>
        </w:tc>
        <w:tc>
          <w:tcPr>
            <w:tcW w:w="7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1988</w:t>
            </w:r>
          </w:p>
        </w:tc>
        <w:tc>
          <w:tcPr>
            <w:tcW w:w="480" w:type="dxa"/>
            <w:vAlign w:val="bottom"/>
            <w:shd w:val="clear" w:color="auto" w:fill="EAF9E8"/>
          </w:tcPr>
          <w:p>
            <w:pPr>
              <w:spacing w:after="0"/>
              <w:rPr>
                <w:sz w:val="18"/>
                <w:szCs w:val="18"/>
                <w:color w:val="auto"/>
              </w:rPr>
            </w:pPr>
          </w:p>
        </w:tc>
        <w:tc>
          <w:tcPr>
            <w:tcW w:w="820" w:type="dxa"/>
            <w:vAlign w:val="bottom"/>
            <w:shd w:val="clear" w:color="auto" w:fill="EAF9E8"/>
          </w:tcPr>
          <w:p>
            <w:pPr>
              <w:ind w:left="3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4"/>
                <w:szCs w:val="14"/>
                <w:color w:val="auto"/>
              </w:rPr>
              <w:t>(2)</w:t>
            </w:r>
          </w:p>
        </w:tc>
        <w:tc>
          <w:tcPr>
            <w:tcW w:w="4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Ronald M. Faris</w:t>
            </w:r>
          </w:p>
        </w:tc>
        <w:tc>
          <w:tcPr>
            <w:tcW w:w="1820" w:type="dxa"/>
            <w:vAlign w:val="bottom"/>
            <w:gridSpan w:val="2"/>
          </w:tcPr>
          <w:p>
            <w:pPr>
              <w:jc w:val="center"/>
              <w:ind w:left="852"/>
              <w:spacing w:after="0"/>
              <w:rPr>
                <w:sz w:val="20"/>
                <w:szCs w:val="20"/>
                <w:color w:val="auto"/>
              </w:rPr>
            </w:pPr>
            <w:r>
              <w:rPr>
                <w:rFonts w:ascii="Arial" w:cs="Arial" w:eastAsia="Arial" w:hAnsi="Arial"/>
                <w:sz w:val="18"/>
                <w:szCs w:val="18"/>
                <w:color w:val="auto"/>
                <w:w w:val="79"/>
              </w:rPr>
              <w:t>46</w:t>
            </w:r>
          </w:p>
        </w:tc>
        <w:tc>
          <w:tcPr>
            <w:tcW w:w="1240" w:type="dxa"/>
            <w:vAlign w:val="bottom"/>
            <w:gridSpan w:val="2"/>
          </w:tcPr>
          <w:p>
            <w:pPr>
              <w:jc w:val="center"/>
              <w:ind w:left="392"/>
              <w:spacing w:after="0"/>
              <w:rPr>
                <w:sz w:val="20"/>
                <w:szCs w:val="20"/>
                <w:color w:val="auto"/>
              </w:rPr>
            </w:pPr>
            <w:r>
              <w:rPr>
                <w:rFonts w:ascii="Arial" w:cs="Arial" w:eastAsia="Arial" w:hAnsi="Arial"/>
                <w:sz w:val="18"/>
                <w:szCs w:val="18"/>
                <w:color w:val="auto"/>
                <w:w w:val="89"/>
              </w:rPr>
              <w:t>2003</w:t>
            </w:r>
          </w:p>
        </w:tc>
        <w:tc>
          <w:tcPr>
            <w:tcW w:w="4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X</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AF9E8"/>
          </w:tcPr>
          <w:p>
            <w:pPr>
              <w:spacing w:after="0"/>
              <w:rPr>
                <w:sz w:val="20"/>
                <w:szCs w:val="20"/>
                <w:color w:val="auto"/>
              </w:rPr>
            </w:pPr>
            <w:r>
              <w:rPr>
                <w:rFonts w:ascii="Arial" w:cs="Arial" w:eastAsia="Arial" w:hAnsi="Arial"/>
                <w:sz w:val="18"/>
                <w:szCs w:val="18"/>
                <w:color w:val="auto"/>
              </w:rPr>
              <w:t>Martha C. Goss</w:t>
            </w:r>
          </w:p>
        </w:tc>
        <w:tc>
          <w:tcPr>
            <w:tcW w:w="1820" w:type="dxa"/>
            <w:vAlign w:val="bottom"/>
            <w:gridSpan w:val="2"/>
            <w:shd w:val="clear" w:color="auto" w:fill="EAF9E8"/>
          </w:tcPr>
          <w:p>
            <w:pPr>
              <w:jc w:val="center"/>
              <w:ind w:left="852"/>
              <w:spacing w:after="0"/>
              <w:rPr>
                <w:sz w:val="20"/>
                <w:szCs w:val="20"/>
                <w:color w:val="auto"/>
              </w:rPr>
            </w:pPr>
            <w:r>
              <w:rPr>
                <w:rFonts w:ascii="Arial" w:cs="Arial" w:eastAsia="Arial" w:hAnsi="Arial"/>
                <w:sz w:val="18"/>
                <w:szCs w:val="18"/>
                <w:color w:val="auto"/>
                <w:w w:val="79"/>
              </w:rPr>
              <w:t>59</w:t>
            </w:r>
          </w:p>
        </w:tc>
        <w:tc>
          <w:tcPr>
            <w:tcW w:w="1240" w:type="dxa"/>
            <w:vAlign w:val="bottom"/>
            <w:gridSpan w:val="2"/>
            <w:shd w:val="clear" w:color="auto" w:fill="EAF9E8"/>
          </w:tcPr>
          <w:p>
            <w:pPr>
              <w:jc w:val="center"/>
              <w:ind w:left="392"/>
              <w:spacing w:after="0"/>
              <w:rPr>
                <w:sz w:val="20"/>
                <w:szCs w:val="20"/>
                <w:color w:val="auto"/>
              </w:rPr>
            </w:pPr>
            <w:r>
              <w:rPr>
                <w:rFonts w:ascii="Arial" w:cs="Arial" w:eastAsia="Arial" w:hAnsi="Arial"/>
                <w:sz w:val="18"/>
                <w:szCs w:val="18"/>
                <w:color w:val="auto"/>
                <w:w w:val="89"/>
              </w:rPr>
              <w:t>2005</w:t>
            </w:r>
          </w:p>
        </w:tc>
        <w:tc>
          <w:tcPr>
            <w:tcW w:w="4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rPr>
              <w:t>X</w:t>
            </w:r>
          </w:p>
        </w:tc>
        <w:tc>
          <w:tcPr>
            <w:tcW w:w="24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960" w:type="dxa"/>
            <w:vAlign w:val="bottom"/>
            <w:shd w:val="clear" w:color="auto" w:fill="EAF9E8"/>
          </w:tcPr>
          <w:p>
            <w:pPr>
              <w:ind w:left="440"/>
              <w:spacing w:after="0"/>
              <w:rPr>
                <w:sz w:val="20"/>
                <w:szCs w:val="20"/>
                <w:color w:val="auto"/>
              </w:rPr>
            </w:pPr>
            <w:r>
              <w:rPr>
                <w:rFonts w:ascii="Arial" w:cs="Arial" w:eastAsia="Arial" w:hAnsi="Arial"/>
                <w:sz w:val="18"/>
                <w:szCs w:val="18"/>
                <w:color w:val="auto"/>
              </w:rPr>
              <w:t>X</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Ronald J. Korn</w:t>
            </w:r>
          </w:p>
        </w:tc>
        <w:tc>
          <w:tcPr>
            <w:tcW w:w="1820" w:type="dxa"/>
            <w:vAlign w:val="bottom"/>
            <w:gridSpan w:val="2"/>
          </w:tcPr>
          <w:p>
            <w:pPr>
              <w:jc w:val="center"/>
              <w:ind w:left="852"/>
              <w:spacing w:after="0"/>
              <w:rPr>
                <w:sz w:val="20"/>
                <w:szCs w:val="20"/>
                <w:color w:val="auto"/>
              </w:rPr>
            </w:pPr>
            <w:r>
              <w:rPr>
                <w:rFonts w:ascii="Arial" w:cs="Arial" w:eastAsia="Arial" w:hAnsi="Arial"/>
                <w:sz w:val="18"/>
                <w:szCs w:val="18"/>
                <w:color w:val="auto"/>
                <w:w w:val="79"/>
              </w:rPr>
              <w:t>68</w:t>
            </w:r>
          </w:p>
        </w:tc>
        <w:tc>
          <w:tcPr>
            <w:tcW w:w="1240" w:type="dxa"/>
            <w:vAlign w:val="bottom"/>
            <w:gridSpan w:val="2"/>
          </w:tcPr>
          <w:p>
            <w:pPr>
              <w:jc w:val="center"/>
              <w:ind w:left="392"/>
              <w:spacing w:after="0"/>
              <w:rPr>
                <w:sz w:val="20"/>
                <w:szCs w:val="20"/>
                <w:color w:val="auto"/>
              </w:rPr>
            </w:pPr>
            <w:r>
              <w:rPr>
                <w:rFonts w:ascii="Arial" w:cs="Arial" w:eastAsia="Arial" w:hAnsi="Arial"/>
                <w:sz w:val="18"/>
                <w:szCs w:val="18"/>
                <w:color w:val="auto"/>
                <w:w w:val="89"/>
              </w:rPr>
              <w:t>2003</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4"/>
                <w:szCs w:val="14"/>
                <w:color w:val="auto"/>
              </w:rPr>
              <w:t>(2)</w:t>
            </w:r>
          </w:p>
        </w:tc>
        <w:tc>
          <w:tcPr>
            <w:tcW w:w="240" w:type="dxa"/>
            <w:vAlign w:val="bottom"/>
          </w:tcPr>
          <w:p>
            <w:pPr>
              <w:spacing w:after="0"/>
              <w:rPr>
                <w:sz w:val="18"/>
                <w:szCs w:val="18"/>
                <w:color w:val="auto"/>
              </w:rPr>
            </w:pPr>
          </w:p>
        </w:tc>
        <w:tc>
          <w:tcPr>
            <w:tcW w:w="1540" w:type="dxa"/>
            <w:vAlign w:val="bottom"/>
            <w:gridSpan w:val="2"/>
          </w:tcPr>
          <w:p>
            <w:pPr>
              <w:ind w:left="520"/>
              <w:spacing w:after="0"/>
              <w:rPr>
                <w:sz w:val="20"/>
                <w:szCs w:val="20"/>
                <w:color w:val="auto"/>
              </w:rPr>
            </w:pPr>
            <w:r>
              <w:rPr>
                <w:rFonts w:ascii="Arial" w:cs="Arial" w:eastAsia="Arial" w:hAnsi="Arial"/>
                <w:sz w:val="18"/>
                <w:szCs w:val="18"/>
                <w:color w:val="auto"/>
              </w:rPr>
              <w:t>X</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AF9E8"/>
          </w:tcPr>
          <w:p>
            <w:pPr>
              <w:spacing w:after="0"/>
              <w:rPr>
                <w:sz w:val="20"/>
                <w:szCs w:val="20"/>
                <w:color w:val="auto"/>
              </w:rPr>
            </w:pPr>
            <w:r>
              <w:rPr>
                <w:rFonts w:ascii="Arial" w:cs="Arial" w:eastAsia="Arial" w:hAnsi="Arial"/>
                <w:sz w:val="18"/>
                <w:szCs w:val="18"/>
                <w:color w:val="auto"/>
              </w:rPr>
              <w:t>William H. Lacy</w:t>
            </w:r>
          </w:p>
        </w:tc>
        <w:tc>
          <w:tcPr>
            <w:tcW w:w="1820" w:type="dxa"/>
            <w:vAlign w:val="bottom"/>
            <w:gridSpan w:val="2"/>
            <w:shd w:val="clear" w:color="auto" w:fill="EAF9E8"/>
          </w:tcPr>
          <w:p>
            <w:pPr>
              <w:jc w:val="center"/>
              <w:ind w:left="852"/>
              <w:spacing w:after="0"/>
              <w:rPr>
                <w:sz w:val="20"/>
                <w:szCs w:val="20"/>
                <w:color w:val="auto"/>
              </w:rPr>
            </w:pPr>
            <w:r>
              <w:rPr>
                <w:rFonts w:ascii="Arial" w:cs="Arial" w:eastAsia="Arial" w:hAnsi="Arial"/>
                <w:sz w:val="18"/>
                <w:szCs w:val="18"/>
                <w:color w:val="auto"/>
                <w:w w:val="79"/>
              </w:rPr>
              <w:t>64</w:t>
            </w:r>
          </w:p>
        </w:tc>
        <w:tc>
          <w:tcPr>
            <w:tcW w:w="1240" w:type="dxa"/>
            <w:vAlign w:val="bottom"/>
            <w:gridSpan w:val="2"/>
            <w:shd w:val="clear" w:color="auto" w:fill="EAF9E8"/>
          </w:tcPr>
          <w:p>
            <w:pPr>
              <w:jc w:val="center"/>
              <w:ind w:left="392"/>
              <w:spacing w:after="0"/>
              <w:rPr>
                <w:sz w:val="20"/>
                <w:szCs w:val="20"/>
                <w:color w:val="auto"/>
              </w:rPr>
            </w:pPr>
            <w:r>
              <w:rPr>
                <w:rFonts w:ascii="Arial" w:cs="Arial" w:eastAsia="Arial" w:hAnsi="Arial"/>
                <w:sz w:val="18"/>
                <w:szCs w:val="18"/>
                <w:color w:val="auto"/>
                <w:w w:val="89"/>
              </w:rPr>
              <w:t>2002</w:t>
            </w:r>
          </w:p>
        </w:tc>
        <w:tc>
          <w:tcPr>
            <w:tcW w:w="4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ind w:left="52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4"/>
                <w:szCs w:val="14"/>
                <w:color w:val="auto"/>
              </w:rPr>
              <w:t>(2)</w:t>
            </w:r>
          </w:p>
        </w:tc>
        <w:tc>
          <w:tcPr>
            <w:tcW w:w="960" w:type="dxa"/>
            <w:vAlign w:val="bottom"/>
            <w:shd w:val="clear" w:color="auto" w:fill="EAF9E8"/>
          </w:tcPr>
          <w:p>
            <w:pPr>
              <w:ind w:left="440"/>
              <w:spacing w:after="0"/>
              <w:rPr>
                <w:sz w:val="20"/>
                <w:szCs w:val="20"/>
                <w:color w:val="auto"/>
              </w:rPr>
            </w:pPr>
            <w:r>
              <w:rPr>
                <w:rFonts w:ascii="Arial" w:cs="Arial" w:eastAsia="Arial" w:hAnsi="Arial"/>
                <w:sz w:val="18"/>
                <w:szCs w:val="18"/>
                <w:color w:val="auto"/>
              </w:rPr>
              <w:t>X</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David B. Reiner</w:t>
            </w:r>
          </w:p>
        </w:tc>
        <w:tc>
          <w:tcPr>
            <w:tcW w:w="1820" w:type="dxa"/>
            <w:vAlign w:val="bottom"/>
            <w:gridSpan w:val="2"/>
          </w:tcPr>
          <w:p>
            <w:pPr>
              <w:jc w:val="center"/>
              <w:ind w:left="852"/>
              <w:spacing w:after="0"/>
              <w:rPr>
                <w:sz w:val="20"/>
                <w:szCs w:val="20"/>
                <w:color w:val="auto"/>
              </w:rPr>
            </w:pPr>
            <w:r>
              <w:rPr>
                <w:rFonts w:ascii="Arial" w:cs="Arial" w:eastAsia="Arial" w:hAnsi="Arial"/>
                <w:sz w:val="18"/>
                <w:szCs w:val="18"/>
                <w:color w:val="auto"/>
                <w:w w:val="79"/>
              </w:rPr>
              <w:t>53</w:t>
            </w:r>
          </w:p>
        </w:tc>
        <w:tc>
          <w:tcPr>
            <w:tcW w:w="4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AF9E8"/>
          </w:tcPr>
          <w:p>
            <w:pPr>
              <w:spacing w:after="0"/>
              <w:rPr>
                <w:sz w:val="20"/>
                <w:szCs w:val="20"/>
                <w:color w:val="auto"/>
              </w:rPr>
            </w:pPr>
            <w:r>
              <w:rPr>
                <w:rFonts w:ascii="Arial" w:cs="Arial" w:eastAsia="Arial" w:hAnsi="Arial"/>
                <w:sz w:val="18"/>
                <w:szCs w:val="18"/>
                <w:color w:val="auto"/>
              </w:rPr>
              <w:t>Barry N. Wish</w:t>
            </w:r>
          </w:p>
        </w:tc>
        <w:tc>
          <w:tcPr>
            <w:tcW w:w="1820" w:type="dxa"/>
            <w:vAlign w:val="bottom"/>
            <w:gridSpan w:val="2"/>
            <w:shd w:val="clear" w:color="auto" w:fill="EAF9E8"/>
          </w:tcPr>
          <w:p>
            <w:pPr>
              <w:jc w:val="center"/>
              <w:ind w:left="852"/>
              <w:spacing w:after="0"/>
              <w:rPr>
                <w:sz w:val="20"/>
                <w:szCs w:val="20"/>
                <w:color w:val="auto"/>
              </w:rPr>
            </w:pPr>
            <w:r>
              <w:rPr>
                <w:rFonts w:ascii="Arial" w:cs="Arial" w:eastAsia="Arial" w:hAnsi="Arial"/>
                <w:sz w:val="18"/>
                <w:szCs w:val="18"/>
                <w:color w:val="auto"/>
                <w:w w:val="79"/>
              </w:rPr>
              <w:t>67</w:t>
            </w:r>
          </w:p>
        </w:tc>
        <w:tc>
          <w:tcPr>
            <w:tcW w:w="1240" w:type="dxa"/>
            <w:vAlign w:val="bottom"/>
            <w:gridSpan w:val="2"/>
            <w:shd w:val="clear" w:color="auto" w:fill="EAF9E8"/>
          </w:tcPr>
          <w:p>
            <w:pPr>
              <w:jc w:val="center"/>
              <w:ind w:left="392"/>
              <w:spacing w:after="0"/>
              <w:rPr>
                <w:sz w:val="20"/>
                <w:szCs w:val="20"/>
                <w:color w:val="auto"/>
              </w:rPr>
            </w:pPr>
            <w:r>
              <w:rPr>
                <w:rFonts w:ascii="Arial" w:cs="Arial" w:eastAsia="Arial" w:hAnsi="Arial"/>
                <w:sz w:val="18"/>
                <w:szCs w:val="18"/>
                <w:color w:val="auto"/>
                <w:w w:val="89"/>
              </w:rPr>
              <w:t>1988</w:t>
            </w:r>
          </w:p>
        </w:tc>
        <w:tc>
          <w:tcPr>
            <w:tcW w:w="4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center"/>
              <w:ind w:right="420"/>
              <w:spacing w:after="0"/>
              <w:rPr>
                <w:sz w:val="20"/>
                <w:szCs w:val="20"/>
                <w:color w:val="auto"/>
              </w:rPr>
            </w:pPr>
            <w:r>
              <w:rPr>
                <w:rFonts w:ascii="Arial" w:cs="Arial" w:eastAsia="Arial" w:hAnsi="Arial"/>
                <w:sz w:val="18"/>
                <w:szCs w:val="18"/>
                <w:color w:val="auto"/>
                <w:w w:val="99"/>
              </w:rPr>
              <w:t>X</w:t>
            </w:r>
          </w:p>
        </w:tc>
        <w:tc>
          <w:tcPr>
            <w:tcW w:w="106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rPr>
              <w:t>X</w:t>
            </w:r>
          </w:p>
        </w:tc>
        <w:tc>
          <w:tcPr>
            <w:tcW w:w="24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ind w:left="520"/>
              <w:spacing w:after="0"/>
              <w:rPr>
                <w:sz w:val="20"/>
                <w:szCs w:val="20"/>
                <w:color w:val="auto"/>
              </w:rPr>
            </w:pPr>
            <w:r>
              <w:rPr>
                <w:rFonts w:ascii="Arial" w:cs="Arial" w:eastAsia="Arial" w:hAnsi="Arial"/>
                <w:sz w:val="18"/>
                <w:szCs w:val="18"/>
                <w:color w:val="auto"/>
              </w:rPr>
              <w:t>X</w:t>
            </w:r>
          </w:p>
        </w:tc>
        <w:tc>
          <w:tcPr>
            <w:tcW w:w="960" w:type="dxa"/>
            <w:vAlign w:val="bottom"/>
            <w:shd w:val="clear" w:color="auto" w:fill="EAF9E8"/>
          </w:tcPr>
          <w:p>
            <w:pPr>
              <w:ind w:left="44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4"/>
                <w:szCs w:val="14"/>
                <w:color w:val="auto"/>
              </w:rPr>
              <w:t>(2)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580" w:hanging="572"/>
        <w:spacing w:after="0"/>
        <w:tabs>
          <w:tab w:leader="none" w:pos="5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As of February 27, 2009</w:t>
      </w:r>
    </w:p>
    <w:p>
      <w:pPr>
        <w:spacing w:after="0" w:line="34"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Committee Chairman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 for the last five years and additional biographical information of each Director of Ocwen is set forth below.</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William C. Erbey</w:t>
      </w:r>
      <w:r>
        <w:rPr>
          <w:rFonts w:ascii="Arial" w:cs="Arial" w:eastAsia="Arial" w:hAnsi="Arial"/>
          <w:sz w:val="16"/>
          <w:szCs w:val="16"/>
          <w:color w:val="auto"/>
        </w:rPr>
        <w:t>. Mr. Erbey has served as the Chairman of the Board of Directors of Ocwen since September 1996, as the Chief Executive Officer of Ocwen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January 1988 and as the President of Ocwen from January 1988 to May 1998. From 1983 to 1995, Mr. Erbey served as a Managing General Partner of The Oxford Financial Group, a private investment partnership that was the predecessor of Ocwen. From 1975 to 1983, Mr. Erbey served at General Electric Capital Corporation in various capacities, most recently as the President and Chief Operating Officer of General Electric Mortgage Insurance Corporation. Mr. Erbey also served as the Program General Manager of GECC’s Commercial Financial Services Department and as the President of Acquisition Funding Corporation. He holds a Bachelor of Arts in Economics from Allegheny College and a Masters of Business Administration from Harvard University.</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Ronald M. Faris</w:t>
      </w:r>
      <w:r>
        <w:rPr>
          <w:rFonts w:ascii="Arial" w:cs="Arial" w:eastAsia="Arial" w:hAnsi="Arial"/>
          <w:sz w:val="18"/>
          <w:szCs w:val="18"/>
          <w:color w:val="auto"/>
        </w:rPr>
        <w:t>. Mr. Faris has served as a Director of Ocwen since May 2003 and as the President of Ocwen since March 2001. Mr. Faris served as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of Ocwen from May 1998 to March 2001 and as Vice President and Chief Accounting Officer of Ocwen from June 1995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in Accounting from The Pennsylvania State University.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Martha Clark Goss. </w:t>
      </w:r>
      <w:r>
        <w:rPr>
          <w:rFonts w:ascii="Arial" w:cs="Arial" w:eastAsia="Arial" w:hAnsi="Arial"/>
          <w:sz w:val="16"/>
          <w:szCs w:val="16"/>
          <w:color w:val="auto"/>
        </w:rPr>
        <w:t>Ms. Goss has served as a Director of Ocwen since July 2005. Ms. Goss has served as Chief Operating and Financial Officer of Amwell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and Hopewell Holdings LLC since 2003. She previously served as Chief Financial Officer for The Capital Markets Company, a provider of e-based solutions to the global financial services and capital markets industry, and for Booz Allen &amp; Hamilton Inc., a management consulting firm. Ms. Goss has held various senior executive positions with Prudential Insurance Company of America and Chase Manhattan Bank, N.A. Ms. Goss currently serves on the boards of American Water, Channel Reinsurance Holding, Ltd., Neuberger Berman Mutual Funds Company, Parsons-Brinckerhoff and Allianz Life Insurance Company of New York. She has previously served on the board of Claire’s Stores, Inc., Foster Wheeler Ltd., Dexter Corporation, IBJ Whitehall Business Credit Corporation, Bank Leumi, USA, the Metropolitan Regional Advisory Board of Chase Manhattan Bank, and the Advisory Boards of Attensity and the McLean Group as well as the boards of various subsidiaries of The Prudential Insurance Company of America. Ms. Goss holds a Bachelor of Arts from Brown University and a Masters of Business Administration from Harvard University.</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Ronald J. Korn. </w:t>
      </w:r>
      <w:r>
        <w:rPr>
          <w:rFonts w:ascii="Arial" w:cs="Arial" w:eastAsia="Arial" w:hAnsi="Arial"/>
          <w:sz w:val="16"/>
          <w:szCs w:val="16"/>
          <w:color w:val="auto"/>
        </w:rPr>
        <w:t>Mr. Korn has served as a Director of Ocwen since May 2003. Mr. Korn is currently the President of Ronald Korn Consulting, which provides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and marketing services to a limited number of clients. Mr. Korn has been Director and Chairman of the Audit Committee of PetMed Express, Inc. since 2002. He has also served as a Director and Chairman of the Audit Committee of comScore, Inc. since October 2005. He was a partner and employee of KPMG, LLP from 1961 to 1991, where his client responsibilities included a number of large financial institutions and various public corporations. He was admitted as a Certified Public Accountant in New York, Michigan and Florida, with licenses currently inactive. He was also admitted to the New York Bar in 1966, but has never practiced law. Mr. Korn holds a Bachelor of Science in Economics from the University of Pennsylvania, Wharton School and a Juris Doctorate from New York University Law School.</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William H. Lacy. </w:t>
      </w:r>
      <w:r>
        <w:rPr>
          <w:rFonts w:ascii="Arial" w:cs="Arial" w:eastAsia="Arial" w:hAnsi="Arial"/>
          <w:sz w:val="18"/>
          <w:szCs w:val="18"/>
          <w:color w:val="auto"/>
        </w:rPr>
        <w:t>Mr. Lacy has served as a Director of Ocwen since May 2002. Mr. Lacy was formerly Chairman of Mortgage Guaranty Insurance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Chairman and Chief Executive Officer of MGIC Investment Corporation, Milwaukee, Wisconsin. Both corporations are providers of private mortgage guaranty insurance and other mortgage-related services. Mr. Lacy is also a Director of Johnson Controls, Inc. Mr. Lacy is Chairman of Johnson Controls’ Finance Committee and serves on Johnson Controls’ Compensation Committee. Mr. Lacy holds a Bachelor of Arts from the School of Business at the University of Wisconsin.</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David B. Reiner. </w:t>
      </w:r>
      <w:r>
        <w:rPr>
          <w:rFonts w:ascii="Arial" w:cs="Arial" w:eastAsia="Arial" w:hAnsi="Arial"/>
          <w:sz w:val="18"/>
          <w:szCs w:val="18"/>
          <w:color w:val="auto"/>
        </w:rPr>
        <w:t>Mr. Reiner currently serves as a Managing Director with Grosvenor Investment Management US Inc. Since joining Grosvenor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Management’s predecessor Legg Mason Real Estate Services in 2003, Mr. Reiner has been responsible for the development and implementation of business strategy, capital markets activities, fund and investment development, fund raising, fund operations and investor relations. He also chairs Grosvenor Investment Management’s Strategy Committee, is a member of the Management Committee and is a member of the Investment Committee for Grosvenor Investment Management’s Investment Funds business. He also serves on Grosvenor Fund Management Ltd.’s Capital Markets Committee. Mr. Reiner holds a Bachelor of Arts from the University of South Carolina and a Juris Doctorate from George Mason University School of Law. He also completed graduate work in international affairs and economics at the Fletcher School of Law &amp; Diplomacy at Tufts University and the Johns Hopkins School of Advanced International Studies.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Barry N. Wish. </w:t>
      </w:r>
      <w:r>
        <w:rPr>
          <w:rFonts w:ascii="Arial" w:cs="Arial" w:eastAsia="Arial" w:hAnsi="Arial"/>
          <w:sz w:val="18"/>
          <w:szCs w:val="18"/>
          <w:color w:val="auto"/>
        </w:rPr>
        <w:t>Mr. Wish has served as Chairman Emeritus of the Board of Directors of Ocwen since September 1996. He previously served as Chairman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Ocwen from January 1988 to September 1996.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holds a Bachelor of Science in Political Science from Bowdoin College.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Directors are expected to attend all Board meetings, the meetings of committees on which they serve and the Annual Meeting of Shareholders. Directors are also consulted for advice and counsel between formal meetings.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of Directors held 11 meetings during 2008. None of our incumbent Directors attended fewer than 75% of either these meetings or of the number of meetings held by all committees of our Board of Directors on which he or she served during the period. Although we do not have a formal policy regarding Director attendance at the Annual Meeting, our Directors are encouraged to attend. All six incumbent members of our Board of Directors attended our 2008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Corporate Governance Guidelines provide that our Board of Directors must be comprised of a majority of Directors who qualify as independent directors under the listing standards of the New York Stock Exchange and applicable law.</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Board of Directors annually reviews the direct and indirect relationships that we have with each Director. The purpose of this review is to determine whether any such transactions or relationships are inconsistent with a determination that the Director is independent. Only those Directors who are determined by our Board of Directors to have no material relationship with Ocwen are considered independent. This determination is based in part on the analysis of questionnaire responses that follow the independence standards and qualifications established by the New York Stock Exchange and applicable law. Our current Board of Directors has determined that Ms. Goss and Messrs. Korn, Lacy, Reiner and Wish are independent Directors. Specifically with regard to Mr. Wish, our Board of Directors considered his previous service as the managing General Partner of The Oxford Financial Group, the predecessor of Ocwen, and determined that such service has not impaired his independence from Ocwen and our management. The Board of Directors also considered shares of our common stock beneficially owned by each of the Directors, as set forth under “Security Ownership of Certain Beneficial Owners and Related Shareholder Matters,” although our Board of Directors generally believes that stock ownership tends to further align a director’s interests with those of our other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Board of Directors has established an Executive Committee, an Audit Committee, a Compensation Committee and a Nomination/Governance Committee. A brief description of these Committees is provided below.</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Executive Committee. </w:t>
      </w:r>
      <w:r>
        <w:rPr>
          <w:rFonts w:ascii="Arial" w:cs="Arial" w:eastAsia="Arial" w:hAnsi="Arial"/>
          <w:sz w:val="16"/>
          <w:szCs w:val="16"/>
          <w:color w:val="auto"/>
        </w:rPr>
        <w:t>Our Executive Committee is generally responsible to act on behalf of our Board of Directors during the intervals between meetings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On March 25, 2003, our Board of Directors authorized the Chairman and Chief Executive Officer to approve and/or to designate in writing certain individuals to approve ordinary course of business actions that are required to be documented by counter parties but do not 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Chairman deems appropriate in his sole discretion. In 2008, the Chairman approved 10 transactions in this manner on behalf of the Board of Directors. All such approvals and designations by the Chairman were provided to the Board of Directors at or before their next meeting and ratified by the Board of Directors at the next meeting.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of our Board of Directors oversees the relationship with our independent registered certified public accounting 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reviews and advises our Board of Directors with respect to reports by our independent registered certified public accounting firm and monitors our compliance with laws and regulations applicable to our operations, including the evaluation of significant matters relating to the financial reporting process and our system of internal accounting controls and the review of the scope and results of the annual audit conducted by the independent registered certified public accounting firm. Each member of our Audit Committee is independent as defined in regulations adopted by the Securities and Exchange Commission and the listing standards of the New York Stock Exchange. Our Board of Directors has determined that all members of our Audit Committee are financially literate. Further, our Board of Directors has determined that Ronald J. Korn and Martha C. Goss possess accounting or related financial management expertise within the meaning of the listing standards of the New York Stock Exchange and each qualifies as an audit committee financial expert, as that term is defined in Securities and Exchange Commission rules implementing requirements of the Sarbanes-Oxley Act of 2002. Our Audit Committee operates under a written charter approved by our Board of Directors, a copy of which is available on our website at www.ocwen.com and is available in print to any shareholder who requests it. This Committee met seven times during 2008.</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also evaluates and makes recommendations to our Board of Directors for human resource and compensation matters relating to our executive officers. The Compensation Committee reviews with the Chief Executive Officer and subsequently approves all executive compensation plans, any executive severance or termination arrangements, and any equity compensation plans that are not subject to shareholder approval. The Compensation Committee also has the power to review our other compensation plans, including the goals and objectives thereof and to recommend changes to these plans to our Board of Directors. The Compensation Committee shares jurisdiction with our full Board of Directors over the administration of grants under the 2007 Equity Incentive Plan. Our Compensation Committee operates under a written charter approved by our Board of Directors, a copy of which is available on our website at www.ocwen.com and is available in print to any shareholder who requests it. This Committee met four times during 2008.</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has the authority to, at our expense, retain independent counsel or other advisers as it deems necessary in connection with its responsibilities. In 2008, our Compensation Committee retained Exequity, LLC, an independent compensation consultant, to review a proposed Senior Management Equity Incentive Program. Although Exequity worked with management to obtain information, it conducted a completely independent analysis and reported independently on behalf of the Compensation Committee. For more information about Exequity’s engagement, see “Compensation Discussion and Analysis” below.</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Executive Vice President and Chief Administration Officer, who are typically present at Compensation Committee meetings.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Executive Vice President and Chief Administration Officer for development and execution.</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Compensation Committee Interlocks and Insider Participation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members of the Compensation Committee for 2008 were Messrs. Korn, Wish and Martin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(until his retirement from the Board on May 8, 2008, at which time Mr. Lacy joined the Committee). No member of this Committee was, at any time during the 2008 fiscal year or at any other time, an officer or employee of the company, and no member had any relationship with us requiring disclosure under Item 404 of Securities and Exchange Commission Regulation S-K. None of our executive officers has served on the board of directors or compensation committee of any other entity that has or had one or more executive officers who served as a member of our Board of Directors or our Compensation Committee during the 2008 fiscal year.</w:t>
      </w:r>
    </w:p>
    <w:p>
      <w:pPr>
        <w:spacing w:after="0" w:line="199" w:lineRule="exact"/>
        <w:rPr>
          <w:sz w:val="20"/>
          <w:szCs w:val="20"/>
          <w:color w:val="auto"/>
        </w:rPr>
      </w:pPr>
    </w:p>
    <w:p>
      <w:pPr>
        <w:jc w:val="both"/>
        <w:spacing w:after="0" w:line="314" w:lineRule="auto"/>
        <w:rPr>
          <w:sz w:val="20"/>
          <w:szCs w:val="20"/>
          <w:color w:val="auto"/>
        </w:rPr>
      </w:pPr>
      <w:r>
        <w:rPr>
          <w:rFonts w:ascii="Arial" w:cs="Arial" w:eastAsia="Arial" w:hAnsi="Arial"/>
          <w:sz w:val="15"/>
          <w:szCs w:val="15"/>
          <w:b w:val="1"/>
          <w:bCs w:val="1"/>
          <w:i w:val="1"/>
          <w:iCs w:val="1"/>
          <w:color w:val="auto"/>
        </w:rPr>
        <w:t xml:space="preserve">Nomination/Governance Committee. </w:t>
      </w:r>
      <w:r>
        <w:rPr>
          <w:rFonts w:ascii="Arial" w:cs="Arial" w:eastAsia="Arial" w:hAnsi="Arial"/>
          <w:sz w:val="15"/>
          <w:szCs w:val="15"/>
          <w:color w:val="auto"/>
        </w:rPr>
        <w:t>The Nomination/Governance Committee of our Board of Directors makes recommendations to our Board of Directors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 Each member of our Nomination/Governance Committee is independent as defined in the listing standards of the New York Stock Exchange. Our Nomination/Governance Committee operates under a written charter approved by our Board of Directors, a copy of which is available on our web site at www.ocwen.com and is available in print to any shareholder who requests it. This Committee met three times during 2008.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jc w:val="both"/>
        <w:spacing w:after="0" w:line="290" w:lineRule="auto"/>
        <w:rPr>
          <w:sz w:val="20"/>
          <w:szCs w:val="20"/>
          <w:color w:val="auto"/>
        </w:rPr>
      </w:pPr>
      <w:r>
        <w:rPr>
          <w:rFonts w:ascii="Arial" w:cs="Arial" w:eastAsia="Arial" w:hAnsi="Arial"/>
          <w:sz w:val="16"/>
          <w:szCs w:val="16"/>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and the listing standards of the New York Stock Exchange. In addition, our Nomination/Governance Committee takes into account our best interests, as well as such factors as knowledge, experience, skills, expertise, diversity and the interplay of the candidate’s experience with the background of other members of our Board of Directors. 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Board of Directors members, professional search firms, shareholders or industry sources.</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evaluating the candidate, the Nomination/Governance Committee will consider factors other than the candidate’s qualifications, including the current composition of the Board of Directors, the balance of management and independent directors, the need for Audit Committee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want to recommend persons for consideration by our Nomination/Governance Committee as nominees for election to our Board of Directors, you can do so by writing to our Secretary at Ocwen Financial Corporation, 1661 Worthington Road, Suite 100, West Palm Beach, Florida 33409.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2010 Annual Meeting, we must receive your recommendations by November 1, 2009.</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Nomination/Corporate Governance Committee has nominated David Reiner as a Director candidate for election at the Annual Meeting of Shareholders. Mr.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Reiner came to the attention of the Committee through and was recommended for nomination by Barry Wish.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 of the Board of Directors.</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Nomination/Governance Committee reviews our Corporate Governance Guidelines at least once a year and, if necessary, recommends changes to our Board of Directors. Our Corporate Governance Guidelines are available on our web site at www.ocwen.com and are available to any shareholder who requests them by writing to our Secretary at Ocwen Financial Corporation, 1661 Worthington Road, Suite 100, West Palm Beach, Florida 33409.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Non-management Directors met in executive session without management four times during 2008. A non-management Director presides on a rotational basis as determined by our Board of Directors at each executive session.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you desire to contact our Board of Directors or any individual Director regarding Ocwen, you may do so by mail addressed to our Secretary at Ocwen Financial Corporation, 1661 Worthington Road, Suite 100, West Palm Beach, Florida 33409. Communications received in writing are distributed to our Board of Directors or to individual Directors, as appropriate, depending on the facts and circumstances outlined in the communication received.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adopted a Code of Business Conduct and Ethics that applies to our Directors, officers and employees, as required by the New York Stock Exchange rules. Any waivers from the Code of Business Conduct and Ethics for Directors or executive officers must be approved by our Board of Directors or a Board committee and must be promptly disclosed to you. We have also adopted a Code of Ethics for Senior Financial Officers that applies to our Chief Executive Officer, our Chief Financial Officer and our Chief Accounting Officer. The Code of Business Conduct and Ethics and the Code of Ethics for Senior Financial Officers are available on our web site at www.ocwen.com and are available to any shareholder who requests a copy by writing to our Secretary at 1661 Worthington Road, Suite 100, West Palm Beach, Florida 33409.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COMPENSATION</w:t>
      </w:r>
    </w:p>
    <w:p>
      <w:pPr>
        <w:spacing w:after="0" w:line="23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following table discloses compensation received by each non-management member of our Board of Directors who served as a Director during fiscal year 2008. Our management Directors do not receive an annual retainer or any other compensation for their service on the Board of Directors.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Fees Earned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412"/>
              <w:spacing w:after="0"/>
              <w:rPr>
                <w:sz w:val="20"/>
                <w:szCs w:val="20"/>
                <w:color w:val="auto"/>
              </w:rPr>
            </w:pPr>
            <w:r>
              <w:rPr>
                <w:rFonts w:ascii="Arial" w:cs="Arial" w:eastAsia="Arial" w:hAnsi="Arial"/>
                <w:sz w:val="18"/>
                <w:szCs w:val="18"/>
                <w:b w:val="1"/>
                <w:bCs w:val="1"/>
                <w:color w:val="auto"/>
              </w:rPr>
              <w:t>Stock</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All Other</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2"/>
        </w:trPr>
        <w:tc>
          <w:tcPr>
            <w:tcW w:w="26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Or Paid in Cash</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w w:val="87"/>
              </w:rPr>
              <w:t>Awards</w:t>
            </w:r>
            <w:r>
              <w:rPr>
                <w:rFonts w:ascii="Arial" w:cs="Arial" w:eastAsia="Arial" w:hAnsi="Arial"/>
                <w:sz w:val="29"/>
                <w:szCs w:val="29"/>
                <w:color w:val="auto"/>
                <w:w w:val="87"/>
                <w:vertAlign w:val="superscript"/>
              </w:rPr>
              <w:t>(1)(2)</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Compensation</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r>
      <w:tr>
        <w:trPr>
          <w:trHeight w:val="125"/>
        </w:trPr>
        <w:tc>
          <w:tcPr>
            <w:tcW w:w="262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210"/>
        </w:trPr>
        <w:tc>
          <w:tcPr>
            <w:tcW w:w="2620" w:type="dxa"/>
            <w:vAlign w:val="bottom"/>
            <w:shd w:val="clear" w:color="auto" w:fill="EAF9E8"/>
          </w:tcPr>
          <w:p>
            <w:pPr>
              <w:spacing w:after="0"/>
              <w:rPr>
                <w:sz w:val="20"/>
                <w:szCs w:val="20"/>
                <w:color w:val="auto"/>
              </w:rPr>
            </w:pPr>
            <w:r>
              <w:rPr>
                <w:rFonts w:ascii="Arial" w:cs="Arial" w:eastAsia="Arial" w:hAnsi="Arial"/>
                <w:sz w:val="18"/>
                <w:szCs w:val="18"/>
                <w:color w:val="auto"/>
              </w:rPr>
              <w:t>Martha C. Goss</w:t>
            </w:r>
          </w:p>
        </w:tc>
        <w:tc>
          <w:tcPr>
            <w:tcW w:w="64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115,000</w:t>
            </w:r>
          </w:p>
        </w:tc>
        <w:tc>
          <w:tcPr>
            <w:tcW w:w="20" w:type="dxa"/>
            <w:vAlign w:val="bottom"/>
            <w:shd w:val="clear" w:color="auto" w:fill="EAF9E8"/>
          </w:tcPr>
          <w:p>
            <w:pPr>
              <w:spacing w:after="0"/>
              <w:rPr>
                <w:sz w:val="18"/>
                <w:szCs w:val="18"/>
                <w:color w:val="auto"/>
              </w:rPr>
            </w:pPr>
          </w:p>
        </w:tc>
        <w:tc>
          <w:tcPr>
            <w:tcW w:w="400" w:type="dxa"/>
            <w:vAlign w:val="bottom"/>
            <w:shd w:val="clear" w:color="auto" w:fill="EAF9E8"/>
          </w:tcPr>
          <w:p>
            <w:pPr>
              <w:jc w:val="right"/>
              <w:ind w:right="147"/>
              <w:spacing w:after="0"/>
              <w:rPr>
                <w:sz w:val="20"/>
                <w:szCs w:val="20"/>
                <w:color w:val="auto"/>
              </w:rPr>
            </w:pPr>
            <w:r>
              <w:rPr>
                <w:rFonts w:ascii="Arial" w:cs="Arial" w:eastAsia="Arial" w:hAnsi="Arial"/>
                <w:sz w:val="15"/>
                <w:szCs w:val="15"/>
                <w:color w:val="auto"/>
                <w:w w:val="87"/>
              </w:rPr>
              <w:t>(3)</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30,000</w:t>
            </w:r>
          </w:p>
        </w:tc>
        <w:tc>
          <w:tcPr>
            <w:tcW w:w="66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300" w:type="dxa"/>
            <w:vAlign w:val="bottom"/>
            <w:shd w:val="clear" w:color="auto" w:fill="EAF9E8"/>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EAF9E8"/>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Ronald J. Korn</w:t>
            </w:r>
          </w:p>
        </w:tc>
        <w:tc>
          <w:tcPr>
            <w:tcW w:w="8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47,500</w:t>
            </w:r>
          </w:p>
        </w:tc>
        <w:tc>
          <w:tcPr>
            <w:tcW w:w="4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6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77,500</w:t>
            </w:r>
          </w:p>
        </w:tc>
      </w:tr>
      <w:tr>
        <w:trPr>
          <w:trHeight w:val="216"/>
        </w:trPr>
        <w:tc>
          <w:tcPr>
            <w:tcW w:w="2620" w:type="dxa"/>
            <w:vAlign w:val="bottom"/>
            <w:shd w:val="clear" w:color="auto" w:fill="EAF9E8"/>
          </w:tcPr>
          <w:p>
            <w:pPr>
              <w:spacing w:after="0"/>
              <w:rPr>
                <w:sz w:val="20"/>
                <w:szCs w:val="20"/>
                <w:color w:val="auto"/>
              </w:rPr>
            </w:pPr>
            <w:r>
              <w:rPr>
                <w:rFonts w:ascii="Arial" w:cs="Arial" w:eastAsia="Arial" w:hAnsi="Arial"/>
                <w:sz w:val="18"/>
                <w:szCs w:val="18"/>
                <w:color w:val="auto"/>
              </w:rPr>
              <w:t>William H. Lacy</w:t>
            </w:r>
          </w:p>
        </w:tc>
        <w:tc>
          <w:tcPr>
            <w:tcW w:w="84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112,500</w:t>
            </w:r>
          </w:p>
        </w:tc>
        <w:tc>
          <w:tcPr>
            <w:tcW w:w="400" w:type="dxa"/>
            <w:vAlign w:val="bottom"/>
            <w:shd w:val="clear" w:color="auto" w:fill="EAF9E8"/>
          </w:tcPr>
          <w:p>
            <w:pPr>
              <w:jc w:val="right"/>
              <w:ind w:right="147"/>
              <w:spacing w:after="0"/>
              <w:rPr>
                <w:sz w:val="20"/>
                <w:szCs w:val="20"/>
                <w:color w:val="auto"/>
              </w:rPr>
            </w:pPr>
            <w:r>
              <w:rPr>
                <w:rFonts w:ascii="Arial" w:cs="Arial" w:eastAsia="Arial" w:hAnsi="Arial"/>
                <w:sz w:val="15"/>
                <w:szCs w:val="15"/>
                <w:color w:val="auto"/>
                <w:w w:val="87"/>
              </w:rPr>
              <w:t>(3)</w:t>
            </w:r>
          </w:p>
        </w:tc>
        <w:tc>
          <w:tcPr>
            <w:tcW w:w="4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30,000</w:t>
            </w:r>
          </w:p>
        </w:tc>
        <w:tc>
          <w:tcPr>
            <w:tcW w:w="7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EAF9E8"/>
          </w:tcPr>
          <w:p>
            <w:pPr>
              <w:jc w:val="right"/>
              <w:ind w:right="143"/>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142,500</w:t>
            </w: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Barry N. Wish</w:t>
            </w:r>
          </w:p>
        </w:tc>
        <w:tc>
          <w:tcPr>
            <w:tcW w:w="8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4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6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75,000</w:t>
            </w:r>
          </w:p>
        </w:tc>
      </w:tr>
    </w:tbl>
    <w:p>
      <w:pPr>
        <w:spacing w:after="0" w:line="255" w:lineRule="exact"/>
        <w:rPr>
          <w:sz w:val="20"/>
          <w:szCs w:val="20"/>
          <w:color w:val="auto"/>
        </w:rPr>
      </w:pPr>
    </w:p>
    <w:p>
      <w:pPr>
        <w:jc w:val="both"/>
        <w:ind w:left="460" w:hanging="452"/>
        <w:spacing w:after="0" w:line="228" w:lineRule="auto"/>
        <w:tabs>
          <w:tab w:leader="none" w:pos="46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number of shares issued pursuant to the Directors’ Stock Plan is based on the “fair market value” of our common stock on the date of election (or re-election) of such Director to our Board of Directors. The term “fair market value” is defined in the Directors’ Stock Plan to mean the average of the high and low prices of the common stock as reported on the New York Stock Exchange on the relevant date. Shares issued pursuant to the Directors’ Stock Plan are subject to forfeiture during the 12 full calendar months following election or appointment to the Board of Directors or a committee thereof, if the Director does not attend an aggregate of at least 75% of all meetings of the Board of Directors and committees thereof of which the Director is a member during such period.</w:t>
      </w:r>
    </w:p>
    <w:p>
      <w:pPr>
        <w:spacing w:after="0" w:line="172" w:lineRule="exact"/>
        <w:rPr>
          <w:rFonts w:ascii="Arial" w:cs="Arial" w:eastAsia="Arial" w:hAnsi="Arial"/>
          <w:sz w:val="29"/>
          <w:szCs w:val="29"/>
          <w:color w:val="auto"/>
          <w:vertAlign w:val="superscript"/>
        </w:rPr>
      </w:pPr>
    </w:p>
    <w:p>
      <w:pPr>
        <w:jc w:val="both"/>
        <w:ind w:left="460" w:hanging="452"/>
        <w:spacing w:after="0" w:line="224" w:lineRule="auto"/>
        <w:tabs>
          <w:tab w:leader="none" w:pos="46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In March 2005, the Board of Directors adopted a Deferred Compensation Plan for Directors, pursuant to which Directors are permitted to defer receipt of their compensation granted under the Directors’ Stock Plan. During 2008, Ms. Goss and Messrs. Korn and Wish did not elect to defer their $30,000 in equity compensation and were each issued 5,510 shares of common stock as a result. Our remaining non-management Director, Mr. Lacy, elected to defer his $30,000 in equity compensation pursuant to the terms of the Deferred Compensation Plan. Our non-management Directors have no shares subject to option awards outstanding as of December 31, 2008.</w:t>
      </w:r>
    </w:p>
    <w:p>
      <w:pPr>
        <w:spacing w:after="0" w:line="171" w:lineRule="exact"/>
        <w:rPr>
          <w:rFonts w:ascii="Arial" w:cs="Arial" w:eastAsia="Arial" w:hAnsi="Arial"/>
          <w:sz w:val="29"/>
          <w:szCs w:val="29"/>
          <w:color w:val="auto"/>
          <w:vertAlign w:val="superscript"/>
        </w:rPr>
      </w:pPr>
    </w:p>
    <w:p>
      <w:pPr>
        <w:jc w:val="both"/>
        <w:ind w:left="460" w:hanging="452"/>
        <w:spacing w:after="0" w:line="210" w:lineRule="auto"/>
        <w:tabs>
          <w:tab w:leader="none" w:pos="46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Ms. Goss and Mr. Lacy each earned a $75,000 fee for serving on the Special Committee of the Board of Directors that was established to review an offer by Oaktree Capital Management, L.P., Angelo, Gordon &amp; Co., L.P. and Mr. Erbey to purchase all of our outstanding stock. This offer was subsequently withdrawn.</w:t>
      </w:r>
    </w:p>
    <w:p>
      <w:pPr>
        <w:spacing w:after="0" w:line="210" w:lineRule="exact"/>
        <w:rPr>
          <w:rFonts w:ascii="Arial" w:cs="Arial" w:eastAsia="Arial" w:hAnsi="Arial"/>
          <w:sz w:val="29"/>
          <w:szCs w:val="29"/>
          <w:color w:val="auto"/>
          <w:vertAlign w:val="superscript"/>
        </w:rPr>
      </w:pPr>
    </w:p>
    <w:p>
      <w:pPr>
        <w:ind w:left="5680" w:hanging="112"/>
        <w:spacing w:after="0"/>
        <w:tabs>
          <w:tab w:leader="none" w:pos="5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Cash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cash compensation to our non-management Directors in quarterly installments:</w:t>
      </w:r>
    </w:p>
    <w:p>
      <w:pPr>
        <w:spacing w:after="0" w:line="239"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retainer of $35,000;</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$12,500 to the Audit Committee chairperson;</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$5,000 to all committee chairpersons (other than the Audit Committee chairperson);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$5,000 to all Audit Committee members.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provide our non-management Directors an annual award of restricted shares of common stock with a fair market value of $30,000 pursuant to our 1996 Stock Plan for Directors adopted by our Board of Directors and our shareholders in July 1996. Equity compensation is paid for the prior year of service after the annual organizational meeting of the Board of Directors, which immediately follows the Annual Meeting of Shareholders. The Company’s management Directors do not receive compensation for their service on the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Deferral Plan</w:t>
      </w:r>
    </w:p>
    <w:p>
      <w:pPr>
        <w:spacing w:after="0" w:line="23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purpose of the Deferral Plan for Directors is to provide Directors with the opportunity to defer the receipt of all or a portion of their equity compensation earned for their service as Directors. The plan is administered by the Compensation Committee, and all non-management Directors are eligible to participate. Before the end of each calendar year, the Directors make an election to either receive the equity portion of their annual compensation in restricted stock or to obtain a credit to their deferral account for the number of share units equal to the number of shares of restricted stock granted to such Director. A Director will become vested in the share units and will receive dividend equivalents to the same extent as such Director would if the original award of restricted stock was held.</w:t>
      </w:r>
    </w:p>
    <w:p>
      <w:pPr>
        <w:spacing w:after="0" w:line="15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Director electing deferral must specify the payment date at the time of election as (i) the six-month anniversary of the Director’s termination date or (ii) any other date elected by the Director which is at least two years after the last day of the year of service for which the compensation was awarded. At least 30 days prior to payment of deferred compensation, a Director shall elect to receive such payment in the form of either (i) cash in an amount equal to the fair market value of the number of whole and fractional share units credited to the deferral account, or (ii) whole shares of common stock equal to the number of whole share units credited to the deferral account with fractional share units to be paid in cash.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Issues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Any Director compensation may be prorated for a Director serving less than a full one-year term, as in the case of a Director joining the Board of Directors after an annual meeting of shareholders. Directors are reimbursed for reasonable travel and other expenses incurred in connection with attending meetings of the Board of Directors and its committees. Directors’ compensation is subject to review and adjustment by the Board of Directors from time to time. On November 5, 2008, the Board of Directors approved the following adjustments to Director compensation, to be effective as of January 1, 2009:</w:t>
      </w:r>
    </w:p>
    <w:p>
      <w:pPr>
        <w:spacing w:after="0" w:line="180"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$40,000 annual retainer; and</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$45,000 in restricted shares of common stock pursuant to the Directors’ Stock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Committee compensation will remain unchanged.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There are no arrangements or understandings between us and any person for election as our executive officer. None of our Directors and/or executive officers are related to any other Directors and/or executive officer of Ocwen or any of its subsidiaries by blood, marriage or adoption.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89"/>
        </w:trPr>
        <w:tc>
          <w:tcPr>
            <w:tcW w:w="28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79"/>
              </w:rPr>
              <w:t xml:space="preserve">Age </w:t>
            </w:r>
            <w:r>
              <w:rPr>
                <w:rFonts w:ascii="Arial" w:cs="Arial" w:eastAsia="Arial" w:hAnsi="Arial"/>
                <w:sz w:val="29"/>
                <w:szCs w:val="29"/>
                <w:color w:val="auto"/>
                <w:w w:val="79"/>
                <w:vertAlign w:val="superscript"/>
              </w:rPr>
              <w:t>(1)</w:t>
            </w:r>
          </w:p>
        </w:tc>
        <w:tc>
          <w:tcPr>
            <w:tcW w:w="116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125"/>
        </w:trPr>
        <w:tc>
          <w:tcPr>
            <w:tcW w:w="288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5440" w:type="dxa"/>
            <w:vAlign w:val="bottom"/>
            <w:tcBorders>
              <w:bottom w:val="single" w:sz="8" w:color="auto"/>
            </w:tcBorders>
          </w:tcPr>
          <w:p>
            <w:pPr>
              <w:spacing w:after="0"/>
              <w:rPr>
                <w:sz w:val="10"/>
                <w:szCs w:val="10"/>
                <w:color w:val="auto"/>
              </w:rPr>
            </w:pPr>
          </w:p>
        </w:tc>
      </w:tr>
      <w:tr>
        <w:trPr>
          <w:trHeight w:val="201"/>
        </w:trPr>
        <w:tc>
          <w:tcPr>
            <w:tcW w:w="2880" w:type="dxa"/>
            <w:vAlign w:val="bottom"/>
          </w:tcPr>
          <w:p>
            <w:pPr>
              <w:spacing w:after="0" w:line="201" w:lineRule="exact"/>
              <w:rPr>
                <w:sz w:val="20"/>
                <w:szCs w:val="20"/>
                <w:color w:val="auto"/>
              </w:rPr>
            </w:pPr>
            <w:r>
              <w:rPr>
                <w:rFonts w:ascii="Arial" w:cs="Arial" w:eastAsia="Arial" w:hAnsi="Arial"/>
                <w:sz w:val="18"/>
                <w:szCs w:val="18"/>
                <w:color w:val="auto"/>
              </w:rPr>
              <w:t>David J. Gunter</w:t>
            </w:r>
          </w:p>
        </w:tc>
        <w:tc>
          <w:tcPr>
            <w:tcW w:w="1160" w:type="dxa"/>
            <w:vAlign w:val="bottom"/>
          </w:tcPr>
          <w:p>
            <w:pPr>
              <w:spacing w:after="0"/>
              <w:rPr>
                <w:sz w:val="17"/>
                <w:szCs w:val="17"/>
                <w:color w:val="auto"/>
              </w:rPr>
            </w:pP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89"/>
              </w:rPr>
              <w:t>50</w:t>
            </w:r>
          </w:p>
        </w:tc>
        <w:tc>
          <w:tcPr>
            <w:tcW w:w="116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Paul A. Koches</w:t>
            </w:r>
          </w:p>
        </w:tc>
        <w:tc>
          <w:tcPr>
            <w:tcW w:w="1940" w:type="dxa"/>
            <w:vAlign w:val="bottom"/>
            <w:gridSpan w:val="2"/>
          </w:tcPr>
          <w:p>
            <w:pPr>
              <w:jc w:val="center"/>
              <w:ind w:left="1072"/>
              <w:spacing w:after="0"/>
              <w:rPr>
                <w:sz w:val="20"/>
                <w:szCs w:val="20"/>
                <w:color w:val="auto"/>
              </w:rPr>
            </w:pPr>
            <w:r>
              <w:rPr>
                <w:rFonts w:ascii="Arial" w:cs="Arial" w:eastAsia="Arial" w:hAnsi="Arial"/>
                <w:sz w:val="18"/>
                <w:szCs w:val="18"/>
                <w:color w:val="auto"/>
                <w:w w:val="89"/>
              </w:rPr>
              <w:t>55</w:t>
            </w:r>
          </w:p>
        </w:tc>
        <w:tc>
          <w:tcPr>
            <w:tcW w:w="11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Daniel J. Seguine</w:t>
            </w:r>
          </w:p>
        </w:tc>
        <w:tc>
          <w:tcPr>
            <w:tcW w:w="1940" w:type="dxa"/>
            <w:vAlign w:val="bottom"/>
            <w:gridSpan w:val="2"/>
          </w:tcPr>
          <w:p>
            <w:pPr>
              <w:jc w:val="center"/>
              <w:ind w:left="1072"/>
              <w:spacing w:after="0"/>
              <w:rPr>
                <w:sz w:val="20"/>
                <w:szCs w:val="20"/>
                <w:color w:val="auto"/>
              </w:rPr>
            </w:pPr>
            <w:r>
              <w:rPr>
                <w:rFonts w:ascii="Arial" w:cs="Arial" w:eastAsia="Arial" w:hAnsi="Arial"/>
                <w:sz w:val="18"/>
                <w:szCs w:val="18"/>
                <w:color w:val="auto"/>
                <w:w w:val="89"/>
              </w:rPr>
              <w:t>34</w:t>
            </w:r>
          </w:p>
        </w:tc>
        <w:tc>
          <w:tcPr>
            <w:tcW w:w="11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Vice President and Chief Accounting Officer</w:t>
            </w: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William B. Shepro</w:t>
            </w:r>
          </w:p>
        </w:tc>
        <w:tc>
          <w:tcPr>
            <w:tcW w:w="1940" w:type="dxa"/>
            <w:vAlign w:val="bottom"/>
            <w:gridSpan w:val="2"/>
          </w:tcPr>
          <w:p>
            <w:pPr>
              <w:jc w:val="center"/>
              <w:ind w:left="1072"/>
              <w:spacing w:after="0"/>
              <w:rPr>
                <w:sz w:val="20"/>
                <w:szCs w:val="20"/>
                <w:color w:val="auto"/>
              </w:rPr>
            </w:pPr>
            <w:r>
              <w:rPr>
                <w:rFonts w:ascii="Arial" w:cs="Arial" w:eastAsia="Arial" w:hAnsi="Arial"/>
                <w:sz w:val="18"/>
                <w:szCs w:val="18"/>
                <w:color w:val="auto"/>
                <w:w w:val="89"/>
              </w:rPr>
              <w:t>39</w:t>
            </w:r>
          </w:p>
        </w:tc>
        <w:tc>
          <w:tcPr>
            <w:tcW w:w="116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President and Chief Operating Officer of Ocwen Solutions</w:t>
            </w:r>
          </w:p>
        </w:tc>
      </w:tr>
    </w:tbl>
    <w:p>
      <w:pPr>
        <w:spacing w:after="0" w:line="166"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As of February 27, 2009</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principal occupation for the last five years, as well as certain other biographical information, for each of our executive officers that is not a Director is set forth below.</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David J. Gunter. </w:t>
      </w:r>
      <w:r>
        <w:rPr>
          <w:rFonts w:ascii="Arial" w:cs="Arial" w:eastAsia="Arial" w:hAnsi="Arial"/>
          <w:sz w:val="18"/>
          <w:szCs w:val="18"/>
          <w:color w:val="auto"/>
        </w:rPr>
        <w:t>Mr. Gunter has served as Ocwen’s Executive Vice President and Chief Financial Officer since May 2006. In addition, he also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Treasurer since May 2007. From 2002 until joining Ocwen, he held the positions of Senior Vice President, Corporate Finance and Senior Vice President, Chief Accounting Officer at Equifax, Inc., where he was responsible for managing accounting, finance, Securities and Exchange Commission reporting, Sarbanes-Oxley Section 404 implementation, planning, analysis, real estate and procurement. Mr. Gunter holds a Bachelor of Science in Accounting from Concord University and a Masters of Professional Accountancy from West Virginia University.</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Paul A. Koches. </w:t>
      </w:r>
      <w:r>
        <w:rPr>
          <w:rFonts w:ascii="Arial" w:cs="Arial" w:eastAsia="Arial" w:hAnsi="Arial"/>
          <w:sz w:val="16"/>
          <w:szCs w:val="16"/>
          <w:color w:val="auto"/>
        </w:rPr>
        <w:t>Mr. Koches has served as Executive Vice President and General Counsel since May 2008. He previously served as Senior Vice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Counsel of Ocwen from August 2002. Prior to joining Ocwen, Mr. Koches was a Partner with Arent Fox, LLP in Washington, D.C. Mr. Koches holds a Bachelor of Arts from the University of Connecticut and a Juris Doctorate from the University of Miami Law School.</w:t>
      </w:r>
    </w:p>
    <w:p>
      <w:pPr>
        <w:spacing w:after="0" w:line="16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b w:val="1"/>
          <w:bCs w:val="1"/>
          <w:i w:val="1"/>
          <w:iCs w:val="1"/>
          <w:color w:val="auto"/>
        </w:rPr>
        <w:t xml:space="preserve">Daniel J. Seguine. </w:t>
      </w:r>
      <w:r>
        <w:rPr>
          <w:rFonts w:ascii="Arial" w:cs="Arial" w:eastAsia="Arial" w:hAnsi="Arial"/>
          <w:sz w:val="16"/>
          <w:szCs w:val="16"/>
          <w:color w:val="auto"/>
        </w:rPr>
        <w:t>Mr. Seguine joined Ocwen as the Vice President and Chief Accounting Officer in February 2009. Prior to joining Ocwen, Mr. Seguine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worked at Goldman, Sachs &amp; Co. as a Vice President since 2004 with responsibilities including external financial reporting, accounting policy and investment banking advisory services. He holds a Bachelor of Science in Accounting and a Masters of Accountancy from Brigham Young University.</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William B. Shepro. </w:t>
      </w:r>
      <w:r>
        <w:rPr>
          <w:rFonts w:ascii="Arial" w:cs="Arial" w:eastAsia="Arial" w:hAnsi="Arial"/>
          <w:sz w:val="16"/>
          <w:szCs w:val="16"/>
          <w:color w:val="auto"/>
        </w:rPr>
        <w:t>Mr. Shepro has served as President and Chief Operating Officer of Ocwen Solutions, the knowledge process outsourcing division of Ocwen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Corporation, since May 2008. In this role, Mr. Shepro oversees Ocwen’s Financial Services, Mortgage Services and Technology Products segments. In addition, Mr. Shepro has served as President of Global Servicing Solutions, LLC, a joint venture between Ocwen Financial Corporation and Merrill Lynch, since 2003. Prior to becoming President and Chief Operating Officer of Ocwen Solutions, Mr. Shepro held the positions of Senior Vice President of Ocwen Solutions, Senior Vice President of Ocwen Recovery Group, Senior Vice President, Director and Senior Manager of Commercial Servicing and Counsel in Ocwen’s Law Department, since joining Ocwen in August 1997. He holds a Bachelor of Science in Business from Skidmore College and a Juris Doctorate from the Florida State University College of Law.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SHAREHOLDER MATTERS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39" w:lineRule="exact"/>
        <w:rPr>
          <w:sz w:val="20"/>
          <w:szCs w:val="20"/>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Director and named executive officer of Ocwen;</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Directors and named executive officers of Ocwen as a group; and</w:t>
      </w:r>
    </w:p>
    <w:p>
      <w:pPr>
        <w:spacing w:after="0" w:line="9" w:lineRule="exact"/>
        <w:rPr>
          <w:rFonts w:ascii="Arial" w:cs="Arial" w:eastAsia="Arial" w:hAnsi="Arial"/>
          <w:sz w:val="18"/>
          <w:szCs w:val="18"/>
          <w:color w:val="auto"/>
        </w:rPr>
      </w:pPr>
    </w:p>
    <w:p>
      <w:pPr>
        <w:ind w:left="1160" w:hanging="571"/>
        <w:spacing w:after="0" w:line="261"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persons known by Ocwen to own beneficially 5% or more of the outstanding common stock or to have a Schedule 13D or Schedule 13G on file with the Securities and Exchange Commission.</w:t>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382"/>
        </w:trPr>
        <w:tc>
          <w:tcPr>
            <w:tcW w:w="3080" w:type="dxa"/>
            <w:vAlign w:val="bottom"/>
          </w:tcPr>
          <w:p>
            <w:pPr>
              <w:spacing w:after="0"/>
              <w:rPr>
                <w:sz w:val="24"/>
                <w:szCs w:val="24"/>
                <w:color w:val="auto"/>
              </w:rPr>
            </w:pPr>
          </w:p>
        </w:tc>
        <w:tc>
          <w:tcPr>
            <w:tcW w:w="7000" w:type="dxa"/>
            <w:vAlign w:val="bottom"/>
            <w:gridSpan w:val="4"/>
          </w:tcPr>
          <w:p>
            <w:pPr>
              <w:ind w:left="620"/>
              <w:spacing w:after="0"/>
              <w:rPr>
                <w:sz w:val="20"/>
                <w:szCs w:val="20"/>
                <w:color w:val="auto"/>
              </w:rPr>
            </w:pPr>
            <w:r>
              <w:rPr>
                <w:rFonts w:ascii="Arial" w:cs="Arial" w:eastAsia="Arial" w:hAnsi="Arial"/>
                <w:sz w:val="18"/>
                <w:szCs w:val="18"/>
                <w:b w:val="1"/>
                <w:bCs w:val="1"/>
                <w:color w:val="auto"/>
              </w:rPr>
              <w:t xml:space="preserve">Shares Beneficially Owned as of February 27, 2009 </w:t>
            </w:r>
            <w:r>
              <w:rPr>
                <w:rFonts w:ascii="Arial" w:cs="Arial" w:eastAsia="Arial" w:hAnsi="Arial"/>
                <w:sz w:val="29"/>
                <w:szCs w:val="29"/>
                <w:color w:val="auto"/>
                <w:vertAlign w:val="superscript"/>
              </w:rPr>
              <w:t>(1)</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3"/>
        </w:trPr>
        <w:tc>
          <w:tcPr>
            <w:tcW w:w="3080" w:type="dxa"/>
            <w:vAlign w:val="bottom"/>
          </w:tcPr>
          <w:p>
            <w:pPr>
              <w:spacing w:after="0"/>
              <w:rPr>
                <w:sz w:val="20"/>
                <w:szCs w:val="20"/>
                <w:color w:val="auto"/>
              </w:rPr>
            </w:pPr>
            <w:r>
              <w:rPr>
                <w:rFonts w:ascii="Arial" w:cs="Arial" w:eastAsia="Arial" w:hAnsi="Arial"/>
                <w:sz w:val="18"/>
                <w:szCs w:val="18"/>
                <w:b w:val="1"/>
                <w:bCs w:val="1"/>
                <w:color w:val="auto"/>
              </w:rPr>
              <w:t>Name of Beneficial Owner:</w:t>
            </w:r>
          </w:p>
        </w:tc>
        <w:tc>
          <w:tcPr>
            <w:tcW w:w="4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w:t>
            </w:r>
          </w:p>
        </w:tc>
      </w:tr>
      <w:tr>
        <w:trPr>
          <w:trHeight w:val="245"/>
        </w:trPr>
        <w:tc>
          <w:tcPr>
            <w:tcW w:w="3080" w:type="dxa"/>
            <w:vAlign w:val="bottom"/>
            <w:tcBorders>
              <w:bottom w:val="single" w:sz="8" w:color="auto"/>
            </w:tcBorders>
          </w:tcPr>
          <w:p>
            <w:pPr>
              <w:spacing w:after="0"/>
              <w:rPr>
                <w:sz w:val="21"/>
                <w:szCs w:val="21"/>
                <w:color w:val="auto"/>
              </w:rPr>
            </w:pPr>
          </w:p>
        </w:tc>
        <w:tc>
          <w:tcPr>
            <w:tcW w:w="442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42"/>
        </w:trPr>
        <w:tc>
          <w:tcPr>
            <w:tcW w:w="3080" w:type="dxa"/>
            <w:vAlign w:val="bottom"/>
            <w:shd w:val="clear" w:color="auto" w:fill="EAF9E8"/>
          </w:tcPr>
          <w:p>
            <w:pPr>
              <w:spacing w:after="0" w:line="242" w:lineRule="exact"/>
              <w:rPr>
                <w:sz w:val="20"/>
                <w:szCs w:val="20"/>
                <w:color w:val="auto"/>
              </w:rPr>
            </w:pPr>
            <w:r>
              <w:rPr>
                <w:rFonts w:ascii="Arial" w:cs="Arial" w:eastAsia="Arial" w:hAnsi="Arial"/>
                <w:sz w:val="17"/>
                <w:szCs w:val="17"/>
                <w:color w:val="auto"/>
              </w:rPr>
              <w:t xml:space="preserve">Altus Capital, LLC </w:t>
            </w:r>
            <w:r>
              <w:rPr>
                <w:rFonts w:ascii="Arial" w:cs="Arial" w:eastAsia="Arial" w:hAnsi="Arial"/>
                <w:sz w:val="28"/>
                <w:szCs w:val="28"/>
                <w:color w:val="auto"/>
                <w:vertAlign w:val="superscript"/>
              </w:rPr>
              <w:t>(2)</w:t>
            </w:r>
          </w:p>
        </w:tc>
        <w:tc>
          <w:tcPr>
            <w:tcW w:w="4420" w:type="dxa"/>
            <w:vAlign w:val="bottom"/>
            <w:shd w:val="clear" w:color="auto" w:fill="EAF9E8"/>
          </w:tcPr>
          <w:p>
            <w:pPr>
              <w:spacing w:after="0"/>
              <w:rPr>
                <w:sz w:val="21"/>
                <w:szCs w:val="21"/>
                <w:color w:val="auto"/>
              </w:rPr>
            </w:pPr>
          </w:p>
        </w:tc>
        <w:tc>
          <w:tcPr>
            <w:tcW w:w="64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640" w:type="dxa"/>
            <w:vAlign w:val="bottom"/>
            <w:shd w:val="clear" w:color="auto" w:fill="EAF9E8"/>
          </w:tcPr>
          <w:p>
            <w:pPr>
              <w:spacing w:after="0"/>
              <w:rPr>
                <w:sz w:val="21"/>
                <w:szCs w:val="21"/>
                <w:color w:val="auto"/>
              </w:rPr>
            </w:pPr>
          </w:p>
        </w:tc>
        <w:tc>
          <w:tcPr>
            <w:tcW w:w="11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r>
      <w:tr>
        <w:trPr>
          <w:trHeight w:val="216"/>
        </w:trPr>
        <w:tc>
          <w:tcPr>
            <w:tcW w:w="3080" w:type="dxa"/>
            <w:vAlign w:val="bottom"/>
            <w:shd w:val="clear" w:color="auto" w:fill="EAF9E8"/>
          </w:tcPr>
          <w:p>
            <w:pPr>
              <w:spacing w:after="0"/>
              <w:rPr>
                <w:sz w:val="20"/>
                <w:szCs w:val="20"/>
                <w:color w:val="auto"/>
              </w:rPr>
            </w:pPr>
            <w:r>
              <w:rPr>
                <w:rFonts w:ascii="Arial" w:cs="Arial" w:eastAsia="Arial" w:hAnsi="Arial"/>
                <w:sz w:val="18"/>
                <w:szCs w:val="18"/>
                <w:color w:val="auto"/>
              </w:rPr>
              <w:t>6120 Parkland Blvd, Suite 303</w:t>
            </w:r>
          </w:p>
        </w:tc>
        <w:tc>
          <w:tcPr>
            <w:tcW w:w="442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r>
      <w:tr>
        <w:trPr>
          <w:trHeight w:val="224"/>
        </w:trPr>
        <w:tc>
          <w:tcPr>
            <w:tcW w:w="3080" w:type="dxa"/>
            <w:vAlign w:val="bottom"/>
            <w:shd w:val="clear" w:color="auto" w:fill="EAF9E8"/>
          </w:tcPr>
          <w:p>
            <w:pPr>
              <w:spacing w:after="0"/>
              <w:rPr>
                <w:sz w:val="20"/>
                <w:szCs w:val="20"/>
                <w:color w:val="auto"/>
              </w:rPr>
            </w:pPr>
            <w:r>
              <w:rPr>
                <w:rFonts w:ascii="Arial" w:cs="Arial" w:eastAsia="Arial" w:hAnsi="Arial"/>
                <w:sz w:val="18"/>
                <w:szCs w:val="18"/>
                <w:color w:val="auto"/>
              </w:rPr>
              <w:t>Mayfield Heights, Ohio 44124</w:t>
            </w:r>
          </w:p>
        </w:tc>
        <w:tc>
          <w:tcPr>
            <w:tcW w:w="7000" w:type="dxa"/>
            <w:vAlign w:val="bottom"/>
            <w:gridSpan w:val="4"/>
            <w:shd w:val="clear" w:color="auto" w:fill="EAF9E8"/>
          </w:tcPr>
          <w:p>
            <w:pPr>
              <w:jc w:val="right"/>
              <w:ind w:right="640"/>
              <w:spacing w:after="0"/>
              <w:rPr>
                <w:sz w:val="20"/>
                <w:szCs w:val="20"/>
                <w:color w:val="auto"/>
              </w:rPr>
            </w:pPr>
            <w:r>
              <w:rPr>
                <w:rFonts w:ascii="Arial" w:cs="Arial" w:eastAsia="Arial" w:hAnsi="Arial"/>
                <w:sz w:val="18"/>
                <w:szCs w:val="18"/>
                <w:color w:val="auto"/>
              </w:rPr>
              <w:t>5,587,114</w:t>
            </w: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8.91%</w:t>
            </w:r>
          </w:p>
        </w:tc>
      </w:tr>
      <w:tr>
        <w:trPr>
          <w:trHeight w:val="397"/>
        </w:trPr>
        <w:tc>
          <w:tcPr>
            <w:tcW w:w="3080" w:type="dxa"/>
            <w:vAlign w:val="bottom"/>
          </w:tcPr>
          <w:p>
            <w:pPr>
              <w:spacing w:after="0"/>
              <w:rPr>
                <w:sz w:val="20"/>
                <w:szCs w:val="20"/>
                <w:color w:val="auto"/>
              </w:rPr>
            </w:pPr>
            <w:r>
              <w:rPr>
                <w:rFonts w:ascii="Arial" w:cs="Arial" w:eastAsia="Arial" w:hAnsi="Arial"/>
                <w:sz w:val="18"/>
                <w:szCs w:val="18"/>
                <w:color w:val="auto"/>
              </w:rPr>
              <w:t xml:space="preserve">Dimensional Fund Advisors LP </w:t>
            </w:r>
            <w:r>
              <w:rPr>
                <w:rFonts w:ascii="Arial" w:cs="Arial" w:eastAsia="Arial" w:hAnsi="Arial"/>
                <w:sz w:val="29"/>
                <w:szCs w:val="29"/>
                <w:color w:val="auto"/>
                <w:vertAlign w:val="superscript"/>
              </w:rPr>
              <w:t>(3)</w:t>
            </w:r>
          </w:p>
        </w:tc>
        <w:tc>
          <w:tcPr>
            <w:tcW w:w="4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Palisades West, Building One</w:t>
            </w:r>
          </w:p>
        </w:tc>
        <w:tc>
          <w:tcPr>
            <w:tcW w:w="4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6300 Bee Cave Road</w:t>
            </w:r>
          </w:p>
        </w:tc>
        <w:tc>
          <w:tcPr>
            <w:tcW w:w="4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Austin, Texas 78746</w:t>
            </w:r>
          </w:p>
        </w:tc>
        <w:tc>
          <w:tcPr>
            <w:tcW w:w="6360" w:type="dxa"/>
            <w:vAlign w:val="bottom"/>
            <w:gridSpan w:val="3"/>
          </w:tcPr>
          <w:p>
            <w:pPr>
              <w:jc w:val="right"/>
              <w:spacing w:after="0"/>
              <w:rPr>
                <w:sz w:val="20"/>
                <w:szCs w:val="20"/>
                <w:color w:val="auto"/>
              </w:rPr>
            </w:pPr>
            <w:r>
              <w:rPr>
                <w:rFonts w:ascii="Arial" w:cs="Arial" w:eastAsia="Arial" w:hAnsi="Arial"/>
                <w:sz w:val="18"/>
                <w:szCs w:val="18"/>
                <w:color w:val="auto"/>
              </w:rPr>
              <w:t>3,415,624</w:t>
            </w:r>
          </w:p>
        </w:tc>
        <w:tc>
          <w:tcPr>
            <w:tcW w:w="6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5.45%</w:t>
            </w:r>
          </w:p>
        </w:tc>
      </w:tr>
    </w:tbl>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00" w:type="dxa"/>
            <w:vAlign w:val="bottom"/>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640" w:type="dxa"/>
            <w:vAlign w:val="bottom"/>
          </w:tcPr>
          <w:p>
            <w:pPr>
              <w:spacing w:after="0"/>
              <w:rPr>
                <w:sz w:val="19"/>
                <w:szCs w:val="19"/>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5"/>
        </w:trPr>
        <w:tc>
          <w:tcPr>
            <w:tcW w:w="750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500" w:type="dxa"/>
            <w:vAlign w:val="bottom"/>
            <w:shd w:val="clear" w:color="auto" w:fill="EAF9E8"/>
          </w:tcPr>
          <w:p>
            <w:pPr>
              <w:spacing w:after="0" w:line="250" w:lineRule="exact"/>
              <w:rPr>
                <w:sz w:val="20"/>
                <w:szCs w:val="20"/>
                <w:color w:val="auto"/>
              </w:rPr>
            </w:pPr>
            <w:r>
              <w:rPr>
                <w:rFonts w:ascii="Arial" w:cs="Arial" w:eastAsia="Arial" w:hAnsi="Arial"/>
                <w:sz w:val="17"/>
                <w:szCs w:val="17"/>
                <w:color w:val="auto"/>
              </w:rPr>
              <w:t xml:space="preserve">William C. Erbey </w:t>
            </w:r>
            <w:r>
              <w:rPr>
                <w:rFonts w:ascii="Arial" w:cs="Arial" w:eastAsia="Arial" w:hAnsi="Arial"/>
                <w:sz w:val="28"/>
                <w:szCs w:val="28"/>
                <w:color w:val="auto"/>
                <w:vertAlign w:val="superscript"/>
              </w:rPr>
              <w:t>(4)</w:t>
            </w:r>
          </w:p>
        </w:tc>
        <w:tc>
          <w:tcPr>
            <w:tcW w:w="1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19,440,315</w:t>
            </w:r>
          </w:p>
        </w:tc>
        <w:tc>
          <w:tcPr>
            <w:tcW w:w="64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57"/>
        </w:trPr>
        <w:tc>
          <w:tcPr>
            <w:tcW w:w="7500" w:type="dxa"/>
            <w:vAlign w:val="bottom"/>
          </w:tcPr>
          <w:p>
            <w:pPr>
              <w:spacing w:after="0" w:line="256" w:lineRule="exact"/>
              <w:rPr>
                <w:sz w:val="20"/>
                <w:szCs w:val="20"/>
                <w:color w:val="auto"/>
              </w:rPr>
            </w:pPr>
            <w:r>
              <w:rPr>
                <w:rFonts w:ascii="Arial" w:cs="Arial" w:eastAsia="Arial" w:hAnsi="Arial"/>
                <w:sz w:val="18"/>
                <w:szCs w:val="18"/>
                <w:color w:val="auto"/>
              </w:rPr>
              <w:t xml:space="preserve">Ronald M. Faris </w:t>
            </w:r>
            <w:r>
              <w:rPr>
                <w:rFonts w:ascii="Arial" w:cs="Arial" w:eastAsia="Arial" w:hAnsi="Arial"/>
                <w:sz w:val="29"/>
                <w:szCs w:val="29"/>
                <w:color w:val="auto"/>
                <w:vertAlign w:val="superscript"/>
              </w:rPr>
              <w:t>(5)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968,596</w:t>
            </w:r>
          </w:p>
        </w:tc>
        <w:tc>
          <w:tcPr>
            <w:tcW w:w="640" w:type="dxa"/>
            <w:vAlign w:val="bottom"/>
          </w:tcPr>
          <w:p>
            <w:pPr>
              <w:spacing w:after="0"/>
              <w:rPr>
                <w:sz w:val="22"/>
                <w:szCs w:val="22"/>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7500" w:type="dxa"/>
            <w:vAlign w:val="bottom"/>
            <w:shd w:val="clear" w:color="auto" w:fill="EAF9E8"/>
          </w:tcPr>
          <w:p>
            <w:pPr>
              <w:spacing w:after="0"/>
              <w:rPr>
                <w:sz w:val="20"/>
                <w:szCs w:val="20"/>
                <w:color w:val="auto"/>
              </w:rPr>
            </w:pPr>
            <w:r>
              <w:rPr>
                <w:rFonts w:ascii="Arial" w:cs="Arial" w:eastAsia="Arial" w:hAnsi="Arial"/>
                <w:sz w:val="18"/>
                <w:szCs w:val="18"/>
                <w:color w:val="auto"/>
              </w:rPr>
              <w:t>Martha C. Goss</w:t>
            </w:r>
          </w:p>
        </w:tc>
        <w:tc>
          <w:tcPr>
            <w:tcW w:w="2580" w:type="dxa"/>
            <w:vAlign w:val="bottom"/>
            <w:gridSpan w:val="3"/>
            <w:shd w:val="clear" w:color="auto" w:fill="EAF9E8"/>
          </w:tcPr>
          <w:p>
            <w:pPr>
              <w:jc w:val="right"/>
              <w:ind w:right="640"/>
              <w:spacing w:after="0"/>
              <w:rPr>
                <w:sz w:val="20"/>
                <w:szCs w:val="20"/>
                <w:color w:val="auto"/>
              </w:rPr>
            </w:pPr>
            <w:r>
              <w:rPr>
                <w:rFonts w:ascii="Arial" w:cs="Arial" w:eastAsia="Arial" w:hAnsi="Arial"/>
                <w:sz w:val="18"/>
                <w:szCs w:val="18"/>
                <w:color w:val="auto"/>
              </w:rPr>
              <w:t>12,111</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Ronald J. Korn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12,747</w:t>
            </w:r>
          </w:p>
        </w:tc>
        <w:tc>
          <w:tcPr>
            <w:tcW w:w="6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00" w:type="dxa"/>
            <w:vAlign w:val="bottom"/>
            <w:shd w:val="clear" w:color="auto" w:fill="EAF9E8"/>
          </w:tcPr>
          <w:p>
            <w:pPr>
              <w:spacing w:after="0"/>
              <w:rPr>
                <w:sz w:val="20"/>
                <w:szCs w:val="20"/>
                <w:color w:val="auto"/>
              </w:rPr>
            </w:pPr>
            <w:r>
              <w:rPr>
                <w:rFonts w:ascii="Arial" w:cs="Arial" w:eastAsia="Arial" w:hAnsi="Arial"/>
                <w:sz w:val="18"/>
                <w:szCs w:val="18"/>
                <w:color w:val="auto"/>
              </w:rPr>
              <w:t>William H. Lacy</w:t>
            </w:r>
          </w:p>
        </w:tc>
        <w:tc>
          <w:tcPr>
            <w:tcW w:w="1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18,089</w:t>
            </w:r>
          </w:p>
        </w:tc>
        <w:tc>
          <w:tcPr>
            <w:tcW w:w="6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David B. Reiner</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500" w:type="dxa"/>
            <w:vAlign w:val="bottom"/>
            <w:shd w:val="clear" w:color="auto" w:fill="EAF9E8"/>
          </w:tcPr>
          <w:p>
            <w:pPr>
              <w:spacing w:after="0" w:line="256" w:lineRule="exact"/>
              <w:rPr>
                <w:sz w:val="20"/>
                <w:szCs w:val="20"/>
                <w:color w:val="auto"/>
              </w:rPr>
            </w:pPr>
            <w:r>
              <w:rPr>
                <w:rFonts w:ascii="Arial" w:cs="Arial" w:eastAsia="Arial" w:hAnsi="Arial"/>
                <w:sz w:val="18"/>
                <w:szCs w:val="18"/>
                <w:color w:val="auto"/>
              </w:rPr>
              <w:t xml:space="preserve">Barry N. Wish </w:t>
            </w:r>
            <w:r>
              <w:rPr>
                <w:rFonts w:ascii="Arial" w:cs="Arial" w:eastAsia="Arial" w:hAnsi="Arial"/>
                <w:sz w:val="29"/>
                <w:szCs w:val="29"/>
                <w:color w:val="auto"/>
                <w:vertAlign w:val="superscript"/>
              </w:rPr>
              <w:t>(6)</w:t>
            </w:r>
          </w:p>
        </w:tc>
        <w:tc>
          <w:tcPr>
            <w:tcW w:w="1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6,066,747</w:t>
            </w:r>
          </w:p>
        </w:tc>
        <w:tc>
          <w:tcPr>
            <w:tcW w:w="640" w:type="dxa"/>
            <w:vAlign w:val="bottom"/>
            <w:shd w:val="clear" w:color="auto" w:fill="EAF9E8"/>
          </w:tcPr>
          <w:p>
            <w:pPr>
              <w:spacing w:after="0"/>
              <w:rPr>
                <w:sz w:val="22"/>
                <w:szCs w:val="22"/>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57"/>
        </w:trPr>
        <w:tc>
          <w:tcPr>
            <w:tcW w:w="7500" w:type="dxa"/>
            <w:vAlign w:val="bottom"/>
          </w:tcPr>
          <w:p>
            <w:pPr>
              <w:spacing w:after="0" w:line="256" w:lineRule="exact"/>
              <w:rPr>
                <w:sz w:val="20"/>
                <w:szCs w:val="20"/>
                <w:color w:val="auto"/>
              </w:rPr>
            </w:pPr>
            <w:r>
              <w:rPr>
                <w:rFonts w:ascii="Arial" w:cs="Arial" w:eastAsia="Arial" w:hAnsi="Arial"/>
                <w:sz w:val="18"/>
                <w:szCs w:val="18"/>
                <w:color w:val="auto"/>
              </w:rPr>
              <w:t xml:space="preserve">David J. Gunter </w:t>
            </w:r>
            <w:r>
              <w:rPr>
                <w:rFonts w:ascii="Arial" w:cs="Arial" w:eastAsia="Arial" w:hAnsi="Arial"/>
                <w:sz w:val="29"/>
                <w:szCs w:val="29"/>
                <w:color w:val="auto"/>
                <w:vertAlign w:val="superscript"/>
              </w:rPr>
              <w:t>(7)</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12,754</w:t>
            </w:r>
          </w:p>
        </w:tc>
        <w:tc>
          <w:tcPr>
            <w:tcW w:w="64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00" w:type="dxa"/>
            <w:vAlign w:val="bottom"/>
            <w:shd w:val="clear" w:color="auto" w:fill="EAF9E8"/>
          </w:tcPr>
          <w:p>
            <w:pPr>
              <w:spacing w:after="0"/>
              <w:rPr>
                <w:sz w:val="20"/>
                <w:szCs w:val="20"/>
                <w:color w:val="auto"/>
              </w:rPr>
            </w:pPr>
            <w:r>
              <w:rPr>
                <w:rFonts w:ascii="Arial" w:cs="Arial" w:eastAsia="Arial" w:hAnsi="Arial"/>
                <w:sz w:val="18"/>
                <w:szCs w:val="18"/>
                <w:color w:val="auto"/>
              </w:rPr>
              <w:t>Paul A. Koches</w:t>
            </w:r>
          </w:p>
        </w:tc>
        <w:tc>
          <w:tcPr>
            <w:tcW w:w="1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2,105</w:t>
            </w:r>
          </w:p>
        </w:tc>
        <w:tc>
          <w:tcPr>
            <w:tcW w:w="6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Daniel J. Seguine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500" w:type="dxa"/>
            <w:vAlign w:val="bottom"/>
            <w:shd w:val="clear" w:color="auto" w:fill="EAF9E8"/>
          </w:tcPr>
          <w:p>
            <w:pPr>
              <w:spacing w:after="0" w:line="256" w:lineRule="exact"/>
              <w:rPr>
                <w:sz w:val="20"/>
                <w:szCs w:val="20"/>
                <w:color w:val="auto"/>
              </w:rPr>
            </w:pPr>
            <w:r>
              <w:rPr>
                <w:rFonts w:ascii="Arial" w:cs="Arial" w:eastAsia="Arial" w:hAnsi="Arial"/>
                <w:sz w:val="18"/>
                <w:szCs w:val="18"/>
                <w:color w:val="auto"/>
              </w:rPr>
              <w:t xml:space="preserve">William B. Shepro </w:t>
            </w:r>
            <w:r>
              <w:rPr>
                <w:rFonts w:ascii="Arial" w:cs="Arial" w:eastAsia="Arial" w:hAnsi="Arial"/>
                <w:sz w:val="29"/>
                <w:szCs w:val="29"/>
                <w:color w:val="auto"/>
                <w:vertAlign w:val="superscript"/>
              </w:rPr>
              <w:t>(8)</w:t>
            </w:r>
          </w:p>
        </w:tc>
        <w:tc>
          <w:tcPr>
            <w:tcW w:w="1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322,424</w:t>
            </w:r>
          </w:p>
        </w:tc>
        <w:tc>
          <w:tcPr>
            <w:tcW w:w="640" w:type="dxa"/>
            <w:vAlign w:val="bottom"/>
            <w:shd w:val="clear" w:color="auto" w:fill="EAF9E8"/>
          </w:tcPr>
          <w:p>
            <w:pPr>
              <w:spacing w:after="0"/>
              <w:rPr>
                <w:sz w:val="22"/>
                <w:szCs w:val="22"/>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7500" w:type="dxa"/>
            <w:vAlign w:val="bottom"/>
            <w:vMerge w:val="restart"/>
          </w:tcPr>
          <w:p>
            <w:pPr>
              <w:spacing w:after="0"/>
              <w:rPr>
                <w:sz w:val="20"/>
                <w:szCs w:val="20"/>
                <w:color w:val="auto"/>
              </w:rPr>
            </w:pPr>
            <w:r>
              <w:rPr>
                <w:rFonts w:ascii="Arial" w:cs="Arial" w:eastAsia="Arial" w:hAnsi="Arial"/>
                <w:sz w:val="18"/>
                <w:szCs w:val="18"/>
                <w:color w:val="auto"/>
              </w:rPr>
              <w:t>All Directors and Executive Officers as a Group (11 persons)</w:t>
            </w:r>
          </w:p>
        </w:tc>
        <w:tc>
          <w:tcPr>
            <w:tcW w:w="6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26,855,889</w:t>
            </w:r>
          </w:p>
        </w:tc>
        <w:tc>
          <w:tcPr>
            <w:tcW w:w="6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150495</wp:posOffset>
            </wp:positionV>
            <wp:extent cx="19723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85" w:lineRule="exact"/>
        <w:rPr>
          <w:sz w:val="20"/>
          <w:szCs w:val="20"/>
          <w:color w:val="auto"/>
        </w:rPr>
      </w:pPr>
    </w:p>
    <w:p>
      <w:pPr>
        <w:jc w:val="both"/>
        <w:ind w:left="580" w:hanging="572"/>
        <w:spacing w:after="0" w:line="218" w:lineRule="auto"/>
        <w:tabs>
          <w:tab w:leader="none" w:pos="5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 No shares have been pledged as security by the named executive officers, directors or director nominees.</w:t>
      </w:r>
    </w:p>
    <w:p>
      <w:pPr>
        <w:spacing w:after="0" w:line="213" w:lineRule="exact"/>
        <w:rPr>
          <w:rFonts w:ascii="Arial" w:cs="Arial" w:eastAsia="Arial" w:hAnsi="Arial"/>
          <w:sz w:val="29"/>
          <w:szCs w:val="29"/>
          <w:color w:val="auto"/>
          <w:vertAlign w:val="superscript"/>
        </w:rPr>
      </w:pPr>
    </w:p>
    <w:p>
      <w:pPr>
        <w:ind w:left="5620" w:hanging="93"/>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both"/>
        <w:ind w:left="580" w:hanging="572"/>
        <w:spacing w:after="0" w:line="210" w:lineRule="auto"/>
        <w:tabs>
          <w:tab w:leader="none" w:pos="5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13G/A filed with the Securities and Exchange Commission on January 22, 2009 by Altus Capital, LLC. Includes 2,346,114 shares as to which sole voting power and sole dispositive power is claimed. Includes 3,241,000 shares as to which shared voting power and shared dispositive power is claimed.</w:t>
      </w:r>
    </w:p>
    <w:p>
      <w:pPr>
        <w:spacing w:after="0" w:line="115" w:lineRule="exact"/>
        <w:rPr>
          <w:rFonts w:ascii="Arial" w:cs="Arial" w:eastAsia="Arial" w:hAnsi="Arial"/>
          <w:sz w:val="29"/>
          <w:szCs w:val="29"/>
          <w:color w:val="auto"/>
          <w:vertAlign w:val="superscript"/>
        </w:rPr>
      </w:pPr>
    </w:p>
    <w:p>
      <w:pPr>
        <w:jc w:val="both"/>
        <w:ind w:left="580" w:hanging="572"/>
        <w:spacing w:after="0" w:line="210" w:lineRule="auto"/>
        <w:tabs>
          <w:tab w:leader="none" w:pos="5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13G/A filed with the Securities and Exchange Commission on February 9, 2009 by Dimensional Fund Advisors LP, an investment advisor registered under Section 203 of the Investment Advisors Act of 1940. Includes 3,392,758 shares as to which sole voting power and 3,415,624 shares as to which sole dispositive power is claimed.</w:t>
      </w:r>
    </w:p>
    <w:p>
      <w:pPr>
        <w:spacing w:after="0" w:line="169" w:lineRule="exact"/>
        <w:rPr>
          <w:rFonts w:ascii="Arial" w:cs="Arial" w:eastAsia="Arial" w:hAnsi="Arial"/>
          <w:sz w:val="29"/>
          <w:szCs w:val="29"/>
          <w:color w:val="auto"/>
          <w:vertAlign w:val="superscript"/>
        </w:rPr>
      </w:pPr>
    </w:p>
    <w:p>
      <w:pPr>
        <w:jc w:val="both"/>
        <w:ind w:left="580" w:hanging="572"/>
        <w:spacing w:after="0" w:line="247" w:lineRule="auto"/>
        <w:tabs>
          <w:tab w:leader="none" w:pos="58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Includes 13,326,437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Also includes options to acquire 701,479 shares, which are exercisable on or within 60 days after March 1, 2009.</w:t>
      </w:r>
    </w:p>
    <w:p>
      <w:pPr>
        <w:spacing w:after="0" w:line="164" w:lineRule="exact"/>
        <w:rPr>
          <w:rFonts w:ascii="Arial" w:cs="Arial" w:eastAsia="Arial" w:hAnsi="Arial"/>
          <w:sz w:val="26"/>
          <w:szCs w:val="26"/>
          <w:color w:val="auto"/>
          <w:vertAlign w:val="superscript"/>
        </w:rPr>
      </w:pPr>
    </w:p>
    <w:p>
      <w:pPr>
        <w:ind w:left="580" w:hanging="572"/>
        <w:spacing w:after="0" w:line="194" w:lineRule="auto"/>
        <w:tabs>
          <w:tab w:leader="none" w:pos="5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Includes 6,260 shares held jointly with Mr. Faris’ spouse. Also includes options to acquire 797,121 shares, which are exercisable on or within 60 days after March 1, 2009.</w:t>
      </w:r>
    </w:p>
    <w:p>
      <w:pPr>
        <w:spacing w:after="0" w:line="170" w:lineRule="exact"/>
        <w:rPr>
          <w:rFonts w:ascii="Arial" w:cs="Arial" w:eastAsia="Arial" w:hAnsi="Arial"/>
          <w:sz w:val="29"/>
          <w:szCs w:val="29"/>
          <w:color w:val="auto"/>
          <w:vertAlign w:val="superscript"/>
        </w:rPr>
      </w:pPr>
    </w:p>
    <w:p>
      <w:pPr>
        <w:ind w:left="580" w:hanging="572"/>
        <w:spacing w:after="0" w:line="203" w:lineRule="auto"/>
        <w:tabs>
          <w:tab w:leader="none" w:pos="58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Includes 5,819,752 shares held by Wishco, Inc., a corporation controlled by Barry N. Wish pursuant to his ownership of 93% of the common stock thereof, and 37,000 shares held by the Barry Wish Family Foundation, Inc., a charitable foundation of which Mr. Wish is a director.</w:t>
      </w:r>
    </w:p>
    <w:p>
      <w:pPr>
        <w:spacing w:after="0" w:line="59" w:lineRule="exact"/>
        <w:rPr>
          <w:rFonts w:ascii="Arial" w:cs="Arial" w:eastAsia="Arial" w:hAnsi="Arial"/>
          <w:sz w:val="28"/>
          <w:szCs w:val="28"/>
          <w:color w:val="auto"/>
          <w:vertAlign w:val="superscript"/>
        </w:rPr>
      </w:pPr>
    </w:p>
    <w:p>
      <w:pPr>
        <w:ind w:left="580" w:hanging="572"/>
        <w:spacing w:after="0"/>
        <w:tabs>
          <w:tab w:leader="none" w:pos="5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Includes options to acquire 10,116 shares, which are exercisable on or within 60 days after March 1, 2009.</w:t>
      </w:r>
    </w:p>
    <w:p>
      <w:pPr>
        <w:spacing w:after="0" w:line="106" w:lineRule="exact"/>
        <w:rPr>
          <w:rFonts w:ascii="Arial" w:cs="Arial" w:eastAsia="Arial" w:hAnsi="Arial"/>
          <w:sz w:val="29"/>
          <w:szCs w:val="29"/>
          <w:color w:val="auto"/>
          <w:vertAlign w:val="superscript"/>
        </w:rPr>
      </w:pPr>
    </w:p>
    <w:p>
      <w:pPr>
        <w:ind w:left="580" w:hanging="572"/>
        <w:spacing w:after="0" w:line="205" w:lineRule="auto"/>
        <w:tabs>
          <w:tab w:leader="none" w:pos="5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Includes options to acquire 248,992 shares, which are exercisable on or within 60 days after March 1, 2009.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6"/>
              </w:rPr>
              <w:t>Number of securities to be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3"/>
              </w:rPr>
              <w:t>issued upon exercise of</w:t>
            </w:r>
          </w:p>
        </w:tc>
        <w:tc>
          <w:tcPr>
            <w:tcW w:w="320" w:type="dxa"/>
            <w:vAlign w:val="bottom"/>
          </w:tcPr>
          <w:p>
            <w:pPr>
              <w:spacing w:after="0"/>
              <w:rPr>
                <w:sz w:val="18"/>
                <w:szCs w:val="18"/>
                <w:color w:val="auto"/>
              </w:rPr>
            </w:pPr>
          </w:p>
        </w:tc>
        <w:tc>
          <w:tcPr>
            <w:tcW w:w="2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4"/>
              </w:rPr>
              <w:t>Weighted average exercise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 available for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5"/>
              </w:rPr>
              <w:t>outstanding options,</w:t>
            </w:r>
          </w:p>
        </w:tc>
        <w:tc>
          <w:tcPr>
            <w:tcW w:w="320" w:type="dxa"/>
            <w:vAlign w:val="bottom"/>
          </w:tcPr>
          <w:p>
            <w:pPr>
              <w:spacing w:after="0"/>
              <w:rPr>
                <w:sz w:val="18"/>
                <w:szCs w:val="18"/>
                <w:color w:val="auto"/>
              </w:rPr>
            </w:pPr>
          </w:p>
        </w:tc>
        <w:tc>
          <w:tcPr>
            <w:tcW w:w="24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price of outstanding options,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7"/>
              </w:rPr>
              <w:t>future issuance under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32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8"/>
              </w:rPr>
              <w:t>warrants and rights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warrants and rights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6"/>
              </w:rPr>
              <w:t>equity compensation plans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8"/>
              </w:rPr>
              <w:t>Equity compensation plans approved by security</w:t>
            </w:r>
          </w:p>
        </w:tc>
        <w:tc>
          <w:tcPr>
            <w:tcW w:w="320" w:type="dxa"/>
            <w:vAlign w:val="bottom"/>
            <w:shd w:val="clear" w:color="auto" w:fill="EAF9E8"/>
          </w:tcPr>
          <w:p>
            <w:pPr>
              <w:spacing w:after="0"/>
              <w:rPr>
                <w:sz w:val="17"/>
                <w:szCs w:val="17"/>
                <w:color w:val="auto"/>
              </w:rPr>
            </w:pPr>
          </w:p>
        </w:tc>
        <w:tc>
          <w:tcPr>
            <w:tcW w:w="204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94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0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holders</w:t>
            </w:r>
          </w:p>
        </w:tc>
        <w:tc>
          <w:tcPr>
            <w:tcW w:w="2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9,428,952</w:t>
            </w:r>
          </w:p>
        </w:tc>
        <w:tc>
          <w:tcPr>
            <w:tcW w:w="54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8.14</w:t>
            </w:r>
          </w:p>
        </w:tc>
        <w:tc>
          <w:tcPr>
            <w:tcW w:w="2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11,288,920</w:t>
            </w:r>
          </w:p>
        </w:tc>
        <w:tc>
          <w:tcPr>
            <w:tcW w:w="1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3860" w:type="dxa"/>
            <w:vAlign w:val="bottom"/>
            <w:gridSpan w:val="2"/>
          </w:tcPr>
          <w:p>
            <w:pPr>
              <w:spacing w:after="0"/>
              <w:rPr>
                <w:sz w:val="20"/>
                <w:szCs w:val="20"/>
                <w:color w:val="auto"/>
              </w:rPr>
            </w:pPr>
            <w:r>
              <w:rPr>
                <w:rFonts w:ascii="Arial" w:cs="Arial" w:eastAsia="Arial" w:hAnsi="Arial"/>
                <w:sz w:val="18"/>
                <w:szCs w:val="18"/>
                <w:color w:val="auto"/>
                <w:w w:val="92"/>
              </w:rPr>
              <w:t>Equity compensation plans not approved by security</w:t>
            </w: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holders</w:t>
            </w:r>
          </w:p>
        </w:tc>
        <w:tc>
          <w:tcPr>
            <w:tcW w:w="3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0" w:type="dxa"/>
            <w:vAlign w:val="bottom"/>
            <w:vMerge w:val="restart"/>
          </w:tcPr>
          <w:p>
            <w:pPr>
              <w:spacing w:after="0"/>
              <w:rPr>
                <w:sz w:val="24"/>
                <w:szCs w:val="24"/>
                <w:color w:val="auto"/>
              </w:rPr>
            </w:pPr>
          </w:p>
        </w:tc>
        <w:tc>
          <w:tcPr>
            <w:tcW w:w="384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540" w:type="dxa"/>
            <w:vAlign w:val="bottom"/>
            <w:gridSpan w:val="2"/>
          </w:tcPr>
          <w:p>
            <w:pPr>
              <w:spacing w:after="0"/>
              <w:rPr>
                <w:sz w:val="24"/>
                <w:szCs w:val="24"/>
                <w:color w:val="auto"/>
              </w:rPr>
            </w:pPr>
          </w:p>
        </w:tc>
        <w:tc>
          <w:tcPr>
            <w:tcW w:w="2260" w:type="dxa"/>
            <w:vAlign w:val="bottom"/>
            <w:gridSpan w:val="2"/>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EAF9E8"/>
          </w:tcPr>
          <w:p>
            <w:pPr>
              <w:spacing w:after="0"/>
              <w:rPr>
                <w:sz w:val="18"/>
                <w:szCs w:val="18"/>
                <w:color w:val="auto"/>
              </w:rPr>
            </w:pPr>
          </w:p>
        </w:tc>
        <w:tc>
          <w:tcPr>
            <w:tcW w:w="2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9,428,952</w:t>
            </w:r>
          </w:p>
        </w:tc>
        <w:tc>
          <w:tcPr>
            <w:tcW w:w="3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8.14</w:t>
            </w:r>
          </w:p>
        </w:tc>
        <w:tc>
          <w:tcPr>
            <w:tcW w:w="320" w:type="dxa"/>
            <w:vAlign w:val="bottom"/>
            <w:shd w:val="clear" w:color="auto" w:fill="EAF9E8"/>
          </w:tcPr>
          <w:p>
            <w:pPr>
              <w:spacing w:after="0"/>
              <w:rPr>
                <w:sz w:val="18"/>
                <w:szCs w:val="18"/>
                <w:color w:val="auto"/>
              </w:rPr>
            </w:pPr>
          </w:p>
        </w:tc>
        <w:tc>
          <w:tcPr>
            <w:tcW w:w="2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11,288,920</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Section 16(a) of the Exchange Act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16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To our knowledge, based solely upon review of the copies of such reports furnished to us and written representations that no other reports were required, all Section 16(a) filing requirements applicable to its executive officers, Directors and greater than 10% shareholders were complied with during 2008.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This section provides information regarding the following:</w:t>
      </w:r>
    </w:p>
    <w:p>
      <w:pPr>
        <w:spacing w:after="0" w:line="239" w:lineRule="exact"/>
        <w:rPr>
          <w:sz w:val="20"/>
          <w:szCs w:val="20"/>
          <w:color w:val="auto"/>
        </w:rPr>
      </w:pPr>
    </w:p>
    <w:p>
      <w:pPr>
        <w:ind w:left="1160" w:hanging="571"/>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compensation programs for our Chief Executive Officer, Chief Financial Officer and three other most highly compensated executive officers;</w:t>
      </w:r>
    </w:p>
    <w:p>
      <w:pPr>
        <w:spacing w:after="0" w:line="38" w:lineRule="exact"/>
        <w:rPr>
          <w:rFonts w:ascii="Arial" w:cs="Arial" w:eastAsia="Arial" w:hAnsi="Arial"/>
          <w:sz w:val="16"/>
          <w:szCs w:val="16"/>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element of compensation that we provide;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reasons for the compensation decisions we have made regarding these individuals.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2008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4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45"/>
        </w:trPr>
        <w:tc>
          <w:tcPr>
            <w:tcW w:w="4000" w:type="dxa"/>
            <w:vAlign w:val="bottom"/>
            <w:gridSpan w:val="2"/>
          </w:tcPr>
          <w:p>
            <w:pPr>
              <w:spacing w:after="0"/>
              <w:rPr>
                <w:sz w:val="21"/>
                <w:szCs w:val="21"/>
                <w:color w:val="auto"/>
              </w:rPr>
            </w:pPr>
          </w:p>
        </w:tc>
        <w:tc>
          <w:tcPr>
            <w:tcW w:w="7420" w:type="dxa"/>
            <w:vAlign w:val="bottom"/>
          </w:tcPr>
          <w:p>
            <w:pPr>
              <w:spacing w:after="0"/>
              <w:rPr>
                <w:sz w:val="21"/>
                <w:szCs w:val="21"/>
                <w:color w:val="auto"/>
              </w:rPr>
            </w:pPr>
          </w:p>
        </w:tc>
      </w:tr>
      <w:tr>
        <w:trPr>
          <w:trHeight w:val="201"/>
        </w:trPr>
        <w:tc>
          <w:tcPr>
            <w:tcW w:w="2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William C. Erbey</w:t>
            </w:r>
          </w:p>
        </w:tc>
        <w:tc>
          <w:tcPr>
            <w:tcW w:w="1700" w:type="dxa"/>
            <w:vAlign w:val="bottom"/>
          </w:tcPr>
          <w:p>
            <w:pPr>
              <w:spacing w:after="0"/>
              <w:rPr>
                <w:sz w:val="17"/>
                <w:szCs w:val="17"/>
                <w:color w:val="auto"/>
              </w:rPr>
            </w:pPr>
          </w:p>
        </w:tc>
        <w:tc>
          <w:tcPr>
            <w:tcW w:w="7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and Chief Executive Officer</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Ronald M. Faris</w:t>
            </w:r>
          </w:p>
        </w:tc>
        <w:tc>
          <w:tcPr>
            <w:tcW w:w="742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David J. Gunter</w:t>
            </w: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Paul A. Koches</w:t>
            </w: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William B. Shepro</w:t>
            </w:r>
          </w:p>
        </w:tc>
        <w:tc>
          <w:tcPr>
            <w:tcW w:w="7420" w:type="dxa"/>
            <w:vAlign w:val="bottom"/>
          </w:tcPr>
          <w:p>
            <w:pPr>
              <w:spacing w:after="0"/>
              <w:rPr>
                <w:sz w:val="20"/>
                <w:szCs w:val="20"/>
                <w:color w:val="auto"/>
              </w:rPr>
            </w:pPr>
            <w:r>
              <w:rPr>
                <w:rFonts w:ascii="Arial" w:cs="Arial" w:eastAsia="Arial" w:hAnsi="Arial"/>
                <w:sz w:val="18"/>
                <w:szCs w:val="18"/>
                <w:color w:val="auto"/>
              </w:rPr>
              <w:t>President and Chief Operating Officer of Ocwen Solutions</w:t>
            </w: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Compensation Philosophy and Objectives</w:t>
            </w:r>
          </w:p>
        </w:tc>
        <w:tc>
          <w:tcPr>
            <w:tcW w:w="7420" w:type="dxa"/>
            <w:vAlign w:val="bottom"/>
          </w:tcPr>
          <w:p>
            <w:pPr>
              <w:spacing w:after="0"/>
              <w:rPr>
                <w:sz w:val="24"/>
                <w:szCs w:val="24"/>
                <w:color w:val="auto"/>
              </w:rPr>
            </w:pPr>
          </w:p>
        </w:tc>
      </w:tr>
    </w:tbl>
    <w:p>
      <w:pPr>
        <w:spacing w:after="0" w:line="2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that the most effective executive compensation program is one that aligns executives’ interests with those of the shareholders by rewarding performance that achieves or exceeds specific annual, long-term and strategic goals, with the ultimate objective of improving shareholder value. We seek to promote individual service longevity and to provide our executives with long-term wealth accumulation opportunities to the extent Ocwen has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generally believe executive compensation packages should include both cash and equity-based compensation that rewards performance as measured against established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Compensation Committee of the Board of Directors oversees our executive compensation and benefit plans and practices while establishing management compensation policies and procedures to be reflected in the compensation program offered to our executive officers. The Compensation Committee also evaluates and makes recommendations to the Board of Directors for human resource and compensation matters relating to our executive officers.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is comprised of three directors, Messrs. Lacy, Korn and Wish. Mr. Lacy replaced Mr. Martin who retired from our Board of Directors on May 8, 2008, and Messrs. Korn and Wish served on the Committee throughout 2008. The members are elected annually, and Mr. Lacy serves as the Chairman of the Committee. Each member of the Compensation Committee is independent as defined in the listing standards of the New York Stock Exchange.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both"/>
        <w:spacing w:after="0" w:line="298" w:lineRule="auto"/>
        <w:rPr>
          <w:sz w:val="20"/>
          <w:szCs w:val="20"/>
          <w:color w:val="auto"/>
        </w:rPr>
      </w:pPr>
      <w:r>
        <w:rPr>
          <w:rFonts w:ascii="Arial" w:cs="Arial" w:eastAsia="Arial" w:hAnsi="Arial"/>
          <w:sz w:val="16"/>
          <w:szCs w:val="16"/>
          <w:color w:val="auto"/>
        </w:rPr>
        <w:t>The Compensation Committee operates under a written charter approved by the entire Board of Directors, a copy of which is available on our web site at www.ocwen.com. On an annual basis, the Compensation Committee evaluates its performance under the charter to ensure that it appropriately addresses the matters that are within the scope of Committee responsibility. When necessary, the Compensation Committee recommends amendments to its charter to the Board of Directors for approval. The charter was last reviewed by the Compensation Committee in January 2009.</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Corporate Secretary develops the meeting calendar for the year based on committee member availability and other relevant events within our corporate calendar. Compensation Committee meeting agendas are generally developed by our Corporate Secretary and our Compensation Committee Chairman. The Compensation Committee generally meets in executive session at each scheduled meeting. In 2008, the Compensation Committee approved the incentive compensation awards to eligible employees for service in 2007, as well as the compensation of the Chief Executive Officer. Additionally, the Committee reviewed the overall performance of the Chief Executive Officer in 2007 and approved an incentive award of cash for his performance. The Committee also approved the incentive compensation plan components, including the corporate scorecard setting forth the corporate key performance indicators and targeted levels of achievement for the 2008 year. Finally, the Compensation Committee reviewed and approved the Senior Management Equity Incentive Program pursuant to which all five of our named executive officers were granted options to purchase shares of our common stock. Thus far in 2009, the Compensation Committee has approved the incentive compensation awards for service in 2008 and the 2009 incentive compensation plan components for our executive officers.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has the authority to retain independent counsel or other advisers as it deems necessary in connection with its responsibilities at our expense. The Compensation Committee may request that any of our Directors, officers or employees, or other persons attend its meetings to provide advice, counsel or pertinent information as the committee requests.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Executive Vice President and Chief Administration Officer, who are typically present at Compensation Committee meetings.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Executive Vice President and Chief Administration Officer for development and execution.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231"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In 2008, in conjunction with the design and approval of the Senior Management Equity Incentive Program, the Compensation Committee retained Exequity, LLC, as an independent compensation consultant to the Committee. Exequity was consulted to provide guidance on the extent to which the Senior Management Equity Incentive Program is consistent with typical market practices at comparable companies and to provide an opinion as to the reasonableness of the program. Although Exequity worked with management to obtain information, it conducted a completely independent process and reported independently to the Committee.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current compensation package for our executive officers consists of base salary and annual incentive compensation. This compensation structure was developed in order to provide each executive officer with a competitive salary, while emphasizing an incentive compensation element that is tied to the achievement of corporate goals and strategic initiatives as well as individual performance. We have no employment agreements with our executive officers. We believe that the following elements of compensation are appropriate in light of our performance, industry, current challenges and environment.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jc w:val="both"/>
        <w:spacing w:after="0" w:line="288"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Base salaries for our executive officers are established based on individual qualifications and job responsibilities, while taking into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levels at similarly situated companies for similar positions. Base salaries of the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While the Compensation Committee sets the base salary for the Chief Executive Officer, the base salaries for all other executive officers are established and reviewed by the Chief Executive Officer and the Executive Vice President and Chief Administration Officer. In 2008, Mr. Erbey received no salary increase. Messrs. Faris, Gunter, Koches, and Shepro received base salary increases of 15%, 22%, 10% and 43%, respectively, based upon the results of benchmarking for their respective positions among peer companies.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Annual Incentive Compensation</w:t>
      </w:r>
      <w:r>
        <w:rPr>
          <w:rFonts w:ascii="Arial" w:cs="Arial" w:eastAsia="Arial" w:hAnsi="Arial"/>
          <w:sz w:val="18"/>
          <w:szCs w:val="18"/>
          <w:color w:val="auto"/>
        </w:rPr>
        <w:t>. Ocwen’s primary incentive compensation plan for executives is the 1998 Annual Incentive Plan, as amended, which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approved by our shareholders. Pursuant to the plan, a participant can earn cash, restricted stock and stock option awards as determined by the Compensation Committee. The plan provides the Compensation Committee and our management with the authority to establish incentive award guidelines, which are further discussed below.</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executive officer has a targeted annual incentive award that is expressed as a percentage of total target compensation for each executive officer. At the executive level in 2008, 40-65% of total target compensation was payable only upon achievement of certain minimum company and individual performance levels. The appropriate percentage is determined from benchmarking results and varies depending on the nature and scope of each executive officer’s responsibilities. The table below reflects the percentage of each executive officer’s target total compensation that was allocated to each of base salary and incentive compensation in 2008 and each executive officer’s actual total compensation that was allocated to each of base salary and incentive compensation in 2008: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Incentive</w:t>
            </w: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Base Salary % of</w:t>
            </w:r>
          </w:p>
        </w:tc>
        <w:tc>
          <w:tcPr>
            <w:tcW w:w="3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Compensation %</w:t>
            </w:r>
          </w:p>
        </w:tc>
        <w:tc>
          <w:tcPr>
            <w:tcW w:w="3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Base Salary % of</w:t>
            </w:r>
          </w:p>
        </w:tc>
        <w:tc>
          <w:tcPr>
            <w:tcW w:w="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Compensation %</w:t>
            </w: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Target Total</w:t>
            </w:r>
          </w:p>
        </w:tc>
        <w:tc>
          <w:tcPr>
            <w:tcW w:w="3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of Target Total</w:t>
            </w:r>
          </w:p>
        </w:tc>
        <w:tc>
          <w:tcPr>
            <w:tcW w:w="3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Actual Total</w:t>
            </w:r>
          </w:p>
        </w:tc>
        <w:tc>
          <w:tcPr>
            <w:tcW w:w="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of Actual Total</w:t>
            </w:r>
          </w:p>
        </w:tc>
        <w:tc>
          <w:tcPr>
            <w:tcW w:w="100" w:type="dxa"/>
            <w:vAlign w:val="bottom"/>
          </w:tcPr>
          <w:p>
            <w:pPr>
              <w:spacing w:after="0"/>
              <w:rPr>
                <w:sz w:val="18"/>
                <w:szCs w:val="18"/>
                <w:color w:val="auto"/>
              </w:rPr>
            </w:pPr>
          </w:p>
        </w:tc>
      </w:tr>
      <w:tr>
        <w:trPr>
          <w:trHeight w:val="228"/>
        </w:trPr>
        <w:tc>
          <w:tcPr>
            <w:tcW w:w="2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 in 2008</w:t>
            </w:r>
          </w:p>
        </w:tc>
        <w:tc>
          <w:tcPr>
            <w:tcW w:w="36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 in 2008</w:t>
            </w:r>
          </w:p>
        </w:tc>
        <w:tc>
          <w:tcPr>
            <w:tcW w:w="3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in 2008</w:t>
            </w:r>
          </w:p>
        </w:tc>
        <w:tc>
          <w:tcPr>
            <w:tcW w:w="3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in 2008</w:t>
            </w:r>
          </w:p>
        </w:tc>
        <w:tc>
          <w:tcPr>
            <w:tcW w:w="100" w:type="dxa"/>
            <w:vAlign w:val="bottom"/>
          </w:tcPr>
          <w:p>
            <w:pPr>
              <w:spacing w:after="0"/>
              <w:rPr>
                <w:sz w:val="19"/>
                <w:szCs w:val="19"/>
                <w:color w:val="auto"/>
              </w:rPr>
            </w:pPr>
          </w:p>
        </w:tc>
      </w:tr>
      <w:tr>
        <w:trPr>
          <w:trHeight w:val="245"/>
        </w:trPr>
        <w:tc>
          <w:tcPr>
            <w:tcW w:w="274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274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360" w:type="dxa"/>
            <w:vAlign w:val="bottom"/>
            <w:shd w:val="clear" w:color="auto" w:fill="EAF9E8"/>
          </w:tcPr>
          <w:p>
            <w:pPr>
              <w:spacing w:after="0"/>
              <w:rPr>
                <w:sz w:val="18"/>
                <w:szCs w:val="18"/>
                <w:color w:val="auto"/>
              </w:rPr>
            </w:pPr>
          </w:p>
        </w:tc>
        <w:tc>
          <w:tcPr>
            <w:tcW w:w="1720" w:type="dxa"/>
            <w:vAlign w:val="bottom"/>
            <w:shd w:val="clear" w:color="auto" w:fill="EAF9E8"/>
          </w:tcPr>
          <w:p>
            <w:pPr>
              <w:jc w:val="right"/>
              <w:ind w:right="572"/>
              <w:spacing w:after="0"/>
              <w:rPr>
                <w:sz w:val="20"/>
                <w:szCs w:val="20"/>
                <w:color w:val="auto"/>
              </w:rPr>
            </w:pPr>
            <w:r>
              <w:rPr>
                <w:rFonts w:ascii="Arial" w:cs="Arial" w:eastAsia="Arial" w:hAnsi="Arial"/>
                <w:sz w:val="18"/>
                <w:szCs w:val="18"/>
                <w:color w:val="auto"/>
              </w:rPr>
              <w:t>35%</w:t>
            </w:r>
          </w:p>
        </w:tc>
        <w:tc>
          <w:tcPr>
            <w:tcW w:w="360" w:type="dxa"/>
            <w:vAlign w:val="bottom"/>
            <w:shd w:val="clear" w:color="auto" w:fill="EAF9E8"/>
          </w:tcPr>
          <w:p>
            <w:pPr>
              <w:spacing w:after="0"/>
              <w:rPr>
                <w:sz w:val="18"/>
                <w:szCs w:val="18"/>
                <w:color w:val="auto"/>
              </w:rPr>
            </w:pPr>
          </w:p>
        </w:tc>
        <w:tc>
          <w:tcPr>
            <w:tcW w:w="1940" w:type="dxa"/>
            <w:vAlign w:val="bottom"/>
            <w:shd w:val="clear" w:color="auto" w:fill="EAF9E8"/>
          </w:tcPr>
          <w:p>
            <w:pPr>
              <w:jc w:val="right"/>
              <w:ind w:right="672"/>
              <w:spacing w:after="0"/>
              <w:rPr>
                <w:sz w:val="20"/>
                <w:szCs w:val="20"/>
                <w:color w:val="auto"/>
              </w:rPr>
            </w:pPr>
            <w:r>
              <w:rPr>
                <w:rFonts w:ascii="Arial" w:cs="Arial" w:eastAsia="Arial" w:hAnsi="Arial"/>
                <w:sz w:val="18"/>
                <w:szCs w:val="18"/>
                <w:color w:val="auto"/>
              </w:rPr>
              <w:t>65%</w:t>
            </w:r>
          </w:p>
        </w:tc>
        <w:tc>
          <w:tcPr>
            <w:tcW w:w="320" w:type="dxa"/>
            <w:vAlign w:val="bottom"/>
            <w:shd w:val="clear" w:color="auto" w:fill="EAF9E8"/>
          </w:tcPr>
          <w:p>
            <w:pPr>
              <w:spacing w:after="0"/>
              <w:rPr>
                <w:sz w:val="18"/>
                <w:szCs w:val="18"/>
                <w:color w:val="auto"/>
              </w:rPr>
            </w:pPr>
          </w:p>
        </w:tc>
        <w:tc>
          <w:tcPr>
            <w:tcW w:w="1720" w:type="dxa"/>
            <w:vAlign w:val="bottom"/>
            <w:shd w:val="clear" w:color="auto" w:fill="EAF9E8"/>
          </w:tcPr>
          <w:p>
            <w:pPr>
              <w:jc w:val="right"/>
              <w:ind w:right="572"/>
              <w:spacing w:after="0"/>
              <w:rPr>
                <w:sz w:val="20"/>
                <w:szCs w:val="20"/>
                <w:color w:val="auto"/>
              </w:rPr>
            </w:pPr>
            <w:r>
              <w:rPr>
                <w:rFonts w:ascii="Arial" w:cs="Arial" w:eastAsia="Arial" w:hAnsi="Arial"/>
                <w:sz w:val="18"/>
                <w:szCs w:val="18"/>
                <w:color w:val="auto"/>
              </w:rPr>
              <w:t>30%</w:t>
            </w:r>
          </w:p>
        </w:tc>
        <w:tc>
          <w:tcPr>
            <w:tcW w:w="320" w:type="dxa"/>
            <w:vAlign w:val="bottom"/>
            <w:shd w:val="clear" w:color="auto" w:fill="EAF9E8"/>
          </w:tcPr>
          <w:p>
            <w:pPr>
              <w:spacing w:after="0"/>
              <w:rPr>
                <w:sz w:val="18"/>
                <w:szCs w:val="18"/>
                <w:color w:val="auto"/>
              </w:rPr>
            </w:pPr>
          </w:p>
        </w:tc>
        <w:tc>
          <w:tcPr>
            <w:tcW w:w="1840" w:type="dxa"/>
            <w:vAlign w:val="bottom"/>
            <w:shd w:val="clear" w:color="auto" w:fill="EAF9E8"/>
          </w:tcPr>
          <w:p>
            <w:pPr>
              <w:jc w:val="right"/>
              <w:ind w:right="572"/>
              <w:spacing w:after="0"/>
              <w:rPr>
                <w:sz w:val="20"/>
                <w:szCs w:val="20"/>
                <w:color w:val="auto"/>
              </w:rPr>
            </w:pPr>
            <w:r>
              <w:rPr>
                <w:rFonts w:ascii="Arial" w:cs="Arial" w:eastAsia="Arial" w:hAnsi="Arial"/>
                <w:sz w:val="18"/>
                <w:szCs w:val="18"/>
                <w:color w:val="auto"/>
              </w:rPr>
              <w:t>70%</w:t>
            </w:r>
          </w:p>
        </w:tc>
        <w:tc>
          <w:tcPr>
            <w:tcW w:w="100" w:type="dxa"/>
            <w:vAlign w:val="bottom"/>
            <w:shd w:val="clear" w:color="auto" w:fill="EAF9E8"/>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Ronald M. Faris</w:t>
            </w:r>
          </w:p>
        </w:tc>
        <w:tc>
          <w:tcPr>
            <w:tcW w:w="2080" w:type="dxa"/>
            <w:vAlign w:val="bottom"/>
            <w:gridSpan w:val="2"/>
          </w:tcPr>
          <w:p>
            <w:pPr>
              <w:jc w:val="right"/>
              <w:ind w:right="572"/>
              <w:spacing w:after="0"/>
              <w:rPr>
                <w:sz w:val="20"/>
                <w:szCs w:val="20"/>
                <w:color w:val="auto"/>
              </w:rPr>
            </w:pPr>
            <w:r>
              <w:rPr>
                <w:rFonts w:ascii="Arial" w:cs="Arial" w:eastAsia="Arial" w:hAnsi="Arial"/>
                <w:sz w:val="18"/>
                <w:szCs w:val="18"/>
                <w:color w:val="auto"/>
              </w:rPr>
              <w:t>40%</w:t>
            </w:r>
          </w:p>
        </w:tc>
        <w:tc>
          <w:tcPr>
            <w:tcW w:w="2300" w:type="dxa"/>
            <w:vAlign w:val="bottom"/>
            <w:gridSpan w:val="2"/>
          </w:tcPr>
          <w:p>
            <w:pPr>
              <w:jc w:val="right"/>
              <w:ind w:right="672"/>
              <w:spacing w:after="0"/>
              <w:rPr>
                <w:sz w:val="20"/>
                <w:szCs w:val="20"/>
                <w:color w:val="auto"/>
              </w:rPr>
            </w:pPr>
            <w:r>
              <w:rPr>
                <w:rFonts w:ascii="Arial" w:cs="Arial" w:eastAsia="Arial" w:hAnsi="Arial"/>
                <w:sz w:val="18"/>
                <w:szCs w:val="18"/>
                <w:color w:val="auto"/>
              </w:rPr>
              <w:t>60%</w:t>
            </w:r>
          </w:p>
        </w:tc>
        <w:tc>
          <w:tcPr>
            <w:tcW w:w="2040" w:type="dxa"/>
            <w:vAlign w:val="bottom"/>
            <w:gridSpan w:val="2"/>
          </w:tcPr>
          <w:p>
            <w:pPr>
              <w:jc w:val="right"/>
              <w:ind w:right="572"/>
              <w:spacing w:after="0"/>
              <w:rPr>
                <w:sz w:val="20"/>
                <w:szCs w:val="20"/>
                <w:color w:val="auto"/>
              </w:rPr>
            </w:pPr>
            <w:r>
              <w:rPr>
                <w:rFonts w:ascii="Arial" w:cs="Arial" w:eastAsia="Arial" w:hAnsi="Arial"/>
                <w:sz w:val="18"/>
                <w:szCs w:val="18"/>
                <w:color w:val="auto"/>
              </w:rPr>
              <w:t>34%</w:t>
            </w:r>
          </w:p>
        </w:tc>
        <w:tc>
          <w:tcPr>
            <w:tcW w:w="2160" w:type="dxa"/>
            <w:vAlign w:val="bottom"/>
            <w:gridSpan w:val="2"/>
          </w:tcPr>
          <w:p>
            <w:pPr>
              <w:jc w:val="right"/>
              <w:ind w:right="57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16"/>
        </w:trPr>
        <w:tc>
          <w:tcPr>
            <w:tcW w:w="2740" w:type="dxa"/>
            <w:vAlign w:val="bottom"/>
            <w:shd w:val="clear" w:color="auto" w:fill="EAF9E8"/>
          </w:tcPr>
          <w:p>
            <w:pPr>
              <w:spacing w:after="0"/>
              <w:rPr>
                <w:sz w:val="20"/>
                <w:szCs w:val="20"/>
                <w:color w:val="auto"/>
              </w:rPr>
            </w:pPr>
            <w:r>
              <w:rPr>
                <w:rFonts w:ascii="Arial" w:cs="Arial" w:eastAsia="Arial" w:hAnsi="Arial"/>
                <w:sz w:val="18"/>
                <w:szCs w:val="18"/>
                <w:color w:val="auto"/>
              </w:rPr>
              <w:t>David J. Gunter</w:t>
            </w:r>
          </w:p>
        </w:tc>
        <w:tc>
          <w:tcPr>
            <w:tcW w:w="2080" w:type="dxa"/>
            <w:vAlign w:val="bottom"/>
            <w:gridSpan w:val="2"/>
            <w:shd w:val="clear" w:color="auto" w:fill="EAF9E8"/>
          </w:tcPr>
          <w:p>
            <w:pPr>
              <w:jc w:val="right"/>
              <w:ind w:right="572"/>
              <w:spacing w:after="0"/>
              <w:rPr>
                <w:sz w:val="20"/>
                <w:szCs w:val="20"/>
                <w:color w:val="auto"/>
              </w:rPr>
            </w:pPr>
            <w:r>
              <w:rPr>
                <w:rFonts w:ascii="Arial" w:cs="Arial" w:eastAsia="Arial" w:hAnsi="Arial"/>
                <w:sz w:val="18"/>
                <w:szCs w:val="18"/>
                <w:color w:val="auto"/>
              </w:rPr>
              <w:t>40%</w:t>
            </w:r>
          </w:p>
        </w:tc>
        <w:tc>
          <w:tcPr>
            <w:tcW w:w="2300" w:type="dxa"/>
            <w:vAlign w:val="bottom"/>
            <w:gridSpan w:val="2"/>
            <w:shd w:val="clear" w:color="auto" w:fill="EAF9E8"/>
          </w:tcPr>
          <w:p>
            <w:pPr>
              <w:jc w:val="right"/>
              <w:ind w:right="672"/>
              <w:spacing w:after="0"/>
              <w:rPr>
                <w:sz w:val="20"/>
                <w:szCs w:val="20"/>
                <w:color w:val="auto"/>
              </w:rPr>
            </w:pPr>
            <w:r>
              <w:rPr>
                <w:rFonts w:ascii="Arial" w:cs="Arial" w:eastAsia="Arial" w:hAnsi="Arial"/>
                <w:sz w:val="18"/>
                <w:szCs w:val="18"/>
                <w:color w:val="auto"/>
              </w:rPr>
              <w:t>60%</w:t>
            </w:r>
          </w:p>
        </w:tc>
        <w:tc>
          <w:tcPr>
            <w:tcW w:w="2040" w:type="dxa"/>
            <w:vAlign w:val="bottom"/>
            <w:gridSpan w:val="2"/>
            <w:shd w:val="clear" w:color="auto" w:fill="EAF9E8"/>
          </w:tcPr>
          <w:p>
            <w:pPr>
              <w:jc w:val="right"/>
              <w:ind w:right="572"/>
              <w:spacing w:after="0"/>
              <w:rPr>
                <w:sz w:val="20"/>
                <w:szCs w:val="20"/>
                <w:color w:val="auto"/>
              </w:rPr>
            </w:pPr>
            <w:r>
              <w:rPr>
                <w:rFonts w:ascii="Arial" w:cs="Arial" w:eastAsia="Arial" w:hAnsi="Arial"/>
                <w:sz w:val="18"/>
                <w:szCs w:val="18"/>
                <w:color w:val="auto"/>
              </w:rPr>
              <w:t>37%</w:t>
            </w:r>
          </w:p>
        </w:tc>
        <w:tc>
          <w:tcPr>
            <w:tcW w:w="2160" w:type="dxa"/>
            <w:vAlign w:val="bottom"/>
            <w:gridSpan w:val="2"/>
            <w:shd w:val="clear" w:color="auto" w:fill="EAF9E8"/>
          </w:tcPr>
          <w:p>
            <w:pPr>
              <w:jc w:val="right"/>
              <w:ind w:right="57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EAF9E8"/>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Paul A. Koches</w:t>
            </w:r>
          </w:p>
        </w:tc>
        <w:tc>
          <w:tcPr>
            <w:tcW w:w="2080" w:type="dxa"/>
            <w:vAlign w:val="bottom"/>
            <w:gridSpan w:val="2"/>
          </w:tcPr>
          <w:p>
            <w:pPr>
              <w:jc w:val="right"/>
              <w:ind w:right="572"/>
              <w:spacing w:after="0"/>
              <w:rPr>
                <w:sz w:val="20"/>
                <w:szCs w:val="20"/>
                <w:color w:val="auto"/>
              </w:rPr>
            </w:pPr>
            <w:r>
              <w:rPr>
                <w:rFonts w:ascii="Arial" w:cs="Arial" w:eastAsia="Arial" w:hAnsi="Arial"/>
                <w:sz w:val="18"/>
                <w:szCs w:val="18"/>
                <w:color w:val="auto"/>
              </w:rPr>
              <w:t>45%</w:t>
            </w:r>
          </w:p>
        </w:tc>
        <w:tc>
          <w:tcPr>
            <w:tcW w:w="2300" w:type="dxa"/>
            <w:vAlign w:val="bottom"/>
            <w:gridSpan w:val="2"/>
          </w:tcPr>
          <w:p>
            <w:pPr>
              <w:jc w:val="right"/>
              <w:ind w:right="672"/>
              <w:spacing w:after="0"/>
              <w:rPr>
                <w:sz w:val="20"/>
                <w:szCs w:val="20"/>
                <w:color w:val="auto"/>
              </w:rPr>
            </w:pPr>
            <w:r>
              <w:rPr>
                <w:rFonts w:ascii="Arial" w:cs="Arial" w:eastAsia="Arial" w:hAnsi="Arial"/>
                <w:sz w:val="18"/>
                <w:szCs w:val="18"/>
                <w:color w:val="auto"/>
              </w:rPr>
              <w:t>55%</w:t>
            </w:r>
          </w:p>
        </w:tc>
        <w:tc>
          <w:tcPr>
            <w:tcW w:w="2040" w:type="dxa"/>
            <w:vAlign w:val="bottom"/>
            <w:gridSpan w:val="2"/>
          </w:tcPr>
          <w:p>
            <w:pPr>
              <w:jc w:val="right"/>
              <w:ind w:right="572"/>
              <w:spacing w:after="0"/>
              <w:rPr>
                <w:sz w:val="20"/>
                <w:szCs w:val="20"/>
                <w:color w:val="auto"/>
              </w:rPr>
            </w:pPr>
            <w:r>
              <w:rPr>
                <w:rFonts w:ascii="Arial" w:cs="Arial" w:eastAsia="Arial" w:hAnsi="Arial"/>
                <w:sz w:val="18"/>
                <w:szCs w:val="18"/>
                <w:color w:val="auto"/>
              </w:rPr>
              <w:t>43%</w:t>
            </w:r>
          </w:p>
        </w:tc>
        <w:tc>
          <w:tcPr>
            <w:tcW w:w="2160" w:type="dxa"/>
            <w:vAlign w:val="bottom"/>
            <w:gridSpan w:val="2"/>
          </w:tcPr>
          <w:p>
            <w:pPr>
              <w:jc w:val="right"/>
              <w:ind w:right="57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16"/>
        </w:trPr>
        <w:tc>
          <w:tcPr>
            <w:tcW w:w="2740" w:type="dxa"/>
            <w:vAlign w:val="bottom"/>
            <w:shd w:val="clear" w:color="auto" w:fill="EAF9E8"/>
          </w:tcPr>
          <w:p>
            <w:pPr>
              <w:spacing w:after="0"/>
              <w:rPr>
                <w:sz w:val="20"/>
                <w:szCs w:val="20"/>
                <w:color w:val="auto"/>
              </w:rPr>
            </w:pPr>
            <w:r>
              <w:rPr>
                <w:rFonts w:ascii="Arial" w:cs="Arial" w:eastAsia="Arial" w:hAnsi="Arial"/>
                <w:sz w:val="18"/>
                <w:szCs w:val="18"/>
                <w:color w:val="auto"/>
              </w:rPr>
              <w:t>William B. Shepro</w:t>
            </w:r>
          </w:p>
        </w:tc>
        <w:tc>
          <w:tcPr>
            <w:tcW w:w="2080" w:type="dxa"/>
            <w:vAlign w:val="bottom"/>
            <w:gridSpan w:val="2"/>
            <w:shd w:val="clear" w:color="auto" w:fill="EAF9E8"/>
          </w:tcPr>
          <w:p>
            <w:pPr>
              <w:jc w:val="right"/>
              <w:ind w:right="572"/>
              <w:spacing w:after="0"/>
              <w:rPr>
                <w:sz w:val="20"/>
                <w:szCs w:val="20"/>
                <w:color w:val="auto"/>
              </w:rPr>
            </w:pPr>
            <w:r>
              <w:rPr>
                <w:rFonts w:ascii="Arial" w:cs="Arial" w:eastAsia="Arial" w:hAnsi="Arial"/>
                <w:sz w:val="18"/>
                <w:szCs w:val="18"/>
                <w:color w:val="auto"/>
              </w:rPr>
              <w:t>40%</w:t>
            </w:r>
          </w:p>
        </w:tc>
        <w:tc>
          <w:tcPr>
            <w:tcW w:w="2300" w:type="dxa"/>
            <w:vAlign w:val="bottom"/>
            <w:gridSpan w:val="2"/>
            <w:shd w:val="clear" w:color="auto" w:fill="EAF9E8"/>
          </w:tcPr>
          <w:p>
            <w:pPr>
              <w:jc w:val="right"/>
              <w:ind w:right="672"/>
              <w:spacing w:after="0"/>
              <w:rPr>
                <w:sz w:val="20"/>
                <w:szCs w:val="20"/>
                <w:color w:val="auto"/>
              </w:rPr>
            </w:pPr>
            <w:r>
              <w:rPr>
                <w:rFonts w:ascii="Arial" w:cs="Arial" w:eastAsia="Arial" w:hAnsi="Arial"/>
                <w:sz w:val="18"/>
                <w:szCs w:val="18"/>
                <w:color w:val="auto"/>
              </w:rPr>
              <w:t>60%</w:t>
            </w:r>
          </w:p>
        </w:tc>
        <w:tc>
          <w:tcPr>
            <w:tcW w:w="2040" w:type="dxa"/>
            <w:vAlign w:val="bottom"/>
            <w:gridSpan w:val="2"/>
            <w:shd w:val="clear" w:color="auto" w:fill="EAF9E8"/>
          </w:tcPr>
          <w:p>
            <w:pPr>
              <w:jc w:val="right"/>
              <w:ind w:right="572"/>
              <w:spacing w:after="0"/>
              <w:rPr>
                <w:sz w:val="20"/>
                <w:szCs w:val="20"/>
                <w:color w:val="auto"/>
              </w:rPr>
            </w:pPr>
            <w:r>
              <w:rPr>
                <w:rFonts w:ascii="Arial" w:cs="Arial" w:eastAsia="Arial" w:hAnsi="Arial"/>
                <w:sz w:val="18"/>
                <w:szCs w:val="18"/>
                <w:color w:val="auto"/>
              </w:rPr>
              <w:t>36%</w:t>
            </w:r>
          </w:p>
        </w:tc>
        <w:tc>
          <w:tcPr>
            <w:tcW w:w="2160" w:type="dxa"/>
            <w:vAlign w:val="bottom"/>
            <w:gridSpan w:val="2"/>
            <w:shd w:val="clear" w:color="auto" w:fill="EAF9E8"/>
          </w:tcPr>
          <w:p>
            <w:pPr>
              <w:jc w:val="right"/>
              <w:ind w:right="572"/>
              <w:spacing w:after="0"/>
              <w:rPr>
                <w:sz w:val="20"/>
                <w:szCs w:val="20"/>
                <w:color w:val="auto"/>
              </w:rPr>
            </w:pPr>
            <w:r>
              <w:rPr>
                <w:rFonts w:ascii="Arial" w:cs="Arial" w:eastAsia="Arial" w:hAnsi="Arial"/>
                <w:sz w:val="18"/>
                <w:szCs w:val="18"/>
                <w:color w:val="auto"/>
              </w:rPr>
              <w:t>64%</w:t>
            </w:r>
          </w:p>
        </w:tc>
        <w:tc>
          <w:tcPr>
            <w:tcW w:w="100" w:type="dxa"/>
            <w:vAlign w:val="bottom"/>
            <w:shd w:val="clear" w:color="auto" w:fill="EAF9E8"/>
          </w:tcPr>
          <w:p>
            <w:pPr>
              <w:spacing w:after="0"/>
              <w:rPr>
                <w:sz w:val="18"/>
                <w:szCs w:val="18"/>
                <w:color w:val="auto"/>
              </w:rPr>
            </w:pPr>
          </w:p>
        </w:tc>
      </w:tr>
    </w:tbl>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annual incentive-based cash executive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corporate performance and long-term shareholder value. This corporate scorecard is approved annually by the Compensation Committee and/or the full Board of Directors and is utilized by the Compensation Committee as a factor to determine the appropriate amount of incentive compensation to be paid to the Chief Executive Officer. During development of the corporate scorecard each year, the Compensation Committee considers the level of difficulty associated with attainment of each goal in the scorecard. The intent of the Compensation Committee is to establish the Target goal at a level that would require extraordinary effort to achieve.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Our corporate scorecard for 2008 and corresponding achievement levels are detailed below:</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2008 Corporate Scorecard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Achievement Levels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Element</w:t>
            </w: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Threshold</w:t>
            </w:r>
          </w:p>
        </w:tc>
        <w:tc>
          <w:tcPr>
            <w:tcW w:w="24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Target</w:t>
            </w:r>
          </w:p>
        </w:tc>
        <w:tc>
          <w:tcPr>
            <w:tcW w:w="24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86"/>
              </w:rPr>
              <w:t>Level Achieved</w:t>
            </w:r>
          </w:p>
        </w:tc>
        <w:tc>
          <w:tcPr>
            <w:tcW w:w="0" w:type="dxa"/>
            <w:vAlign w:val="bottom"/>
          </w:tcPr>
          <w:p>
            <w:pPr>
              <w:spacing w:after="0"/>
              <w:rPr>
                <w:sz w:val="1"/>
                <w:szCs w:val="1"/>
                <w:color w:val="auto"/>
              </w:rPr>
            </w:pPr>
          </w:p>
        </w:tc>
      </w:tr>
      <w:tr>
        <w:trPr>
          <w:trHeight w:val="217"/>
        </w:trPr>
        <w:tc>
          <w:tcPr>
            <w:tcW w:w="21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40" w:type="dxa"/>
            <w:vAlign w:val="bottom"/>
            <w:gridSpan w:val="2"/>
            <w:shd w:val="clear" w:color="auto" w:fill="EAF9E8"/>
          </w:tcPr>
          <w:p>
            <w:pPr>
              <w:spacing w:after="0"/>
              <w:rPr>
                <w:sz w:val="20"/>
                <w:szCs w:val="20"/>
                <w:color w:val="auto"/>
              </w:rPr>
            </w:pPr>
            <w:r>
              <w:rPr>
                <w:rFonts w:ascii="Arial" w:cs="Arial" w:eastAsia="Arial" w:hAnsi="Arial"/>
                <w:sz w:val="14"/>
                <w:szCs w:val="14"/>
                <w:color w:val="auto"/>
              </w:rPr>
              <w:t>Achieving a pre-tax net income target</w:t>
            </w:r>
          </w:p>
        </w:tc>
        <w:tc>
          <w:tcPr>
            <w:tcW w:w="208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$62.5 million</w:t>
            </w:r>
          </w:p>
        </w:tc>
        <w:tc>
          <w:tcPr>
            <w:tcW w:w="240" w:type="dxa"/>
            <w:vAlign w:val="bottom"/>
            <w:shd w:val="clear" w:color="auto" w:fill="EAF9E8"/>
          </w:tcPr>
          <w:p>
            <w:pPr>
              <w:spacing w:after="0"/>
              <w:rPr>
                <w:sz w:val="14"/>
                <w:szCs w:val="14"/>
                <w:color w:val="auto"/>
              </w:rPr>
            </w:pPr>
          </w:p>
        </w:tc>
        <w:tc>
          <w:tcPr>
            <w:tcW w:w="208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$78.1 million</w:t>
            </w:r>
          </w:p>
        </w:tc>
        <w:tc>
          <w:tcPr>
            <w:tcW w:w="240" w:type="dxa"/>
            <w:vAlign w:val="bottom"/>
            <w:shd w:val="clear" w:color="auto" w:fill="EAF9E8"/>
          </w:tcPr>
          <w:p>
            <w:pPr>
              <w:spacing w:after="0"/>
              <w:rPr>
                <w:sz w:val="14"/>
                <w:szCs w:val="14"/>
                <w:color w:val="auto"/>
              </w:rPr>
            </w:pPr>
          </w:p>
        </w:tc>
        <w:tc>
          <w:tcPr>
            <w:tcW w:w="210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$93.7 million</w:t>
            </w:r>
          </w:p>
        </w:tc>
        <w:tc>
          <w:tcPr>
            <w:tcW w:w="220" w:type="dxa"/>
            <w:vAlign w:val="bottom"/>
            <w:shd w:val="clear" w:color="auto" w:fill="EAF9E8"/>
          </w:tcPr>
          <w:p>
            <w:pPr>
              <w:spacing w:after="0"/>
              <w:rPr>
                <w:sz w:val="14"/>
                <w:szCs w:val="14"/>
                <w:color w:val="auto"/>
              </w:rPr>
            </w:pPr>
          </w:p>
        </w:tc>
        <w:tc>
          <w:tcPr>
            <w:tcW w:w="2120" w:type="dxa"/>
            <w:vAlign w:val="bottom"/>
            <w:shd w:val="clear" w:color="auto" w:fill="EAF9E8"/>
          </w:tcPr>
          <w:p>
            <w:pPr>
              <w:jc w:val="center"/>
              <w:spacing w:after="0" w:line="169" w:lineRule="exact"/>
              <w:rPr>
                <w:sz w:val="20"/>
                <w:szCs w:val="20"/>
                <w:color w:val="auto"/>
              </w:rPr>
            </w:pPr>
            <w:r>
              <w:rPr>
                <w:rFonts w:ascii="Arial" w:cs="Arial" w:eastAsia="Arial" w:hAnsi="Arial"/>
                <w:sz w:val="12"/>
                <w:szCs w:val="12"/>
                <w:color w:val="auto"/>
              </w:rPr>
              <w:t xml:space="preserve">$89.4 million </w:t>
            </w:r>
            <w:r>
              <w:rPr>
                <w:rFonts w:ascii="Arial" w:cs="Arial" w:eastAsia="Arial" w:hAnsi="Arial"/>
                <w:sz w:val="19"/>
                <w:szCs w:val="19"/>
                <w:color w:val="auto"/>
                <w:vertAlign w:val="superscript"/>
              </w:rPr>
              <w:t>(1)</w:t>
            </w:r>
          </w:p>
        </w:tc>
        <w:tc>
          <w:tcPr>
            <w:tcW w:w="0" w:type="dxa"/>
            <w:vAlign w:val="bottom"/>
          </w:tcPr>
          <w:p>
            <w:pPr>
              <w:spacing w:after="0"/>
              <w:rPr>
                <w:sz w:val="1"/>
                <w:szCs w:val="1"/>
                <w:color w:val="auto"/>
              </w:rPr>
            </w:pPr>
          </w:p>
        </w:tc>
      </w:tr>
      <w:tr>
        <w:trPr>
          <w:trHeight w:val="150"/>
        </w:trPr>
        <w:tc>
          <w:tcPr>
            <w:tcW w:w="2340" w:type="dxa"/>
            <w:vAlign w:val="bottom"/>
            <w:gridSpan w:val="2"/>
          </w:tcPr>
          <w:p>
            <w:pPr>
              <w:spacing w:after="0" w:line="150" w:lineRule="exact"/>
              <w:rPr>
                <w:sz w:val="20"/>
                <w:szCs w:val="20"/>
                <w:color w:val="auto"/>
              </w:rPr>
            </w:pPr>
            <w:r>
              <w:rPr>
                <w:rFonts w:ascii="Arial" w:cs="Arial" w:eastAsia="Arial" w:hAnsi="Arial"/>
                <w:sz w:val="14"/>
                <w:szCs w:val="14"/>
                <w:color w:val="auto"/>
              </w:rPr>
              <w:t>Achieving a Return on</w:t>
            </w:r>
          </w:p>
        </w:tc>
        <w:tc>
          <w:tcPr>
            <w:tcW w:w="2080" w:type="dxa"/>
            <w:vAlign w:val="bottom"/>
          </w:tcPr>
          <w:p>
            <w:pPr>
              <w:jc w:val="center"/>
              <w:spacing w:after="0" w:line="150" w:lineRule="exact"/>
              <w:rPr>
                <w:sz w:val="20"/>
                <w:szCs w:val="20"/>
                <w:color w:val="auto"/>
              </w:rPr>
            </w:pPr>
            <w:r>
              <w:rPr>
                <w:rFonts w:ascii="Arial" w:cs="Arial" w:eastAsia="Arial" w:hAnsi="Arial"/>
                <w:sz w:val="14"/>
                <w:szCs w:val="14"/>
                <w:color w:val="auto"/>
                <w:w w:val="87"/>
              </w:rPr>
              <w:t>5.2%</w:t>
            </w:r>
          </w:p>
        </w:tc>
        <w:tc>
          <w:tcPr>
            <w:tcW w:w="2320" w:type="dxa"/>
            <w:vAlign w:val="bottom"/>
            <w:gridSpan w:val="2"/>
          </w:tcPr>
          <w:p>
            <w:pPr>
              <w:jc w:val="center"/>
              <w:ind w:left="172"/>
              <w:spacing w:after="0" w:line="150" w:lineRule="exact"/>
              <w:rPr>
                <w:sz w:val="20"/>
                <w:szCs w:val="20"/>
                <w:color w:val="auto"/>
              </w:rPr>
            </w:pPr>
            <w:r>
              <w:rPr>
                <w:rFonts w:ascii="Arial" w:cs="Arial" w:eastAsia="Arial" w:hAnsi="Arial"/>
                <w:sz w:val="14"/>
                <w:szCs w:val="14"/>
                <w:color w:val="auto"/>
                <w:w w:val="87"/>
              </w:rPr>
              <w:t>6.2%</w:t>
            </w:r>
          </w:p>
        </w:tc>
        <w:tc>
          <w:tcPr>
            <w:tcW w:w="2340" w:type="dxa"/>
            <w:vAlign w:val="bottom"/>
            <w:gridSpan w:val="2"/>
          </w:tcPr>
          <w:p>
            <w:pPr>
              <w:jc w:val="center"/>
              <w:ind w:left="152"/>
              <w:spacing w:after="0" w:line="150" w:lineRule="exact"/>
              <w:rPr>
                <w:sz w:val="20"/>
                <w:szCs w:val="20"/>
                <w:color w:val="auto"/>
              </w:rPr>
            </w:pPr>
            <w:r>
              <w:rPr>
                <w:rFonts w:ascii="Arial" w:cs="Arial" w:eastAsia="Arial" w:hAnsi="Arial"/>
                <w:sz w:val="14"/>
                <w:szCs w:val="14"/>
                <w:color w:val="auto"/>
                <w:w w:val="87"/>
              </w:rPr>
              <w:t>7.2%</w:t>
            </w:r>
          </w:p>
        </w:tc>
        <w:tc>
          <w:tcPr>
            <w:tcW w:w="2340" w:type="dxa"/>
            <w:vAlign w:val="bottom"/>
            <w:gridSpan w:val="2"/>
          </w:tcPr>
          <w:p>
            <w:pPr>
              <w:jc w:val="center"/>
              <w:ind w:left="165"/>
              <w:spacing w:after="0" w:line="150" w:lineRule="exact"/>
              <w:rPr>
                <w:sz w:val="20"/>
                <w:szCs w:val="20"/>
                <w:color w:val="auto"/>
              </w:rPr>
            </w:pPr>
            <w:r>
              <w:rPr>
                <w:rFonts w:ascii="Arial" w:cs="Arial" w:eastAsia="Arial" w:hAnsi="Arial"/>
                <w:sz w:val="11"/>
                <w:szCs w:val="11"/>
                <w:color w:val="auto"/>
              </w:rPr>
              <w:t xml:space="preserve">6.9% </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7"/>
        </w:trPr>
        <w:tc>
          <w:tcPr>
            <w:tcW w:w="2340" w:type="dxa"/>
            <w:vAlign w:val="bottom"/>
            <w:gridSpan w:val="2"/>
          </w:tcPr>
          <w:p>
            <w:pPr>
              <w:spacing w:after="0" w:line="147" w:lineRule="exact"/>
              <w:rPr>
                <w:sz w:val="20"/>
                <w:szCs w:val="20"/>
                <w:color w:val="auto"/>
              </w:rPr>
            </w:pPr>
            <w:r>
              <w:rPr>
                <w:rFonts w:ascii="Arial" w:cs="Arial" w:eastAsia="Arial" w:hAnsi="Arial"/>
                <w:sz w:val="14"/>
                <w:szCs w:val="14"/>
                <w:color w:val="auto"/>
              </w:rPr>
              <w:t>Equity target</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40" w:type="dxa"/>
            <w:vAlign w:val="bottom"/>
            <w:gridSpan w:val="2"/>
            <w:shd w:val="clear" w:color="auto" w:fill="EAF9E8"/>
          </w:tcPr>
          <w:p>
            <w:pPr>
              <w:spacing w:after="0" w:line="138" w:lineRule="exact"/>
              <w:rPr>
                <w:sz w:val="20"/>
                <w:szCs w:val="20"/>
                <w:color w:val="auto"/>
              </w:rPr>
            </w:pPr>
            <w:r>
              <w:rPr>
                <w:rFonts w:ascii="Arial" w:cs="Arial" w:eastAsia="Arial" w:hAnsi="Arial"/>
                <w:sz w:val="14"/>
                <w:szCs w:val="14"/>
                <w:color w:val="auto"/>
              </w:rPr>
              <w:t>Achieving corporate</w:t>
            </w:r>
          </w:p>
        </w:tc>
        <w:tc>
          <w:tcPr>
            <w:tcW w:w="208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91"/>
              </w:rPr>
              <w:t>4 of 8</w:t>
            </w:r>
          </w:p>
        </w:tc>
        <w:tc>
          <w:tcPr>
            <w:tcW w:w="240" w:type="dxa"/>
            <w:vAlign w:val="bottom"/>
            <w:shd w:val="clear" w:color="auto" w:fill="EAF9E8"/>
          </w:tcPr>
          <w:p>
            <w:pPr>
              <w:spacing w:after="0"/>
              <w:rPr>
                <w:sz w:val="11"/>
                <w:szCs w:val="11"/>
                <w:color w:val="auto"/>
              </w:rPr>
            </w:pPr>
          </w:p>
        </w:tc>
        <w:tc>
          <w:tcPr>
            <w:tcW w:w="208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91"/>
              </w:rPr>
              <w:t>5 of 8</w:t>
            </w:r>
          </w:p>
        </w:tc>
        <w:tc>
          <w:tcPr>
            <w:tcW w:w="240" w:type="dxa"/>
            <w:vAlign w:val="bottom"/>
            <w:shd w:val="clear" w:color="auto" w:fill="EAF9E8"/>
          </w:tcPr>
          <w:p>
            <w:pPr>
              <w:spacing w:after="0"/>
              <w:rPr>
                <w:sz w:val="11"/>
                <w:szCs w:val="11"/>
                <w:color w:val="auto"/>
              </w:rPr>
            </w:pPr>
          </w:p>
        </w:tc>
        <w:tc>
          <w:tcPr>
            <w:tcW w:w="210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91"/>
              </w:rPr>
              <w:t>6 of 8</w:t>
            </w:r>
          </w:p>
        </w:tc>
        <w:tc>
          <w:tcPr>
            <w:tcW w:w="220" w:type="dxa"/>
            <w:vAlign w:val="bottom"/>
            <w:shd w:val="clear" w:color="auto" w:fill="EAF9E8"/>
          </w:tcPr>
          <w:p>
            <w:pPr>
              <w:spacing w:after="0"/>
              <w:rPr>
                <w:sz w:val="11"/>
                <w:szCs w:val="11"/>
                <w:color w:val="auto"/>
              </w:rPr>
            </w:pPr>
          </w:p>
        </w:tc>
        <w:tc>
          <w:tcPr>
            <w:tcW w:w="212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87"/>
              </w:rPr>
              <w:t>See Strategic Initiatives below</w:t>
            </w:r>
          </w:p>
        </w:tc>
        <w:tc>
          <w:tcPr>
            <w:tcW w:w="0" w:type="dxa"/>
            <w:vAlign w:val="bottom"/>
          </w:tcPr>
          <w:p>
            <w:pPr>
              <w:spacing w:after="0"/>
              <w:rPr>
                <w:sz w:val="1"/>
                <w:szCs w:val="1"/>
                <w:color w:val="auto"/>
              </w:rPr>
            </w:pPr>
          </w:p>
        </w:tc>
      </w:tr>
      <w:tr>
        <w:trPr>
          <w:trHeight w:val="91"/>
        </w:trPr>
        <w:tc>
          <w:tcPr>
            <w:tcW w:w="2340" w:type="dxa"/>
            <w:vAlign w:val="bottom"/>
            <w:gridSpan w:val="2"/>
            <w:vMerge w:val="restart"/>
            <w:shd w:val="clear" w:color="auto" w:fill="EAF9E8"/>
          </w:tcPr>
          <w:p>
            <w:pPr>
              <w:spacing w:after="0" w:line="159" w:lineRule="exact"/>
              <w:rPr>
                <w:sz w:val="20"/>
                <w:szCs w:val="20"/>
                <w:color w:val="auto"/>
              </w:rPr>
            </w:pPr>
            <w:r>
              <w:rPr>
                <w:rFonts w:ascii="Arial" w:cs="Arial" w:eastAsia="Arial" w:hAnsi="Arial"/>
                <w:sz w:val="14"/>
                <w:szCs w:val="14"/>
                <w:color w:val="auto"/>
              </w:rPr>
              <w:t>strategic initiatives</w:t>
            </w:r>
          </w:p>
        </w:tc>
        <w:tc>
          <w:tcPr>
            <w:tcW w:w="2080" w:type="dxa"/>
            <w:vAlign w:val="bottom"/>
            <w:vMerge w:val="continue"/>
            <w:shd w:val="clear" w:color="auto" w:fill="EAF9E8"/>
          </w:tcPr>
          <w:p>
            <w:pPr>
              <w:spacing w:after="0"/>
              <w:rPr>
                <w:sz w:val="7"/>
                <w:szCs w:val="7"/>
                <w:color w:val="auto"/>
              </w:rPr>
            </w:pPr>
          </w:p>
        </w:tc>
        <w:tc>
          <w:tcPr>
            <w:tcW w:w="240" w:type="dxa"/>
            <w:vAlign w:val="bottom"/>
            <w:shd w:val="clear" w:color="auto" w:fill="EAF9E8"/>
          </w:tcPr>
          <w:p>
            <w:pPr>
              <w:spacing w:after="0"/>
              <w:rPr>
                <w:sz w:val="7"/>
                <w:szCs w:val="7"/>
                <w:color w:val="auto"/>
              </w:rPr>
            </w:pPr>
          </w:p>
        </w:tc>
        <w:tc>
          <w:tcPr>
            <w:tcW w:w="2080" w:type="dxa"/>
            <w:vAlign w:val="bottom"/>
            <w:vMerge w:val="continue"/>
            <w:shd w:val="clear" w:color="auto" w:fill="EAF9E8"/>
          </w:tcPr>
          <w:p>
            <w:pPr>
              <w:spacing w:after="0"/>
              <w:rPr>
                <w:sz w:val="7"/>
                <w:szCs w:val="7"/>
                <w:color w:val="auto"/>
              </w:rPr>
            </w:pPr>
          </w:p>
        </w:tc>
        <w:tc>
          <w:tcPr>
            <w:tcW w:w="240" w:type="dxa"/>
            <w:vAlign w:val="bottom"/>
            <w:shd w:val="clear" w:color="auto" w:fill="EAF9E8"/>
          </w:tcPr>
          <w:p>
            <w:pPr>
              <w:spacing w:after="0"/>
              <w:rPr>
                <w:sz w:val="7"/>
                <w:szCs w:val="7"/>
                <w:color w:val="auto"/>
              </w:rPr>
            </w:pPr>
          </w:p>
        </w:tc>
        <w:tc>
          <w:tcPr>
            <w:tcW w:w="2100" w:type="dxa"/>
            <w:vAlign w:val="bottom"/>
            <w:vMerge w:val="continue"/>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2120" w:type="dxa"/>
            <w:vAlign w:val="bottom"/>
            <w:vMerge w:val="continue"/>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40" w:type="dxa"/>
            <w:vAlign w:val="bottom"/>
            <w:gridSpan w:val="2"/>
            <w:vMerge w:val="continue"/>
            <w:shd w:val="clear" w:color="auto" w:fill="EAF9E8"/>
          </w:tcPr>
          <w:p>
            <w:pPr>
              <w:spacing w:after="0"/>
              <w:rPr>
                <w:sz w:val="5"/>
                <w:szCs w:val="5"/>
                <w:color w:val="auto"/>
              </w:rPr>
            </w:pPr>
          </w:p>
        </w:tc>
        <w:tc>
          <w:tcPr>
            <w:tcW w:w="2080" w:type="dxa"/>
            <w:vAlign w:val="bottom"/>
            <w:shd w:val="clear" w:color="auto" w:fill="EAF9E8"/>
          </w:tcPr>
          <w:p>
            <w:pPr>
              <w:spacing w:after="0"/>
              <w:rPr>
                <w:sz w:val="5"/>
                <w:szCs w:val="5"/>
                <w:color w:val="auto"/>
              </w:rPr>
            </w:pPr>
          </w:p>
        </w:tc>
        <w:tc>
          <w:tcPr>
            <w:tcW w:w="240" w:type="dxa"/>
            <w:vAlign w:val="bottom"/>
            <w:shd w:val="clear" w:color="auto" w:fill="EAF9E8"/>
          </w:tcPr>
          <w:p>
            <w:pPr>
              <w:spacing w:after="0"/>
              <w:rPr>
                <w:sz w:val="5"/>
                <w:szCs w:val="5"/>
                <w:color w:val="auto"/>
              </w:rPr>
            </w:pPr>
          </w:p>
        </w:tc>
        <w:tc>
          <w:tcPr>
            <w:tcW w:w="2080" w:type="dxa"/>
            <w:vAlign w:val="bottom"/>
            <w:shd w:val="clear" w:color="auto" w:fill="EAF9E8"/>
          </w:tcPr>
          <w:p>
            <w:pPr>
              <w:spacing w:after="0"/>
              <w:rPr>
                <w:sz w:val="5"/>
                <w:szCs w:val="5"/>
                <w:color w:val="auto"/>
              </w:rPr>
            </w:pPr>
          </w:p>
        </w:tc>
        <w:tc>
          <w:tcPr>
            <w:tcW w:w="240" w:type="dxa"/>
            <w:vAlign w:val="bottom"/>
            <w:shd w:val="clear" w:color="auto" w:fill="EAF9E8"/>
          </w:tcPr>
          <w:p>
            <w:pPr>
              <w:spacing w:after="0"/>
              <w:rPr>
                <w:sz w:val="5"/>
                <w:szCs w:val="5"/>
                <w:color w:val="auto"/>
              </w:rPr>
            </w:pPr>
          </w:p>
        </w:tc>
        <w:tc>
          <w:tcPr>
            <w:tcW w:w="2100" w:type="dxa"/>
            <w:vAlign w:val="bottom"/>
            <w:shd w:val="clear" w:color="auto" w:fill="EAF9E8"/>
          </w:tcPr>
          <w:p>
            <w:pPr>
              <w:spacing w:after="0"/>
              <w:rPr>
                <w:sz w:val="5"/>
                <w:szCs w:val="5"/>
                <w:color w:val="auto"/>
              </w:rPr>
            </w:pPr>
          </w:p>
        </w:tc>
        <w:tc>
          <w:tcPr>
            <w:tcW w:w="220" w:type="dxa"/>
            <w:vAlign w:val="bottom"/>
            <w:shd w:val="clear" w:color="auto" w:fill="EAF9E8"/>
          </w:tcPr>
          <w:p>
            <w:pPr>
              <w:spacing w:after="0"/>
              <w:rPr>
                <w:sz w:val="5"/>
                <w:szCs w:val="5"/>
                <w:color w:val="auto"/>
              </w:rPr>
            </w:pPr>
          </w:p>
        </w:tc>
        <w:tc>
          <w:tcPr>
            <w:tcW w:w="2120" w:type="dxa"/>
            <w:vAlign w:val="bottom"/>
            <w:shd w:val="clear" w:color="auto" w:fill="EAF9E8"/>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8"/>
              </w:rPr>
              <w:t>Strategic Initiatives</w:t>
            </w: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auto"/>
        </w:rPr>
        <w:t>Position Ocwen Solutions for initial public offering or Spin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90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62"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Customer satisfaction: Improve sigma calculation of customer survey (defect</w:t>
      </w:r>
    </w:p>
    <w:p>
      <w:pPr>
        <w:spacing w:after="0" w:line="1" w:lineRule="exact"/>
        <w:rPr>
          <w:sz w:val="20"/>
          <w:szCs w:val="20"/>
          <w:color w:val="auto"/>
        </w:rPr>
      </w:pPr>
    </w:p>
    <w:p>
      <w:pPr>
        <w:ind w:right="600" w:firstLine="8"/>
        <w:spacing w:after="0" w:line="635" w:lineRule="auto"/>
        <w:tabs>
          <w:tab w:leader="none" w:pos="11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survey score of 3 or less) Raise liquidity/funding</w:t>
      </w:r>
    </w:p>
    <w:p>
      <w:pPr>
        <w:spacing w:after="0" w:line="1" w:lineRule="exact"/>
        <w:rPr>
          <w:sz w:val="20"/>
          <w:szCs w:val="20"/>
          <w:color w:val="auto"/>
        </w:rPr>
      </w:pPr>
    </w:p>
    <w:p>
      <w:pPr>
        <w:ind w:right="100"/>
        <w:spacing w:after="0" w:line="230" w:lineRule="auto"/>
        <w:rPr>
          <w:sz w:val="20"/>
          <w:szCs w:val="20"/>
          <w:color w:val="auto"/>
        </w:rPr>
      </w:pPr>
      <w:r>
        <w:rPr>
          <w:rFonts w:ascii="Arial" w:cs="Arial" w:eastAsia="Arial" w:hAnsi="Arial"/>
          <w:sz w:val="14"/>
          <w:szCs w:val="14"/>
          <w:color w:val="auto"/>
        </w:rPr>
        <w:t>Excluding 2008 acquisitions, reduce gross Loan Servicing Advances by 5% or $77.063 million from $1.541 billion</w:t>
      </w:r>
    </w:p>
    <w:p>
      <w:pPr>
        <w:spacing w:after="0" w:line="126" w:lineRule="exact"/>
        <w:rPr>
          <w:sz w:val="20"/>
          <w:szCs w:val="20"/>
          <w:color w:val="auto"/>
        </w:rPr>
      </w:pPr>
    </w:p>
    <w:p>
      <w:pPr>
        <w:ind w:right="140"/>
        <w:spacing w:after="0" w:line="318" w:lineRule="auto"/>
        <w:rPr>
          <w:sz w:val="20"/>
          <w:szCs w:val="20"/>
          <w:color w:val="auto"/>
        </w:rPr>
      </w:pPr>
      <w:r>
        <w:rPr>
          <w:rFonts w:ascii="Arial" w:cs="Arial" w:eastAsia="Arial" w:hAnsi="Arial"/>
          <w:sz w:val="12"/>
          <w:szCs w:val="12"/>
          <w:color w:val="auto"/>
        </w:rPr>
        <w:t>Complete and Implement Enhanced Loan Resolution Model</w:t>
      </w:r>
    </w:p>
    <w:p>
      <w:pPr>
        <w:spacing w:after="0" w:line="80" w:lineRule="exact"/>
        <w:rPr>
          <w:sz w:val="20"/>
          <w:szCs w:val="20"/>
          <w:color w:val="auto"/>
        </w:rPr>
      </w:pPr>
    </w:p>
    <w:p>
      <w:pPr>
        <w:ind w:right="100"/>
        <w:spacing w:after="0" w:line="318" w:lineRule="auto"/>
        <w:rPr>
          <w:sz w:val="20"/>
          <w:szCs w:val="20"/>
          <w:color w:val="auto"/>
        </w:rPr>
      </w:pPr>
      <w:r>
        <w:rPr>
          <w:rFonts w:ascii="Arial" w:cs="Arial" w:eastAsia="Arial" w:hAnsi="Arial"/>
          <w:sz w:val="12"/>
          <w:szCs w:val="12"/>
          <w:color w:val="auto"/>
        </w:rPr>
        <w:t>Expand assets under management to $518 MM - Report via dashboard</w:t>
      </w:r>
    </w:p>
    <w:p>
      <w:pPr>
        <w:spacing w:after="0" w:line="80"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Generate cash from the sale or financing of BOK, GSS Canada, NCI, Residuals, Loans and REO held for resale, FHLMC/FNMA, Debt service accounts, Gross accounts, Receivables, PNC settlement and Orlando land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Develop and generate revenue of $8</w:t>
      </w:r>
    </w:p>
    <w:p>
      <w:pPr>
        <w:spacing w:after="0" w:line="23" w:lineRule="exact"/>
        <w:rPr>
          <w:sz w:val="20"/>
          <w:szCs w:val="20"/>
          <w:color w:val="auto"/>
        </w:rPr>
      </w:pPr>
    </w:p>
    <w:p>
      <w:pPr>
        <w:ind w:right="20" w:firstLine="8"/>
        <w:spacing w:after="0" w:line="271" w:lineRule="auto"/>
        <w:tabs>
          <w:tab w:leader="none" w:pos="274" w:val="left"/>
        </w:tabs>
        <w:numPr>
          <w:ilvl w:val="0"/>
          <w:numId w:val="19"/>
        </w:numPr>
        <w:rPr>
          <w:rFonts w:ascii="Arial" w:cs="Arial" w:eastAsia="Arial" w:hAnsi="Arial"/>
          <w:sz w:val="12"/>
          <w:szCs w:val="12"/>
          <w:color w:val="auto"/>
        </w:rPr>
      </w:pPr>
      <w:r>
        <w:rPr>
          <w:rFonts w:ascii="Arial" w:cs="Arial" w:eastAsia="Arial" w:hAnsi="Arial"/>
          <w:sz w:val="12"/>
          <w:szCs w:val="12"/>
          <w:color w:val="auto"/>
        </w:rPr>
        <w:t>from one or more new business lines - title, insurance, FHA, default management, or any other business line requested by Senior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87"/>
              </w:rPr>
              <w:t>Determined not to engage investment</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90"/>
              </w:rPr>
              <w:t>Threshold plus provide all</w:t>
            </w:r>
          </w:p>
        </w:tc>
        <w:tc>
          <w:tcPr>
            <w:tcW w:w="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8"/>
              </w:rPr>
              <w:t>bankers, documentation provided to</w:t>
            </w:r>
          </w:p>
        </w:tc>
        <w:tc>
          <w:tcPr>
            <w:tcW w:w="0" w:type="dxa"/>
            <w:vAlign w:val="bottom"/>
          </w:tcPr>
          <w:p>
            <w:pPr>
              <w:spacing w:after="0"/>
              <w:rPr>
                <w:sz w:val="1"/>
                <w:szCs w:val="1"/>
                <w:color w:val="auto"/>
              </w:rPr>
            </w:pPr>
          </w:p>
        </w:tc>
      </w:tr>
      <w:tr>
        <w:trPr>
          <w:trHeight w:val="149"/>
        </w:trPr>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6"/>
              </w:rPr>
              <w:t>Complete diligence necessary to</w:t>
            </w:r>
          </w:p>
        </w:tc>
        <w:tc>
          <w:tcPr>
            <w:tcW w:w="24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6"/>
              </w:rPr>
              <w:t>documentation to PwC to support</w:t>
            </w:r>
          </w:p>
        </w:tc>
        <w:tc>
          <w:tcPr>
            <w:tcW w:w="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87"/>
              </w:rPr>
              <w:t>Target plus complete all Ocwen</w:t>
            </w:r>
          </w:p>
        </w:tc>
        <w:tc>
          <w:tcPr>
            <w:tcW w:w="2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8"/>
              </w:rPr>
              <w:t>PwC to complete 2006 &amp; 2007 audits,</w:t>
            </w:r>
          </w:p>
        </w:tc>
        <w:tc>
          <w:tcPr>
            <w:tcW w:w="0" w:type="dxa"/>
            <w:vAlign w:val="bottom"/>
          </w:tcPr>
          <w:p>
            <w:pPr>
              <w:spacing w:after="0"/>
              <w:rPr>
                <w:sz w:val="1"/>
                <w:szCs w:val="1"/>
                <w:color w:val="auto"/>
              </w:rPr>
            </w:pPr>
          </w:p>
        </w:tc>
      </w:tr>
      <w:tr>
        <w:trPr>
          <w:trHeight w:val="149"/>
        </w:trPr>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5"/>
              </w:rPr>
              <w:t>determine whether to engage an</w:t>
            </w:r>
          </w:p>
        </w:tc>
        <w:tc>
          <w:tcPr>
            <w:tcW w:w="24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8"/>
              </w:rPr>
              <w:t>audits of Ocwen Solutions for 2006</w:t>
            </w:r>
          </w:p>
        </w:tc>
        <w:tc>
          <w:tcPr>
            <w:tcW w:w="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89"/>
              </w:rPr>
              <w:t>Solutions Spin project work by March</w:t>
            </w:r>
          </w:p>
        </w:tc>
        <w:tc>
          <w:tcPr>
            <w:tcW w:w="2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7"/>
              </w:rPr>
              <w:t>and all Ocwen Solutions Spin project</w:t>
            </w:r>
          </w:p>
        </w:tc>
        <w:tc>
          <w:tcPr>
            <w:tcW w:w="0" w:type="dxa"/>
            <w:vAlign w:val="bottom"/>
          </w:tcPr>
          <w:p>
            <w:pPr>
              <w:spacing w:after="0"/>
              <w:rPr>
                <w:sz w:val="1"/>
                <w:szCs w:val="1"/>
                <w:color w:val="auto"/>
              </w:rPr>
            </w:pPr>
          </w:p>
        </w:tc>
      </w:tr>
      <w:tr>
        <w:trPr>
          <w:trHeight w:val="172"/>
        </w:trPr>
        <w:tc>
          <w:tcPr>
            <w:tcW w:w="2080" w:type="dxa"/>
            <w:vAlign w:val="bottom"/>
          </w:tcPr>
          <w:p>
            <w:pPr>
              <w:jc w:val="center"/>
              <w:spacing w:after="0"/>
              <w:rPr>
                <w:sz w:val="20"/>
                <w:szCs w:val="20"/>
                <w:color w:val="auto"/>
              </w:rPr>
            </w:pPr>
            <w:r>
              <w:rPr>
                <w:rFonts w:ascii="Arial" w:cs="Arial" w:eastAsia="Arial" w:hAnsi="Arial"/>
                <w:sz w:val="14"/>
                <w:szCs w:val="14"/>
                <w:color w:val="auto"/>
                <w:w w:val="86"/>
              </w:rPr>
              <w:t>investment bank</w:t>
            </w:r>
          </w:p>
        </w:tc>
        <w:tc>
          <w:tcPr>
            <w:tcW w:w="2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85"/>
              </w:rPr>
              <w:t>and 2007</w:t>
            </w:r>
          </w:p>
        </w:tc>
        <w:tc>
          <w:tcPr>
            <w:tcW w:w="2340" w:type="dxa"/>
            <w:vAlign w:val="bottom"/>
            <w:gridSpan w:val="2"/>
          </w:tcPr>
          <w:p>
            <w:pPr>
              <w:jc w:val="right"/>
              <w:ind w:right="792"/>
              <w:spacing w:after="0"/>
              <w:rPr>
                <w:sz w:val="20"/>
                <w:szCs w:val="20"/>
                <w:color w:val="auto"/>
              </w:rPr>
            </w:pPr>
            <w:r>
              <w:rPr>
                <w:rFonts w:ascii="Arial" w:cs="Arial" w:eastAsia="Arial" w:hAnsi="Arial"/>
                <w:sz w:val="14"/>
                <w:szCs w:val="14"/>
                <w:color w:val="auto"/>
              </w:rPr>
              <w:t>1, 2009</w:t>
            </w:r>
          </w:p>
        </w:tc>
        <w:tc>
          <w:tcPr>
            <w:tcW w:w="2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88"/>
              </w:rPr>
              <w:t>related work completed in time</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80" w:type="dxa"/>
            <w:vAlign w:val="bottom"/>
          </w:tcPr>
          <w:p>
            <w:pPr>
              <w:jc w:val="center"/>
              <w:spacing w:after="0"/>
              <w:rPr>
                <w:sz w:val="20"/>
                <w:szCs w:val="20"/>
                <w:color w:val="auto"/>
              </w:rPr>
            </w:pPr>
            <w:r>
              <w:rPr>
                <w:rFonts w:ascii="Arial" w:cs="Arial" w:eastAsia="Arial" w:hAnsi="Arial"/>
                <w:sz w:val="14"/>
                <w:szCs w:val="14"/>
                <w:color w:val="auto"/>
                <w:w w:val="87"/>
              </w:rPr>
              <w:t>4.55 sigma</w:t>
            </w:r>
          </w:p>
        </w:tc>
        <w:tc>
          <w:tcPr>
            <w:tcW w:w="24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87"/>
              </w:rPr>
              <w:t>4.60 sigma</w:t>
            </w:r>
          </w:p>
        </w:tc>
        <w:tc>
          <w:tcPr>
            <w:tcW w:w="2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w w:val="87"/>
              </w:rPr>
              <w:t>4.65 sigma</w:t>
            </w:r>
          </w:p>
        </w:tc>
        <w:tc>
          <w:tcPr>
            <w:tcW w:w="2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87"/>
              </w:rPr>
              <w:t>4.70 sigma</w:t>
            </w:r>
          </w:p>
        </w:tc>
        <w:tc>
          <w:tcPr>
            <w:tcW w:w="0" w:type="dxa"/>
            <w:vAlign w:val="bottom"/>
          </w:tcPr>
          <w:p>
            <w:pPr>
              <w:spacing w:after="0"/>
              <w:rPr>
                <w:sz w:val="1"/>
                <w:szCs w:val="1"/>
                <w:color w:val="auto"/>
              </w:rPr>
            </w:pPr>
          </w:p>
        </w:tc>
      </w:tr>
      <w:tr>
        <w:trPr>
          <w:trHeight w:val="422"/>
        </w:trPr>
        <w:tc>
          <w:tcPr>
            <w:tcW w:w="2080" w:type="dxa"/>
            <w:vAlign w:val="bottom"/>
            <w:vMerge w:val="restart"/>
          </w:tcPr>
          <w:p>
            <w:pPr>
              <w:jc w:val="center"/>
              <w:spacing w:after="0"/>
              <w:rPr>
                <w:sz w:val="20"/>
                <w:szCs w:val="20"/>
                <w:color w:val="auto"/>
              </w:rPr>
            </w:pPr>
            <w:r>
              <w:rPr>
                <w:rFonts w:ascii="Arial" w:cs="Arial" w:eastAsia="Arial" w:hAnsi="Arial"/>
                <w:sz w:val="14"/>
                <w:szCs w:val="14"/>
                <w:color w:val="auto"/>
                <w:w w:val="84"/>
              </w:rPr>
              <w:t>Not less than $0 excess</w:t>
            </w:r>
          </w:p>
        </w:tc>
        <w:tc>
          <w:tcPr>
            <w:tcW w:w="24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87"/>
              </w:rPr>
              <w:t>Net advance after applicable haircut</w:t>
            </w:r>
          </w:p>
        </w:tc>
        <w:tc>
          <w:tcPr>
            <w:tcW w:w="240" w:type="dxa"/>
            <w:vAlign w:val="bottom"/>
          </w:tcPr>
          <w:p>
            <w:pPr>
              <w:spacing w:after="0"/>
              <w:rPr>
                <w:sz w:val="24"/>
                <w:szCs w:val="24"/>
                <w:color w:val="auto"/>
              </w:rPr>
            </w:pPr>
          </w:p>
        </w:tc>
        <w:tc>
          <w:tcPr>
            <w:tcW w:w="2100" w:type="dxa"/>
            <w:vAlign w:val="bottom"/>
            <w:vMerge w:val="restart"/>
          </w:tcPr>
          <w:p>
            <w:pPr>
              <w:jc w:val="center"/>
              <w:spacing w:after="0"/>
              <w:rPr>
                <w:sz w:val="20"/>
                <w:szCs w:val="20"/>
                <w:color w:val="auto"/>
              </w:rPr>
            </w:pPr>
            <w:r>
              <w:rPr>
                <w:rFonts w:ascii="Arial" w:cs="Arial" w:eastAsia="Arial" w:hAnsi="Arial"/>
                <w:sz w:val="14"/>
                <w:szCs w:val="14"/>
                <w:color w:val="auto"/>
                <w:w w:val="89"/>
              </w:rPr>
              <w:t>Target plus $80 million</w:t>
            </w:r>
          </w:p>
        </w:tc>
        <w:tc>
          <w:tcPr>
            <w:tcW w:w="2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87"/>
              </w:rPr>
              <w:t>Net advance after haircut plus $208.8</w:t>
            </w:r>
          </w:p>
        </w:tc>
        <w:tc>
          <w:tcPr>
            <w:tcW w:w="0" w:type="dxa"/>
            <w:vAlign w:val="bottom"/>
          </w:tcPr>
          <w:p>
            <w:pPr>
              <w:spacing w:after="0"/>
              <w:rPr>
                <w:sz w:val="1"/>
                <w:szCs w:val="1"/>
                <w:color w:val="auto"/>
              </w:rPr>
            </w:pPr>
          </w:p>
        </w:tc>
      </w:tr>
      <w:tr>
        <w:trPr>
          <w:trHeight w:val="91"/>
        </w:trPr>
        <w:tc>
          <w:tcPr>
            <w:tcW w:w="20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color w:val="auto"/>
                <w:w w:val="91"/>
              </w:rPr>
              <w:t>plus $70 million</w:t>
            </w:r>
          </w:p>
        </w:tc>
        <w:tc>
          <w:tcPr>
            <w:tcW w:w="24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2080" w:type="dxa"/>
            <w:vAlign w:val="bottom"/>
          </w:tcPr>
          <w:p>
            <w:pPr>
              <w:jc w:val="center"/>
              <w:spacing w:after="0"/>
              <w:rPr>
                <w:sz w:val="20"/>
                <w:szCs w:val="20"/>
                <w:color w:val="auto"/>
              </w:rPr>
            </w:pPr>
            <w:r>
              <w:rPr>
                <w:rFonts w:ascii="Arial" w:cs="Arial" w:eastAsia="Arial" w:hAnsi="Arial"/>
                <w:sz w:val="14"/>
                <w:szCs w:val="14"/>
                <w:color w:val="auto"/>
                <w:w w:val="89"/>
              </w:rPr>
              <w:t>2.5% reduction</w:t>
            </w:r>
          </w:p>
        </w:tc>
        <w:tc>
          <w:tcPr>
            <w:tcW w:w="24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89"/>
              </w:rPr>
              <w:t>5.0% reduction</w:t>
            </w:r>
          </w:p>
        </w:tc>
        <w:tc>
          <w:tcPr>
            <w:tcW w:w="2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w w:val="87"/>
              </w:rPr>
              <w:t>7.5% reduction</w:t>
            </w:r>
          </w:p>
        </w:tc>
        <w:tc>
          <w:tcPr>
            <w:tcW w:w="2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0"/>
              </w:rPr>
              <w:t>$1.2506 billion - 18.8% reduction</w:t>
            </w:r>
          </w:p>
        </w:tc>
        <w:tc>
          <w:tcPr>
            <w:tcW w:w="0" w:type="dxa"/>
            <w:vAlign w:val="bottom"/>
          </w:tcPr>
          <w:p>
            <w:pPr>
              <w:spacing w:after="0"/>
              <w:rPr>
                <w:sz w:val="1"/>
                <w:szCs w:val="1"/>
                <w:color w:val="auto"/>
              </w:rPr>
            </w:pPr>
          </w:p>
        </w:tc>
      </w:tr>
      <w:tr>
        <w:trPr>
          <w:trHeight w:val="503"/>
        </w:trPr>
        <w:tc>
          <w:tcPr>
            <w:tcW w:w="208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w w:val="86"/>
              </w:rPr>
              <w:t>To be completed by December 31,</w:t>
            </w:r>
          </w:p>
        </w:tc>
        <w:tc>
          <w:tcPr>
            <w:tcW w:w="22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Arial" w:cs="Arial" w:eastAsia="Arial" w:hAnsi="Arial"/>
                <w:sz w:val="14"/>
                <w:szCs w:val="14"/>
                <w:color w:val="auto"/>
                <w:w w:val="86"/>
              </w:rPr>
              <w:t>Completed by December 31, 2008</w:t>
            </w:r>
          </w:p>
        </w:tc>
        <w:tc>
          <w:tcPr>
            <w:tcW w:w="0" w:type="dxa"/>
            <w:vAlign w:val="bottom"/>
          </w:tcPr>
          <w:p>
            <w:pPr>
              <w:spacing w:after="0"/>
              <w:rPr>
                <w:sz w:val="1"/>
                <w:szCs w:val="1"/>
                <w:color w:val="auto"/>
              </w:rPr>
            </w:pPr>
          </w:p>
        </w:tc>
      </w:tr>
      <w:tr>
        <w:trPr>
          <w:trHeight w:val="91"/>
        </w:trPr>
        <w:tc>
          <w:tcPr>
            <w:tcW w:w="20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2340" w:type="dxa"/>
            <w:vAlign w:val="bottom"/>
            <w:gridSpan w:val="2"/>
            <w:vMerge w:val="restart"/>
          </w:tcPr>
          <w:p>
            <w:pPr>
              <w:jc w:val="right"/>
              <w:ind w:right="852"/>
              <w:spacing w:after="0"/>
              <w:rPr>
                <w:sz w:val="20"/>
                <w:szCs w:val="20"/>
                <w:color w:val="auto"/>
              </w:rPr>
            </w:pPr>
            <w:r>
              <w:rPr>
                <w:rFonts w:ascii="Arial" w:cs="Arial" w:eastAsia="Arial" w:hAnsi="Arial"/>
                <w:sz w:val="14"/>
                <w:szCs w:val="14"/>
                <w:color w:val="auto"/>
              </w:rPr>
              <w:t>2008</w:t>
            </w:r>
          </w:p>
        </w:tc>
        <w:tc>
          <w:tcPr>
            <w:tcW w:w="22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3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2080" w:type="dxa"/>
            <w:vAlign w:val="bottom"/>
          </w:tcPr>
          <w:p>
            <w:pPr>
              <w:jc w:val="center"/>
              <w:spacing w:after="0"/>
              <w:rPr>
                <w:sz w:val="20"/>
                <w:szCs w:val="20"/>
                <w:color w:val="auto"/>
              </w:rPr>
            </w:pPr>
            <w:r>
              <w:rPr>
                <w:rFonts w:ascii="Arial" w:cs="Arial" w:eastAsia="Arial" w:hAnsi="Arial"/>
                <w:sz w:val="14"/>
                <w:szCs w:val="14"/>
                <w:color w:val="auto"/>
                <w:w w:val="91"/>
              </w:rPr>
              <w:t>85% of Budget $184 million</w:t>
            </w:r>
          </w:p>
        </w:tc>
        <w:tc>
          <w:tcPr>
            <w:tcW w:w="24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89"/>
              </w:rPr>
              <w:t>100% of Budget $518 million</w:t>
            </w:r>
          </w:p>
        </w:tc>
        <w:tc>
          <w:tcPr>
            <w:tcW w:w="2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w w:val="89"/>
              </w:rPr>
              <w:t>115% of Budget $595 million</w:t>
            </w:r>
          </w:p>
        </w:tc>
        <w:tc>
          <w:tcPr>
            <w:tcW w:w="2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0"/>
              </w:rPr>
              <w:t>$185 million</w:t>
            </w:r>
          </w:p>
        </w:tc>
        <w:tc>
          <w:tcPr>
            <w:tcW w:w="0" w:type="dxa"/>
            <w:vAlign w:val="bottom"/>
          </w:tcPr>
          <w:p>
            <w:pPr>
              <w:spacing w:after="0"/>
              <w:rPr>
                <w:sz w:val="1"/>
                <w:szCs w:val="1"/>
                <w:color w:val="auto"/>
              </w:rPr>
            </w:pPr>
          </w:p>
        </w:tc>
      </w:tr>
      <w:tr>
        <w:trPr>
          <w:trHeight w:val="824"/>
        </w:trPr>
        <w:tc>
          <w:tcPr>
            <w:tcW w:w="2080" w:type="dxa"/>
            <w:vAlign w:val="bottom"/>
          </w:tcPr>
          <w:p>
            <w:pPr>
              <w:jc w:val="center"/>
              <w:spacing w:after="0"/>
              <w:rPr>
                <w:sz w:val="20"/>
                <w:szCs w:val="20"/>
                <w:color w:val="auto"/>
              </w:rPr>
            </w:pPr>
            <w:r>
              <w:rPr>
                <w:rFonts w:ascii="Arial" w:cs="Arial" w:eastAsia="Arial" w:hAnsi="Arial"/>
                <w:sz w:val="14"/>
                <w:szCs w:val="14"/>
                <w:color w:val="auto"/>
                <w:w w:val="88"/>
              </w:rPr>
              <w:t>At discretion of the Chairman</w:t>
            </w:r>
          </w:p>
        </w:tc>
        <w:tc>
          <w:tcPr>
            <w:tcW w:w="24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88"/>
              </w:rPr>
              <w:t>At discretion of the Chairman</w:t>
            </w:r>
          </w:p>
        </w:tc>
        <w:tc>
          <w:tcPr>
            <w:tcW w:w="2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w w:val="89"/>
              </w:rPr>
              <w:t>At discretion of the Chairman</w:t>
            </w:r>
          </w:p>
        </w:tc>
        <w:tc>
          <w:tcPr>
            <w:tcW w:w="2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5"/>
              </w:rPr>
              <w:t>$82 million</w:t>
            </w:r>
          </w:p>
        </w:tc>
        <w:tc>
          <w:tcPr>
            <w:tcW w:w="0" w:type="dxa"/>
            <w:vAlign w:val="bottom"/>
          </w:tcPr>
          <w:p>
            <w:pPr>
              <w:spacing w:after="0"/>
              <w:rPr>
                <w:sz w:val="1"/>
                <w:szCs w:val="1"/>
                <w:color w:val="auto"/>
              </w:rPr>
            </w:pPr>
          </w:p>
        </w:tc>
      </w:tr>
      <w:tr>
        <w:trPr>
          <w:trHeight w:val="1040"/>
        </w:trPr>
        <w:tc>
          <w:tcPr>
            <w:tcW w:w="2080" w:type="dxa"/>
            <w:vAlign w:val="bottom"/>
          </w:tcPr>
          <w:p>
            <w:pPr>
              <w:jc w:val="center"/>
              <w:spacing w:after="0"/>
              <w:rPr>
                <w:sz w:val="20"/>
                <w:szCs w:val="20"/>
                <w:color w:val="auto"/>
              </w:rPr>
            </w:pPr>
            <w:r>
              <w:rPr>
                <w:rFonts w:ascii="Arial" w:cs="Arial" w:eastAsia="Arial" w:hAnsi="Arial"/>
                <w:sz w:val="14"/>
                <w:szCs w:val="14"/>
                <w:color w:val="auto"/>
                <w:w w:val="93"/>
              </w:rPr>
              <w:t>$6.4 million</w:t>
            </w:r>
          </w:p>
        </w:tc>
        <w:tc>
          <w:tcPr>
            <w:tcW w:w="24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$8.0 million</w:t>
            </w:r>
          </w:p>
        </w:tc>
        <w:tc>
          <w:tcPr>
            <w:tcW w:w="2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w w:val="93"/>
              </w:rPr>
              <w:t>$9.6 million</w:t>
            </w:r>
          </w:p>
        </w:tc>
        <w:tc>
          <w:tcPr>
            <w:tcW w:w="2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5"/>
              </w:rPr>
              <w:t>$1.4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-2743200</wp:posOffset>
            </wp:positionV>
            <wp:extent cx="7246620"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-2082800</wp:posOffset>
            </wp:positionV>
            <wp:extent cx="7246620" cy="377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-1328420</wp:posOffset>
            </wp:positionV>
            <wp:extent cx="72466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-290830</wp:posOffset>
            </wp:positionV>
            <wp:extent cx="7246620" cy="471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514" w:lineRule="exact"/>
        <w:rPr>
          <w:sz w:val="20"/>
          <w:szCs w:val="20"/>
          <w:color w:val="auto"/>
        </w:rPr>
      </w:pPr>
    </w:p>
    <w:p>
      <w:pPr>
        <w:sectPr>
          <w:pgSz w:w="11900" w:h="16838" w:orient="portrait"/>
          <w:cols w:equalWidth="0" w:num="2">
            <w:col w:w="2080" w:space="260"/>
            <w:col w:w="9080"/>
          </w:cols>
          <w:pgMar w:left="240" w:top="131" w:right="239" w:bottom="1440" w:gutter="0" w:footer="0" w:header="0"/>
          <w:type w:val="continuous"/>
        </w:sectPr>
      </w:pPr>
    </w:p>
    <w:p>
      <w:pPr>
        <w:spacing w:after="0" w:line="43" w:lineRule="exact"/>
        <w:rPr>
          <w:sz w:val="20"/>
          <w:szCs w:val="20"/>
          <w:color w:val="auto"/>
        </w:rPr>
      </w:pPr>
    </w:p>
    <w:p>
      <w:pPr>
        <w:ind w:left="580" w:hanging="572"/>
        <w:spacing w:after="0" w:line="186" w:lineRule="auto"/>
        <w:tabs>
          <w:tab w:leader="none" w:pos="58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This figure represents the level of achievement after the adjustment to the corporate profitability key performance indicator calculation for the unbudgeted non-cash markdowns as discussed in greater detail below.</w:t>
      </w:r>
    </w:p>
    <w:p>
      <w:pPr>
        <w:spacing w:after="0" w:line="194" w:lineRule="exact"/>
        <w:rPr>
          <w:rFonts w:ascii="Arial" w:cs="Arial" w:eastAsia="Arial" w:hAnsi="Arial"/>
          <w:sz w:val="22"/>
          <w:szCs w:val="22"/>
          <w:color w:val="auto"/>
          <w:vertAlign w:val="superscript"/>
        </w:rPr>
      </w:pPr>
    </w:p>
    <w:p>
      <w:pPr>
        <w:ind w:left="5620" w:hanging="96"/>
        <w:spacing w:after="0"/>
        <w:tabs>
          <w:tab w:leader="none" w:pos="5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 w:name="page20"/>
    <w:bookmarkEnd w:id="19"/>
    <w:p>
      <w:pPr>
        <w:jc w:val="both"/>
        <w:spacing w:after="0" w:line="290" w:lineRule="auto"/>
        <w:rPr>
          <w:sz w:val="20"/>
          <w:szCs w:val="20"/>
          <w:color w:val="auto"/>
        </w:rPr>
      </w:pPr>
      <w:r>
        <w:rPr>
          <w:rFonts w:ascii="Arial" w:cs="Arial" w:eastAsia="Arial" w:hAnsi="Arial"/>
          <w:sz w:val="16"/>
          <w:szCs w:val="16"/>
          <w:color w:val="auto"/>
        </w:rPr>
        <w:t>In awarding the Chief Executive Officer’s incentive compensation for 2008, the Compensation Committee reviewed the company’s achievement levels on its corporate scorecard and formulated a personal performance appraisal, allocating the percentage of weight between the components at 70% and 30% respectively. In its appraisal of the Chief Executive Officer, the Compensation Committee noted that he exhibited extraordinary leadership in achieving the strategic initiatives of the company at an Outstanding level, while directing the company profitably through an economic downturn that many other companies in the same sector did not survive. Additionally, the company’s core operating results were at Outstanding levels and the stock price increased by 66% despite a corresponding 51% decrease in the Dow Jones Industrial Average for 2008. The Compensation Committee determined that the Chief Executive Officer achieved an Outstanding performance level overall.</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incentive awards of our other executive officers are structured so that compensation opportunities are related to (i) the performance levels on the corporate key performance indicators and initiatives (30%), (ii) the performance appraisal of the executive officer (20%) and (iii) the performance within the business or support unit as expressed on each executive officer’s scorecard (50%). For the 2008 service year, the applicable percentage weight assigned to each component of each executive officer’s incentive compensation is detailed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Corporate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b w:val="1"/>
                <w:bCs w:val="1"/>
                <w:color w:val="auto"/>
              </w:rPr>
              <w:t>Corporate</w:t>
            </w: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Return on</w:t>
            </w:r>
          </w:p>
        </w:tc>
        <w:tc>
          <w:tcPr>
            <w:tcW w:w="32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b w:val="1"/>
                <w:bCs w:val="1"/>
                <w:color w:val="auto"/>
              </w:rPr>
              <w:t>Strategic</w:t>
            </w:r>
          </w:p>
        </w:tc>
        <w:tc>
          <w:tcPr>
            <w:tcW w:w="32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Performance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33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19"/>
                <w:szCs w:val="19"/>
                <w:color w:val="auto"/>
              </w:rPr>
            </w:pPr>
          </w:p>
        </w:tc>
        <w:tc>
          <w:tcPr>
            <w:tcW w:w="1280" w:type="dxa"/>
            <w:vAlign w:val="bottom"/>
          </w:tcPr>
          <w:p>
            <w:pPr>
              <w:jc w:val="right"/>
              <w:ind w:right="212"/>
              <w:spacing w:after="0"/>
              <w:rPr>
                <w:sz w:val="20"/>
                <w:szCs w:val="20"/>
                <w:color w:val="auto"/>
              </w:rPr>
            </w:pPr>
            <w:r>
              <w:rPr>
                <w:rFonts w:ascii="Arial" w:cs="Arial" w:eastAsia="Arial" w:hAnsi="Arial"/>
                <w:sz w:val="18"/>
                <w:szCs w:val="18"/>
                <w:b w:val="1"/>
                <w:bCs w:val="1"/>
                <w:color w:val="auto"/>
              </w:rPr>
              <w:t>EBITDA</w:t>
            </w:r>
          </w:p>
        </w:tc>
        <w:tc>
          <w:tcPr>
            <w:tcW w:w="3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320" w:type="dxa"/>
            <w:vAlign w:val="bottom"/>
          </w:tcPr>
          <w:p>
            <w:pPr>
              <w:spacing w:after="0"/>
              <w:rPr>
                <w:sz w:val="19"/>
                <w:szCs w:val="19"/>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b w:val="1"/>
                <w:bCs w:val="1"/>
                <w:color w:val="auto"/>
              </w:rPr>
              <w:t>Initiatives</w:t>
            </w:r>
          </w:p>
        </w:tc>
        <w:tc>
          <w:tcPr>
            <w:tcW w:w="320" w:type="dxa"/>
            <w:vAlign w:val="bottom"/>
          </w:tcPr>
          <w:p>
            <w:pPr>
              <w:spacing w:after="0"/>
              <w:rPr>
                <w:sz w:val="19"/>
                <w:szCs w:val="19"/>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b w:val="1"/>
                <w:bCs w:val="1"/>
                <w:color w:val="auto"/>
              </w:rPr>
              <w:t>Appraisal</w:t>
            </w:r>
          </w:p>
        </w:tc>
        <w:tc>
          <w:tcPr>
            <w:tcW w:w="320" w:type="dxa"/>
            <w:vAlign w:val="bottom"/>
          </w:tcPr>
          <w:p>
            <w:pPr>
              <w:spacing w:after="0"/>
              <w:rPr>
                <w:sz w:val="19"/>
                <w:szCs w:val="19"/>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b w:val="1"/>
                <w:bCs w:val="1"/>
                <w:color w:val="auto"/>
              </w:rPr>
              <w:t>Scorecard</w:t>
            </w:r>
          </w:p>
        </w:tc>
        <w:tc>
          <w:tcPr>
            <w:tcW w:w="100" w:type="dxa"/>
            <w:vAlign w:val="bottom"/>
          </w:tcPr>
          <w:p>
            <w:pPr>
              <w:spacing w:after="0"/>
              <w:rPr>
                <w:sz w:val="19"/>
                <w:szCs w:val="19"/>
                <w:color w:val="auto"/>
              </w:rPr>
            </w:pPr>
          </w:p>
        </w:tc>
      </w:tr>
      <w:tr>
        <w:trPr>
          <w:trHeight w:val="245"/>
        </w:trPr>
        <w:tc>
          <w:tcPr>
            <w:tcW w:w="33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3340" w:type="dxa"/>
            <w:vAlign w:val="bottom"/>
            <w:shd w:val="clear" w:color="auto" w:fill="EAF9E8"/>
          </w:tcPr>
          <w:p>
            <w:pPr>
              <w:spacing w:after="0"/>
              <w:rPr>
                <w:sz w:val="20"/>
                <w:szCs w:val="20"/>
                <w:color w:val="auto"/>
              </w:rPr>
            </w:pPr>
            <w:r>
              <w:rPr>
                <w:rFonts w:ascii="Arial" w:cs="Arial" w:eastAsia="Arial" w:hAnsi="Arial"/>
                <w:sz w:val="18"/>
                <w:szCs w:val="18"/>
                <w:color w:val="auto"/>
              </w:rPr>
              <w:t>Ronald M. Faris</w:t>
            </w:r>
          </w:p>
        </w:tc>
        <w:tc>
          <w:tcPr>
            <w:tcW w:w="340" w:type="dxa"/>
            <w:vAlign w:val="bottom"/>
            <w:shd w:val="clear" w:color="auto" w:fill="EAF9E8"/>
          </w:tcPr>
          <w:p>
            <w:pPr>
              <w:spacing w:after="0"/>
              <w:rPr>
                <w:sz w:val="18"/>
                <w:szCs w:val="18"/>
                <w:color w:val="auto"/>
              </w:rPr>
            </w:pPr>
          </w:p>
        </w:tc>
        <w:tc>
          <w:tcPr>
            <w:tcW w:w="1280" w:type="dxa"/>
            <w:vAlign w:val="bottom"/>
            <w:shd w:val="clear" w:color="auto" w:fill="EAF9E8"/>
          </w:tcPr>
          <w:p>
            <w:pPr>
              <w:jc w:val="right"/>
              <w:ind w:right="352"/>
              <w:spacing w:after="0"/>
              <w:rPr>
                <w:sz w:val="20"/>
                <w:szCs w:val="20"/>
                <w:color w:val="auto"/>
              </w:rPr>
            </w:pPr>
            <w:r>
              <w:rPr>
                <w:rFonts w:ascii="Arial" w:cs="Arial" w:eastAsia="Arial" w:hAnsi="Arial"/>
                <w:sz w:val="18"/>
                <w:szCs w:val="18"/>
                <w:color w:val="auto"/>
              </w:rPr>
              <w:t>10%</w:t>
            </w:r>
          </w:p>
        </w:tc>
        <w:tc>
          <w:tcPr>
            <w:tcW w:w="340" w:type="dxa"/>
            <w:vAlign w:val="bottom"/>
            <w:shd w:val="clear" w:color="auto" w:fill="EAF9E8"/>
          </w:tcPr>
          <w:p>
            <w:pPr>
              <w:spacing w:after="0"/>
              <w:rPr>
                <w:sz w:val="18"/>
                <w:szCs w:val="18"/>
                <w:color w:val="auto"/>
              </w:rPr>
            </w:pPr>
          </w:p>
        </w:tc>
        <w:tc>
          <w:tcPr>
            <w:tcW w:w="1280" w:type="dxa"/>
            <w:vAlign w:val="bottom"/>
            <w:shd w:val="clear" w:color="auto" w:fill="EAF9E8"/>
          </w:tcPr>
          <w:p>
            <w:pPr>
              <w:jc w:val="right"/>
              <w:ind w:right="352"/>
              <w:spacing w:after="0"/>
              <w:rPr>
                <w:sz w:val="20"/>
                <w:szCs w:val="20"/>
                <w:color w:val="auto"/>
              </w:rPr>
            </w:pPr>
            <w:r>
              <w:rPr>
                <w:rFonts w:ascii="Arial" w:cs="Arial" w:eastAsia="Arial" w:hAnsi="Arial"/>
                <w:sz w:val="18"/>
                <w:szCs w:val="18"/>
                <w:color w:val="auto"/>
              </w:rPr>
              <w:t>10%</w:t>
            </w:r>
          </w:p>
        </w:tc>
        <w:tc>
          <w:tcPr>
            <w:tcW w:w="320" w:type="dxa"/>
            <w:vAlign w:val="bottom"/>
            <w:shd w:val="clear" w:color="auto" w:fill="EAF9E8"/>
          </w:tcPr>
          <w:p>
            <w:pPr>
              <w:spacing w:after="0"/>
              <w:rPr>
                <w:sz w:val="18"/>
                <w:szCs w:val="18"/>
                <w:color w:val="auto"/>
              </w:rPr>
            </w:pPr>
          </w:p>
        </w:tc>
        <w:tc>
          <w:tcPr>
            <w:tcW w:w="1260" w:type="dxa"/>
            <w:vAlign w:val="bottom"/>
            <w:shd w:val="clear" w:color="auto" w:fill="EAF9E8"/>
          </w:tcPr>
          <w:p>
            <w:pPr>
              <w:jc w:val="right"/>
              <w:ind w:right="332"/>
              <w:spacing w:after="0"/>
              <w:rPr>
                <w:sz w:val="20"/>
                <w:szCs w:val="20"/>
                <w:color w:val="auto"/>
              </w:rPr>
            </w:pPr>
            <w:r>
              <w:rPr>
                <w:rFonts w:ascii="Arial" w:cs="Arial" w:eastAsia="Arial" w:hAnsi="Arial"/>
                <w:sz w:val="18"/>
                <w:szCs w:val="18"/>
                <w:color w:val="auto"/>
              </w:rPr>
              <w:t>10%</w:t>
            </w:r>
          </w:p>
        </w:tc>
        <w:tc>
          <w:tcPr>
            <w:tcW w:w="320" w:type="dxa"/>
            <w:vAlign w:val="bottom"/>
            <w:shd w:val="clear" w:color="auto" w:fill="EAF9E8"/>
          </w:tcPr>
          <w:p>
            <w:pPr>
              <w:spacing w:after="0"/>
              <w:rPr>
                <w:sz w:val="18"/>
                <w:szCs w:val="18"/>
                <w:color w:val="auto"/>
              </w:rPr>
            </w:pPr>
          </w:p>
        </w:tc>
        <w:tc>
          <w:tcPr>
            <w:tcW w:w="1260" w:type="dxa"/>
            <w:vAlign w:val="bottom"/>
            <w:shd w:val="clear" w:color="auto" w:fill="EAF9E8"/>
          </w:tcPr>
          <w:p>
            <w:pPr>
              <w:jc w:val="right"/>
              <w:ind w:right="332"/>
              <w:spacing w:after="0"/>
              <w:rPr>
                <w:sz w:val="20"/>
                <w:szCs w:val="20"/>
                <w:color w:val="auto"/>
              </w:rPr>
            </w:pPr>
            <w:r>
              <w:rPr>
                <w:rFonts w:ascii="Arial" w:cs="Arial" w:eastAsia="Arial" w:hAnsi="Arial"/>
                <w:sz w:val="18"/>
                <w:szCs w:val="18"/>
                <w:color w:val="auto"/>
              </w:rPr>
              <w:t>20%</w:t>
            </w:r>
          </w:p>
        </w:tc>
        <w:tc>
          <w:tcPr>
            <w:tcW w:w="320" w:type="dxa"/>
            <w:vAlign w:val="bottom"/>
            <w:shd w:val="clear" w:color="auto" w:fill="EAF9E8"/>
          </w:tcPr>
          <w:p>
            <w:pPr>
              <w:spacing w:after="0"/>
              <w:rPr>
                <w:sz w:val="18"/>
                <w:szCs w:val="18"/>
                <w:color w:val="auto"/>
              </w:rPr>
            </w:pPr>
          </w:p>
        </w:tc>
        <w:tc>
          <w:tcPr>
            <w:tcW w:w="1260" w:type="dxa"/>
            <w:vAlign w:val="bottom"/>
            <w:shd w:val="clear" w:color="auto" w:fill="EAF9E8"/>
          </w:tcPr>
          <w:p>
            <w:pPr>
              <w:jc w:val="right"/>
              <w:ind w:right="332"/>
              <w:spacing w:after="0"/>
              <w:rPr>
                <w:sz w:val="20"/>
                <w:szCs w:val="20"/>
                <w:color w:val="auto"/>
              </w:rPr>
            </w:pPr>
            <w:r>
              <w:rPr>
                <w:rFonts w:ascii="Arial" w:cs="Arial" w:eastAsia="Arial" w:hAnsi="Arial"/>
                <w:sz w:val="18"/>
                <w:szCs w:val="18"/>
                <w:color w:val="auto"/>
              </w:rPr>
              <w:t>50%</w:t>
            </w:r>
          </w:p>
        </w:tc>
        <w:tc>
          <w:tcPr>
            <w:tcW w:w="100" w:type="dxa"/>
            <w:vAlign w:val="bottom"/>
            <w:shd w:val="clear" w:color="auto" w:fill="EAF9E8"/>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David J. Gunter</w:t>
            </w:r>
          </w:p>
        </w:tc>
        <w:tc>
          <w:tcPr>
            <w:tcW w:w="1620" w:type="dxa"/>
            <w:vAlign w:val="bottom"/>
            <w:gridSpan w:val="2"/>
          </w:tcPr>
          <w:p>
            <w:pPr>
              <w:jc w:val="right"/>
              <w:ind w:right="352"/>
              <w:spacing w:after="0"/>
              <w:rPr>
                <w:sz w:val="20"/>
                <w:szCs w:val="20"/>
                <w:color w:val="auto"/>
              </w:rPr>
            </w:pPr>
            <w:r>
              <w:rPr>
                <w:rFonts w:ascii="Arial" w:cs="Arial" w:eastAsia="Arial" w:hAnsi="Arial"/>
                <w:sz w:val="18"/>
                <w:szCs w:val="18"/>
                <w:color w:val="auto"/>
              </w:rPr>
              <w:t>10%</w:t>
            </w:r>
          </w:p>
        </w:tc>
        <w:tc>
          <w:tcPr>
            <w:tcW w:w="1620" w:type="dxa"/>
            <w:vAlign w:val="bottom"/>
            <w:gridSpan w:val="2"/>
          </w:tcPr>
          <w:p>
            <w:pPr>
              <w:jc w:val="right"/>
              <w:ind w:right="352"/>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20%</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3340" w:type="dxa"/>
            <w:vAlign w:val="bottom"/>
            <w:shd w:val="clear" w:color="auto" w:fill="EAF9E8"/>
          </w:tcPr>
          <w:p>
            <w:pPr>
              <w:spacing w:after="0"/>
              <w:rPr>
                <w:sz w:val="20"/>
                <w:szCs w:val="20"/>
                <w:color w:val="auto"/>
              </w:rPr>
            </w:pPr>
            <w:r>
              <w:rPr>
                <w:rFonts w:ascii="Arial" w:cs="Arial" w:eastAsia="Arial" w:hAnsi="Arial"/>
                <w:sz w:val="18"/>
                <w:szCs w:val="18"/>
                <w:color w:val="auto"/>
              </w:rPr>
              <w:t>Paul A. Koches</w:t>
            </w:r>
          </w:p>
        </w:tc>
        <w:tc>
          <w:tcPr>
            <w:tcW w:w="1620" w:type="dxa"/>
            <w:vAlign w:val="bottom"/>
            <w:gridSpan w:val="2"/>
            <w:shd w:val="clear" w:color="auto" w:fill="EAF9E8"/>
          </w:tcPr>
          <w:p>
            <w:pPr>
              <w:jc w:val="right"/>
              <w:ind w:right="352"/>
              <w:spacing w:after="0"/>
              <w:rPr>
                <w:sz w:val="20"/>
                <w:szCs w:val="20"/>
                <w:color w:val="auto"/>
              </w:rPr>
            </w:pPr>
            <w:r>
              <w:rPr>
                <w:rFonts w:ascii="Arial" w:cs="Arial" w:eastAsia="Arial" w:hAnsi="Arial"/>
                <w:sz w:val="18"/>
                <w:szCs w:val="18"/>
                <w:color w:val="auto"/>
              </w:rPr>
              <w:t>10%</w:t>
            </w:r>
          </w:p>
        </w:tc>
        <w:tc>
          <w:tcPr>
            <w:tcW w:w="1620" w:type="dxa"/>
            <w:vAlign w:val="bottom"/>
            <w:gridSpan w:val="2"/>
            <w:shd w:val="clear" w:color="auto" w:fill="EAF9E8"/>
          </w:tcPr>
          <w:p>
            <w:pPr>
              <w:jc w:val="right"/>
              <w:ind w:right="352"/>
              <w:spacing w:after="0"/>
              <w:rPr>
                <w:sz w:val="20"/>
                <w:szCs w:val="20"/>
                <w:color w:val="auto"/>
              </w:rPr>
            </w:pPr>
            <w:r>
              <w:rPr>
                <w:rFonts w:ascii="Arial" w:cs="Arial" w:eastAsia="Arial" w:hAnsi="Arial"/>
                <w:sz w:val="18"/>
                <w:szCs w:val="18"/>
                <w:color w:val="auto"/>
              </w:rPr>
              <w:t>10%</w:t>
            </w:r>
          </w:p>
        </w:tc>
        <w:tc>
          <w:tcPr>
            <w:tcW w:w="1580" w:type="dxa"/>
            <w:vAlign w:val="bottom"/>
            <w:gridSpan w:val="2"/>
            <w:shd w:val="clear" w:color="auto" w:fill="EAF9E8"/>
          </w:tcPr>
          <w:p>
            <w:pPr>
              <w:jc w:val="right"/>
              <w:ind w:right="332"/>
              <w:spacing w:after="0"/>
              <w:rPr>
                <w:sz w:val="20"/>
                <w:szCs w:val="20"/>
                <w:color w:val="auto"/>
              </w:rPr>
            </w:pPr>
            <w:r>
              <w:rPr>
                <w:rFonts w:ascii="Arial" w:cs="Arial" w:eastAsia="Arial" w:hAnsi="Arial"/>
                <w:sz w:val="18"/>
                <w:szCs w:val="18"/>
                <w:color w:val="auto"/>
              </w:rPr>
              <w:t>10%</w:t>
            </w:r>
          </w:p>
        </w:tc>
        <w:tc>
          <w:tcPr>
            <w:tcW w:w="1580" w:type="dxa"/>
            <w:vAlign w:val="bottom"/>
            <w:gridSpan w:val="2"/>
            <w:shd w:val="clear" w:color="auto" w:fill="EAF9E8"/>
          </w:tcPr>
          <w:p>
            <w:pPr>
              <w:jc w:val="right"/>
              <w:ind w:right="332"/>
              <w:spacing w:after="0"/>
              <w:rPr>
                <w:sz w:val="20"/>
                <w:szCs w:val="20"/>
                <w:color w:val="auto"/>
              </w:rPr>
            </w:pPr>
            <w:r>
              <w:rPr>
                <w:rFonts w:ascii="Arial" w:cs="Arial" w:eastAsia="Arial" w:hAnsi="Arial"/>
                <w:sz w:val="18"/>
                <w:szCs w:val="18"/>
                <w:color w:val="auto"/>
              </w:rPr>
              <w:t>20%</w:t>
            </w:r>
          </w:p>
        </w:tc>
        <w:tc>
          <w:tcPr>
            <w:tcW w:w="1580" w:type="dxa"/>
            <w:vAlign w:val="bottom"/>
            <w:gridSpan w:val="2"/>
            <w:shd w:val="clear" w:color="auto" w:fill="EAF9E8"/>
          </w:tcPr>
          <w:p>
            <w:pPr>
              <w:jc w:val="right"/>
              <w:ind w:right="332"/>
              <w:spacing w:after="0"/>
              <w:rPr>
                <w:sz w:val="20"/>
                <w:szCs w:val="20"/>
                <w:color w:val="auto"/>
              </w:rPr>
            </w:pPr>
            <w:r>
              <w:rPr>
                <w:rFonts w:ascii="Arial" w:cs="Arial" w:eastAsia="Arial" w:hAnsi="Arial"/>
                <w:sz w:val="18"/>
                <w:szCs w:val="18"/>
                <w:color w:val="auto"/>
              </w:rPr>
              <w:t>50%</w:t>
            </w:r>
          </w:p>
        </w:tc>
        <w:tc>
          <w:tcPr>
            <w:tcW w:w="100" w:type="dxa"/>
            <w:vAlign w:val="bottom"/>
            <w:shd w:val="clear" w:color="auto" w:fill="EAF9E8"/>
          </w:tcPr>
          <w:p>
            <w:pPr>
              <w:spacing w:after="0"/>
              <w:rPr>
                <w:sz w:val="18"/>
                <w:szCs w:val="18"/>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William B. Shepro</w:t>
            </w:r>
          </w:p>
        </w:tc>
        <w:tc>
          <w:tcPr>
            <w:tcW w:w="1620" w:type="dxa"/>
            <w:vAlign w:val="bottom"/>
            <w:gridSpan w:val="2"/>
          </w:tcPr>
          <w:p>
            <w:pPr>
              <w:jc w:val="right"/>
              <w:ind w:right="352"/>
              <w:spacing w:after="0"/>
              <w:rPr>
                <w:sz w:val="20"/>
                <w:szCs w:val="20"/>
                <w:color w:val="auto"/>
              </w:rPr>
            </w:pPr>
            <w:r>
              <w:rPr>
                <w:rFonts w:ascii="Arial" w:cs="Arial" w:eastAsia="Arial" w:hAnsi="Arial"/>
                <w:sz w:val="18"/>
                <w:szCs w:val="18"/>
                <w:color w:val="auto"/>
              </w:rPr>
              <w:t>10%</w:t>
            </w:r>
          </w:p>
        </w:tc>
        <w:tc>
          <w:tcPr>
            <w:tcW w:w="1620" w:type="dxa"/>
            <w:vAlign w:val="bottom"/>
            <w:gridSpan w:val="2"/>
          </w:tcPr>
          <w:p>
            <w:pPr>
              <w:jc w:val="right"/>
              <w:ind w:right="352"/>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20%</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 executive officers have 20% of their incentive compensation determined by objective performance related to the corporate profitability key performance indicators established as part of the corporate scorecard. In determining the company’s achievement on these two indicators for 2008, the Compensation Committee noted that there were $29.6 million of unbudgeted non-cash markdowns on auction rate securities, which negatively affected the company’s achievement. The Compensation Committee determined that these amounts should be removed from the achievement calculations noting that these were non-cash items, on which the economic value was likely to be recovered by the company in the future. The Compensation Committee further noted that the inclusion of these amounts would unfairly result in incentive compensation calculations that did not properly reward executive management for their performance in 2008. The Compensation Committee also clarified that any gains ultimately realized with regard to these assets would be excluded from the achievement calculations for the corporate profitability key performance indicators in the future. Therefore, any such gains will be precluded from having a positive impact on incentive compensation calculations such time.</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responsibility for achieving our key performance indicators and initiatives in our corporate scorecard is cascaded to our executive officers in each personal scorecard, which comprises 50% of the respective executive officer’s incentive compensation and represents key elements of our strategic initiatives for the year related to the executive officer’s respective business or support unit. These goals and initiatives are further cascaded to all of our incentive-eligible employees in their personal scorecards. Within this program, all incentive-eligible employees of the organization are tied to a personal or business unit scorecard from which to measure performance against goals that are directly linked to corporate profitability and strategy. This incentive compensation structure is intended to align the goals of our executives with the overall success of the company, while establishing clear performance standards within their respective business or support units.</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components in each scorecard are weighted individually based on relevance to the ultimate financial performance of the company and achievement of the strategic initiatives. In the process of developing the individual weighted value of each goal in an executive’s scorecard, the Compensation Committee uses a methodology that distributes the potential to earn incentive compensation sufficiently to discourage an executive from pursuing excessive risks to attain their goals. Within each component of the scorecard, there are three established levels of achievement: Threshold, Target, and Outstanding. Each level of achievement is tied to a relative point on a percentage scale, which indicates the executive officer’s level of goal achievement within each component of the scorecard.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not entitle the executive to compensation for the associated goal.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personal scorecards for our other executive officers and their corresponding levels of achievement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4"/>
              </w:rPr>
              <w:t>2008 Scorecard</w:t>
            </w: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auto"/>
              </w:rPr>
              <w:t>Achievement Levels</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Level</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vMerge w:val="restart"/>
          </w:tcPr>
          <w:p>
            <w:pPr>
              <w:jc w:val="center"/>
              <w:ind w:left="172"/>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1"/>
                <w:szCs w:val="11"/>
                <w:color w:val="auto"/>
              </w:rPr>
            </w:pPr>
          </w:p>
        </w:tc>
        <w:tc>
          <w:tcPr>
            <w:tcW w:w="242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rPr>
              <w:t>Elements</w:t>
            </w:r>
          </w:p>
        </w:tc>
        <w:tc>
          <w:tcPr>
            <w:tcW w:w="1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7"/>
              </w:rPr>
              <w:t>Achieved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8"/>
              </w:rPr>
              <w:t>Threshold</w:t>
            </w:r>
          </w:p>
        </w:tc>
        <w:tc>
          <w:tcPr>
            <w:tcW w:w="2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3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Borders>
              <w:top w:val="single" w:sz="8" w:color="auto"/>
            </w:tcBorders>
            <w:shd w:val="clear" w:color="auto" w:fill="EAF9E8"/>
          </w:tcPr>
          <w:p>
            <w:pPr>
              <w:jc w:val="right"/>
              <w:ind w:right="432"/>
              <w:spacing w:after="0" w:line="131" w:lineRule="exact"/>
              <w:rPr>
                <w:sz w:val="20"/>
                <w:szCs w:val="20"/>
                <w:color w:val="auto"/>
              </w:rPr>
            </w:pPr>
            <w:r>
              <w:rPr>
                <w:rFonts w:ascii="Arial" w:cs="Arial" w:eastAsia="Arial" w:hAnsi="Arial"/>
                <w:sz w:val="14"/>
                <w:szCs w:val="14"/>
                <w:color w:val="auto"/>
                <w:w w:val="84"/>
              </w:rPr>
              <w:t>Ronald M. Faris</w:t>
            </w:r>
          </w:p>
        </w:tc>
        <w:tc>
          <w:tcPr>
            <w:tcW w:w="240" w:type="dxa"/>
            <w:vAlign w:val="bottom"/>
            <w:shd w:val="clear" w:color="auto" w:fill="EAF9E8"/>
          </w:tcPr>
          <w:p>
            <w:pPr>
              <w:spacing w:after="0"/>
              <w:rPr>
                <w:sz w:val="11"/>
                <w:szCs w:val="11"/>
                <w:color w:val="auto"/>
              </w:rPr>
            </w:pPr>
          </w:p>
        </w:tc>
        <w:tc>
          <w:tcPr>
            <w:tcW w:w="68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2300" w:type="dxa"/>
            <w:vAlign w:val="bottom"/>
            <w:tcBorders>
              <w:top w:val="single" w:sz="8" w:color="auto"/>
            </w:tcBorders>
            <w:shd w:val="clear" w:color="auto" w:fill="EAF9E8"/>
          </w:tcPr>
          <w:p>
            <w:pPr>
              <w:jc w:val="center"/>
              <w:spacing w:after="0" w:line="131" w:lineRule="exact"/>
              <w:rPr>
                <w:sz w:val="20"/>
                <w:szCs w:val="20"/>
                <w:color w:val="auto"/>
              </w:rPr>
            </w:pPr>
            <w:r>
              <w:rPr>
                <w:rFonts w:ascii="Arial" w:cs="Arial" w:eastAsia="Arial" w:hAnsi="Arial"/>
                <w:sz w:val="14"/>
                <w:szCs w:val="14"/>
                <w:color w:val="auto"/>
                <w:w w:val="86"/>
              </w:rPr>
              <w:t>Achieve Ocwen Asset Management pre-</w:t>
            </w:r>
          </w:p>
        </w:tc>
        <w:tc>
          <w:tcPr>
            <w:tcW w:w="120" w:type="dxa"/>
            <w:vAlign w:val="bottom"/>
            <w:shd w:val="clear" w:color="auto" w:fill="EAF9E8"/>
          </w:tcPr>
          <w:p>
            <w:pPr>
              <w:spacing w:after="0"/>
              <w:rPr>
                <w:sz w:val="11"/>
                <w:szCs w:val="11"/>
                <w:color w:val="auto"/>
              </w:rPr>
            </w:pPr>
          </w:p>
        </w:tc>
        <w:tc>
          <w:tcPr>
            <w:tcW w:w="172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46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58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360" w:type="dxa"/>
            <w:vAlign w:val="bottom"/>
            <w:tcBorders>
              <w:top w:val="single" w:sz="8" w:color="auto"/>
            </w:tcBorders>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center"/>
              <w:ind w:left="172"/>
              <w:spacing w:after="0" w:line="149" w:lineRule="exact"/>
              <w:rPr>
                <w:sz w:val="20"/>
                <w:szCs w:val="20"/>
                <w:color w:val="auto"/>
              </w:rPr>
            </w:pPr>
            <w:r>
              <w:rPr>
                <w:rFonts w:ascii="Arial" w:cs="Arial" w:eastAsia="Arial" w:hAnsi="Arial"/>
                <w:sz w:val="14"/>
                <w:szCs w:val="14"/>
                <w:color w:val="auto"/>
                <w:w w:val="85"/>
              </w:rPr>
              <w:t>25%</w:t>
            </w:r>
          </w:p>
        </w:tc>
        <w:tc>
          <w:tcPr>
            <w:tcW w:w="120" w:type="dxa"/>
            <w:vAlign w:val="bottom"/>
            <w:shd w:val="clear" w:color="auto" w:fill="EAF9E8"/>
          </w:tcPr>
          <w:p>
            <w:pPr>
              <w:spacing w:after="0"/>
              <w:rPr>
                <w:sz w:val="12"/>
                <w:szCs w:val="12"/>
                <w:color w:val="auto"/>
              </w:rPr>
            </w:pPr>
          </w:p>
        </w:tc>
        <w:tc>
          <w:tcPr>
            <w:tcW w:w="2420" w:type="dxa"/>
            <w:vAlign w:val="bottom"/>
            <w:gridSpan w:val="2"/>
            <w:shd w:val="clear" w:color="auto" w:fill="EAF9E8"/>
          </w:tcPr>
          <w:p>
            <w:pPr>
              <w:jc w:val="center"/>
              <w:ind w:right="120"/>
              <w:spacing w:after="0" w:line="149" w:lineRule="exact"/>
              <w:rPr>
                <w:sz w:val="20"/>
                <w:szCs w:val="20"/>
                <w:color w:val="auto"/>
              </w:rPr>
            </w:pPr>
            <w:r>
              <w:rPr>
                <w:rFonts w:ascii="Arial" w:cs="Arial" w:eastAsia="Arial" w:hAnsi="Arial"/>
                <w:sz w:val="14"/>
                <w:szCs w:val="14"/>
                <w:color w:val="auto"/>
                <w:w w:val="87"/>
              </w:rPr>
              <w:t>tax income target, including loans and</w:t>
            </w:r>
          </w:p>
        </w:tc>
        <w:tc>
          <w:tcPr>
            <w:tcW w:w="17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8"/>
              </w:rPr>
              <w:t>80% of budget</w:t>
            </w:r>
          </w:p>
        </w:tc>
        <w:tc>
          <w:tcPr>
            <w:tcW w:w="220" w:type="dxa"/>
            <w:vAlign w:val="bottom"/>
            <w:shd w:val="clear" w:color="auto" w:fill="EAF9E8"/>
          </w:tcPr>
          <w:p>
            <w:pPr>
              <w:spacing w:after="0"/>
              <w:rPr>
                <w:sz w:val="12"/>
                <w:szCs w:val="12"/>
                <w:color w:val="auto"/>
              </w:rPr>
            </w:pPr>
          </w:p>
        </w:tc>
        <w:tc>
          <w:tcPr>
            <w:tcW w:w="146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7"/>
              </w:rPr>
              <w:t>100% of budget</w:t>
            </w:r>
          </w:p>
        </w:tc>
        <w:tc>
          <w:tcPr>
            <w:tcW w:w="120" w:type="dxa"/>
            <w:vAlign w:val="bottom"/>
            <w:shd w:val="clear" w:color="auto" w:fill="EAF9E8"/>
          </w:tcPr>
          <w:p>
            <w:pPr>
              <w:spacing w:after="0"/>
              <w:rPr>
                <w:sz w:val="12"/>
                <w:szCs w:val="12"/>
                <w:color w:val="auto"/>
              </w:rPr>
            </w:pPr>
          </w:p>
        </w:tc>
        <w:tc>
          <w:tcPr>
            <w:tcW w:w="158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7"/>
              </w:rPr>
              <w:t>102% of budget</w:t>
            </w:r>
          </w:p>
        </w:tc>
        <w:tc>
          <w:tcPr>
            <w:tcW w:w="120" w:type="dxa"/>
            <w:vAlign w:val="bottom"/>
            <w:shd w:val="clear" w:color="auto" w:fill="EAF9E8"/>
          </w:tcPr>
          <w:p>
            <w:pPr>
              <w:spacing w:after="0"/>
              <w:rPr>
                <w:sz w:val="12"/>
                <w:szCs w:val="12"/>
                <w:color w:val="auto"/>
              </w:rPr>
            </w:pPr>
          </w:p>
        </w:tc>
        <w:tc>
          <w:tcPr>
            <w:tcW w:w="136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EAF9E8"/>
          </w:tcPr>
          <w:p>
            <w:pPr>
              <w:spacing w:after="0"/>
              <w:rPr>
                <w:sz w:val="13"/>
                <w:szCs w:val="13"/>
                <w:color w:val="auto"/>
              </w:rPr>
            </w:pPr>
          </w:p>
        </w:tc>
        <w:tc>
          <w:tcPr>
            <w:tcW w:w="240" w:type="dxa"/>
            <w:vAlign w:val="bottom"/>
            <w:shd w:val="clear" w:color="auto" w:fill="EAF9E8"/>
          </w:tcPr>
          <w:p>
            <w:pPr>
              <w:spacing w:after="0"/>
              <w:rPr>
                <w:sz w:val="13"/>
                <w:szCs w:val="13"/>
                <w:color w:val="auto"/>
              </w:rPr>
            </w:pPr>
          </w:p>
        </w:tc>
        <w:tc>
          <w:tcPr>
            <w:tcW w:w="6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2420" w:type="dxa"/>
            <w:vAlign w:val="bottom"/>
            <w:gridSpan w:val="2"/>
            <w:shd w:val="clear" w:color="auto" w:fill="EAF9E8"/>
          </w:tcPr>
          <w:p>
            <w:pPr>
              <w:jc w:val="center"/>
              <w:ind w:right="100"/>
              <w:spacing w:after="0" w:line="159" w:lineRule="exact"/>
              <w:rPr>
                <w:sz w:val="20"/>
                <w:szCs w:val="20"/>
                <w:color w:val="auto"/>
              </w:rPr>
            </w:pPr>
            <w:r>
              <w:rPr>
                <w:rFonts w:ascii="Arial" w:cs="Arial" w:eastAsia="Arial" w:hAnsi="Arial"/>
                <w:sz w:val="14"/>
                <w:szCs w:val="14"/>
                <w:color w:val="auto"/>
                <w:w w:val="85"/>
              </w:rPr>
              <w:t>residuals</w:t>
            </w:r>
          </w:p>
        </w:tc>
        <w:tc>
          <w:tcPr>
            <w:tcW w:w="172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146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5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36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gridSpan w:val="2"/>
          </w:tcPr>
          <w:p>
            <w:pPr>
              <w:jc w:val="center"/>
              <w:ind w:left="172"/>
              <w:spacing w:after="0"/>
              <w:rPr>
                <w:sz w:val="20"/>
                <w:szCs w:val="20"/>
                <w:color w:val="auto"/>
              </w:rPr>
            </w:pPr>
            <w:r>
              <w:rPr>
                <w:rFonts w:ascii="Arial" w:cs="Arial" w:eastAsia="Arial" w:hAnsi="Arial"/>
                <w:sz w:val="14"/>
                <w:szCs w:val="14"/>
                <w:color w:val="auto"/>
                <w:w w:val="85"/>
              </w:rPr>
              <w:t>25%</w:t>
            </w:r>
          </w:p>
        </w:tc>
        <w:tc>
          <w:tcPr>
            <w:tcW w:w="120" w:type="dxa"/>
            <w:vAlign w:val="bottom"/>
          </w:tcPr>
          <w:p>
            <w:pPr>
              <w:spacing w:after="0"/>
              <w:rPr>
                <w:sz w:val="24"/>
                <w:szCs w:val="24"/>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Achieve Return on Equity targets</w:t>
            </w:r>
          </w:p>
        </w:tc>
        <w:tc>
          <w:tcPr>
            <w:tcW w:w="1720" w:type="dxa"/>
            <w:vAlign w:val="bottom"/>
          </w:tcPr>
          <w:p>
            <w:pPr>
              <w:jc w:val="center"/>
              <w:spacing w:after="0"/>
              <w:rPr>
                <w:sz w:val="20"/>
                <w:szCs w:val="20"/>
                <w:color w:val="auto"/>
              </w:rPr>
            </w:pPr>
            <w:r>
              <w:rPr>
                <w:rFonts w:ascii="Arial" w:cs="Arial" w:eastAsia="Arial" w:hAnsi="Arial"/>
                <w:sz w:val="14"/>
                <w:szCs w:val="14"/>
                <w:color w:val="auto"/>
                <w:w w:val="87"/>
              </w:rPr>
              <w:t>5.2%</w:t>
            </w:r>
          </w:p>
        </w:tc>
        <w:tc>
          <w:tcPr>
            <w:tcW w:w="1680" w:type="dxa"/>
            <w:vAlign w:val="bottom"/>
            <w:gridSpan w:val="2"/>
          </w:tcPr>
          <w:p>
            <w:pPr>
              <w:jc w:val="center"/>
              <w:ind w:left="152"/>
              <w:spacing w:after="0"/>
              <w:rPr>
                <w:sz w:val="20"/>
                <w:szCs w:val="20"/>
                <w:color w:val="auto"/>
              </w:rPr>
            </w:pPr>
            <w:r>
              <w:rPr>
                <w:rFonts w:ascii="Arial" w:cs="Arial" w:eastAsia="Arial" w:hAnsi="Arial"/>
                <w:sz w:val="14"/>
                <w:szCs w:val="14"/>
                <w:color w:val="auto"/>
                <w:w w:val="93"/>
              </w:rPr>
              <w:t>6.2%</w:t>
            </w:r>
          </w:p>
        </w:tc>
        <w:tc>
          <w:tcPr>
            <w:tcW w:w="1700" w:type="dxa"/>
            <w:vAlign w:val="bottom"/>
            <w:gridSpan w:val="2"/>
          </w:tcPr>
          <w:p>
            <w:pPr>
              <w:jc w:val="center"/>
              <w:ind w:left="72"/>
              <w:spacing w:after="0"/>
              <w:rPr>
                <w:sz w:val="20"/>
                <w:szCs w:val="20"/>
                <w:color w:val="auto"/>
              </w:rPr>
            </w:pPr>
            <w:r>
              <w:rPr>
                <w:rFonts w:ascii="Arial" w:cs="Arial" w:eastAsia="Arial" w:hAnsi="Arial"/>
                <w:sz w:val="14"/>
                <w:szCs w:val="14"/>
                <w:color w:val="auto"/>
                <w:w w:val="87"/>
              </w:rPr>
              <w:t>7.2%</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3"/>
              </w:rPr>
              <w:t xml:space="preserve">Target </w:t>
            </w:r>
            <w:r>
              <w:rPr>
                <w:rFonts w:ascii="Arial" w:cs="Arial" w:eastAsia="Arial" w:hAnsi="Arial"/>
                <w:sz w:val="22"/>
                <w:szCs w:val="22"/>
                <w:color w:val="auto"/>
                <w:w w:val="83"/>
                <w:vertAlign w:val="superscript"/>
              </w:rPr>
              <w:t>(1)</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gridSpan w:val="2"/>
          </w:tcPr>
          <w:p>
            <w:pPr>
              <w:spacing w:after="0"/>
              <w:rPr>
                <w:sz w:val="4"/>
                <w:szCs w:val="4"/>
                <w:color w:val="auto"/>
              </w:rPr>
            </w:pPr>
          </w:p>
        </w:tc>
        <w:tc>
          <w:tcPr>
            <w:tcW w:w="1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2420" w:type="dxa"/>
            <w:vAlign w:val="bottom"/>
            <w:gridSpan w:val="2"/>
            <w:shd w:val="clear" w:color="auto" w:fill="EAF9E8"/>
          </w:tcPr>
          <w:p>
            <w:pPr>
              <w:jc w:val="center"/>
              <w:ind w:right="120"/>
              <w:spacing w:after="0" w:line="138" w:lineRule="exact"/>
              <w:rPr>
                <w:sz w:val="20"/>
                <w:szCs w:val="20"/>
                <w:color w:val="auto"/>
              </w:rPr>
            </w:pPr>
            <w:r>
              <w:rPr>
                <w:rFonts w:ascii="Arial" w:cs="Arial" w:eastAsia="Arial" w:hAnsi="Arial"/>
                <w:sz w:val="14"/>
                <w:szCs w:val="14"/>
                <w:color w:val="auto"/>
                <w:w w:val="87"/>
              </w:rPr>
              <w:t>Excluding 2008 acquisitions, reduce loan</w:t>
            </w:r>
          </w:p>
        </w:tc>
        <w:tc>
          <w:tcPr>
            <w:tcW w:w="1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4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5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3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center"/>
              <w:ind w:left="172"/>
              <w:spacing w:after="0" w:line="149" w:lineRule="exact"/>
              <w:rPr>
                <w:sz w:val="20"/>
                <w:szCs w:val="20"/>
                <w:color w:val="auto"/>
              </w:rPr>
            </w:pPr>
            <w:r>
              <w:rPr>
                <w:rFonts w:ascii="Arial" w:cs="Arial" w:eastAsia="Arial" w:hAnsi="Arial"/>
                <w:sz w:val="14"/>
                <w:szCs w:val="14"/>
                <w:color w:val="auto"/>
                <w:w w:val="85"/>
              </w:rPr>
              <w:t>25%</w:t>
            </w:r>
          </w:p>
        </w:tc>
        <w:tc>
          <w:tcPr>
            <w:tcW w:w="120" w:type="dxa"/>
            <w:vAlign w:val="bottom"/>
            <w:shd w:val="clear" w:color="auto" w:fill="EAF9E8"/>
          </w:tcPr>
          <w:p>
            <w:pPr>
              <w:spacing w:after="0"/>
              <w:rPr>
                <w:sz w:val="12"/>
                <w:szCs w:val="12"/>
                <w:color w:val="auto"/>
              </w:rPr>
            </w:pPr>
          </w:p>
        </w:tc>
        <w:tc>
          <w:tcPr>
            <w:tcW w:w="2420" w:type="dxa"/>
            <w:vAlign w:val="bottom"/>
            <w:gridSpan w:val="2"/>
            <w:shd w:val="clear" w:color="auto" w:fill="EAF9E8"/>
          </w:tcPr>
          <w:p>
            <w:pPr>
              <w:jc w:val="center"/>
              <w:ind w:right="100"/>
              <w:spacing w:after="0" w:line="149" w:lineRule="exact"/>
              <w:rPr>
                <w:sz w:val="20"/>
                <w:szCs w:val="20"/>
                <w:color w:val="auto"/>
              </w:rPr>
            </w:pPr>
            <w:r>
              <w:rPr>
                <w:rFonts w:ascii="Arial" w:cs="Arial" w:eastAsia="Arial" w:hAnsi="Arial"/>
                <w:sz w:val="14"/>
                <w:szCs w:val="14"/>
                <w:color w:val="auto"/>
                <w:w w:val="87"/>
              </w:rPr>
              <w:t>servicing advances by 5.0% of $77.063</w:t>
            </w:r>
          </w:p>
        </w:tc>
        <w:tc>
          <w:tcPr>
            <w:tcW w:w="17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7"/>
              </w:rPr>
              <w:t>2.5%</w:t>
            </w:r>
          </w:p>
        </w:tc>
        <w:tc>
          <w:tcPr>
            <w:tcW w:w="1680" w:type="dxa"/>
            <w:vAlign w:val="bottom"/>
            <w:gridSpan w:val="2"/>
            <w:shd w:val="clear" w:color="auto" w:fill="EAF9E8"/>
          </w:tcPr>
          <w:p>
            <w:pPr>
              <w:jc w:val="center"/>
              <w:ind w:left="152"/>
              <w:spacing w:after="0" w:line="149" w:lineRule="exact"/>
              <w:rPr>
                <w:sz w:val="20"/>
                <w:szCs w:val="20"/>
                <w:color w:val="auto"/>
              </w:rPr>
            </w:pPr>
            <w:r>
              <w:rPr>
                <w:rFonts w:ascii="Arial" w:cs="Arial" w:eastAsia="Arial" w:hAnsi="Arial"/>
                <w:sz w:val="14"/>
                <w:szCs w:val="14"/>
                <w:color w:val="auto"/>
                <w:w w:val="93"/>
              </w:rPr>
              <w:t>5.0%</w:t>
            </w:r>
          </w:p>
        </w:tc>
        <w:tc>
          <w:tcPr>
            <w:tcW w:w="1700" w:type="dxa"/>
            <w:vAlign w:val="bottom"/>
            <w:gridSpan w:val="2"/>
            <w:shd w:val="clear" w:color="auto" w:fill="EAF9E8"/>
          </w:tcPr>
          <w:p>
            <w:pPr>
              <w:jc w:val="center"/>
              <w:ind w:left="72"/>
              <w:spacing w:after="0" w:line="149" w:lineRule="exact"/>
              <w:rPr>
                <w:sz w:val="20"/>
                <w:szCs w:val="20"/>
                <w:color w:val="auto"/>
              </w:rPr>
            </w:pPr>
            <w:r>
              <w:rPr>
                <w:rFonts w:ascii="Arial" w:cs="Arial" w:eastAsia="Arial" w:hAnsi="Arial"/>
                <w:sz w:val="14"/>
                <w:szCs w:val="14"/>
                <w:color w:val="auto"/>
                <w:w w:val="87"/>
              </w:rPr>
              <w:t>7.5%</w:t>
            </w:r>
          </w:p>
        </w:tc>
        <w:tc>
          <w:tcPr>
            <w:tcW w:w="120" w:type="dxa"/>
            <w:vAlign w:val="bottom"/>
            <w:shd w:val="clear" w:color="auto" w:fill="EAF9E8"/>
          </w:tcPr>
          <w:p>
            <w:pPr>
              <w:spacing w:after="0"/>
              <w:rPr>
                <w:sz w:val="12"/>
                <w:szCs w:val="12"/>
                <w:color w:val="auto"/>
              </w:rPr>
            </w:pPr>
          </w:p>
        </w:tc>
        <w:tc>
          <w:tcPr>
            <w:tcW w:w="136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EAF9E8"/>
          </w:tcPr>
          <w:p>
            <w:pPr>
              <w:spacing w:after="0"/>
              <w:rPr>
                <w:sz w:val="13"/>
                <w:szCs w:val="13"/>
                <w:color w:val="auto"/>
              </w:rPr>
            </w:pPr>
          </w:p>
        </w:tc>
        <w:tc>
          <w:tcPr>
            <w:tcW w:w="240" w:type="dxa"/>
            <w:vAlign w:val="bottom"/>
            <w:shd w:val="clear" w:color="auto" w:fill="EAF9E8"/>
          </w:tcPr>
          <w:p>
            <w:pPr>
              <w:spacing w:after="0"/>
              <w:rPr>
                <w:sz w:val="13"/>
                <w:szCs w:val="13"/>
                <w:color w:val="auto"/>
              </w:rPr>
            </w:pPr>
          </w:p>
        </w:tc>
        <w:tc>
          <w:tcPr>
            <w:tcW w:w="6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2420" w:type="dxa"/>
            <w:vAlign w:val="bottom"/>
            <w:gridSpan w:val="2"/>
            <w:shd w:val="clear" w:color="auto" w:fill="EAF9E8"/>
          </w:tcPr>
          <w:p>
            <w:pPr>
              <w:jc w:val="center"/>
              <w:ind w:right="120"/>
              <w:spacing w:after="0" w:line="159" w:lineRule="exact"/>
              <w:rPr>
                <w:sz w:val="20"/>
                <w:szCs w:val="20"/>
                <w:color w:val="auto"/>
              </w:rPr>
            </w:pPr>
            <w:r>
              <w:rPr>
                <w:rFonts w:ascii="Arial" w:cs="Arial" w:eastAsia="Arial" w:hAnsi="Arial"/>
                <w:sz w:val="14"/>
                <w:szCs w:val="14"/>
                <w:color w:val="auto"/>
                <w:w w:val="89"/>
              </w:rPr>
              <w:t>million over the prior year-end</w:t>
            </w:r>
          </w:p>
        </w:tc>
        <w:tc>
          <w:tcPr>
            <w:tcW w:w="172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146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5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36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gridSpan w:val="2"/>
            <w:vMerge w:val="restart"/>
          </w:tcPr>
          <w:p>
            <w:pPr>
              <w:jc w:val="center"/>
              <w:ind w:left="172"/>
              <w:spacing w:after="0"/>
              <w:rPr>
                <w:sz w:val="20"/>
                <w:szCs w:val="20"/>
                <w:color w:val="auto"/>
              </w:rPr>
            </w:pPr>
            <w:r>
              <w:rPr>
                <w:rFonts w:ascii="Arial" w:cs="Arial" w:eastAsia="Arial" w:hAnsi="Arial"/>
                <w:sz w:val="14"/>
                <w:szCs w:val="14"/>
                <w:color w:val="auto"/>
                <w:w w:val="85"/>
              </w:rPr>
              <w:t>25%</w:t>
            </w:r>
          </w:p>
        </w:tc>
        <w:tc>
          <w:tcPr>
            <w:tcW w:w="120" w:type="dxa"/>
            <w:vAlign w:val="bottom"/>
          </w:tcPr>
          <w:p>
            <w:pPr>
              <w:spacing w:after="0"/>
              <w:rPr>
                <w:sz w:val="24"/>
                <w:szCs w:val="24"/>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Successfully complete 10 of 13 strategic</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3"/>
              </w:rPr>
              <w:t>9 of 13</w:t>
            </w:r>
          </w:p>
        </w:tc>
        <w:tc>
          <w:tcPr>
            <w:tcW w:w="22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0"/>
              </w:rPr>
              <w:t>10 of 13</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w w:val="90"/>
              </w:rPr>
              <w:t>11 of 13</w:t>
            </w:r>
          </w:p>
        </w:tc>
        <w:tc>
          <w:tcPr>
            <w:tcW w:w="12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4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initiatives</w:t>
            </w:r>
          </w:p>
        </w:tc>
        <w:tc>
          <w:tcPr>
            <w:tcW w:w="1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20" w:type="dxa"/>
            <w:vAlign w:val="bottom"/>
            <w:gridSpan w:val="2"/>
            <w:vMerge w:val="continue"/>
          </w:tcPr>
          <w:p>
            <w:pPr>
              <w:spacing w:after="0"/>
              <w:rPr>
                <w:sz w:val="7"/>
                <w:szCs w:val="7"/>
                <w:color w:val="auto"/>
              </w:rPr>
            </w:pPr>
          </w:p>
        </w:tc>
        <w:tc>
          <w:tcPr>
            <w:tcW w:w="1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360" w:type="dxa"/>
            <w:vAlign w:val="bottom"/>
            <w:shd w:val="clear" w:color="auto" w:fill="EAF9E8"/>
          </w:tcPr>
          <w:p>
            <w:pPr>
              <w:jc w:val="right"/>
              <w:ind w:right="452"/>
              <w:spacing w:after="0" w:line="138" w:lineRule="exact"/>
              <w:rPr>
                <w:sz w:val="20"/>
                <w:szCs w:val="20"/>
                <w:color w:val="auto"/>
              </w:rPr>
            </w:pPr>
            <w:r>
              <w:rPr>
                <w:rFonts w:ascii="Arial" w:cs="Arial" w:eastAsia="Arial" w:hAnsi="Arial"/>
                <w:sz w:val="14"/>
                <w:szCs w:val="14"/>
                <w:color w:val="auto"/>
                <w:w w:val="84"/>
              </w:rPr>
              <w:t>David J. Gunter</w:t>
            </w:r>
          </w:p>
        </w:tc>
        <w:tc>
          <w:tcPr>
            <w:tcW w:w="24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23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720" w:type="dxa"/>
            <w:vAlign w:val="bottom"/>
            <w:shd w:val="clear" w:color="auto" w:fill="EAF9E8"/>
          </w:tcPr>
          <w:p>
            <w:pPr>
              <w:jc w:val="center"/>
              <w:spacing w:after="0" w:line="138" w:lineRule="exact"/>
              <w:rPr>
                <w:sz w:val="20"/>
                <w:szCs w:val="20"/>
                <w:color w:val="auto"/>
              </w:rPr>
            </w:pPr>
            <w:r>
              <w:rPr>
                <w:rFonts w:ascii="Arial" w:cs="Arial" w:eastAsia="Arial" w:hAnsi="Arial"/>
                <w:sz w:val="14"/>
                <w:szCs w:val="14"/>
                <w:color w:val="auto"/>
                <w:w w:val="84"/>
              </w:rPr>
              <w:t>Not less than $0 excess net</w:t>
            </w:r>
          </w:p>
        </w:tc>
        <w:tc>
          <w:tcPr>
            <w:tcW w:w="220" w:type="dxa"/>
            <w:vAlign w:val="bottom"/>
            <w:shd w:val="clear" w:color="auto" w:fill="EAF9E8"/>
          </w:tcPr>
          <w:p>
            <w:pPr>
              <w:spacing w:after="0"/>
              <w:rPr>
                <w:sz w:val="11"/>
                <w:szCs w:val="11"/>
                <w:color w:val="auto"/>
              </w:rPr>
            </w:pPr>
          </w:p>
        </w:tc>
        <w:tc>
          <w:tcPr>
            <w:tcW w:w="146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89"/>
              </w:rPr>
              <w:t>Threshold plus</w:t>
            </w:r>
          </w:p>
        </w:tc>
        <w:tc>
          <w:tcPr>
            <w:tcW w:w="120" w:type="dxa"/>
            <w:vAlign w:val="bottom"/>
            <w:shd w:val="clear" w:color="auto" w:fill="EAF9E8"/>
          </w:tcPr>
          <w:p>
            <w:pPr>
              <w:spacing w:after="0"/>
              <w:rPr>
                <w:sz w:val="11"/>
                <w:szCs w:val="11"/>
                <w:color w:val="auto"/>
              </w:rPr>
            </w:pPr>
          </w:p>
        </w:tc>
        <w:tc>
          <w:tcPr>
            <w:tcW w:w="158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85"/>
              </w:rPr>
              <w:t>Target plus</w:t>
            </w:r>
          </w:p>
        </w:tc>
        <w:tc>
          <w:tcPr>
            <w:tcW w:w="120" w:type="dxa"/>
            <w:vAlign w:val="bottom"/>
            <w:shd w:val="clear" w:color="auto" w:fill="EAF9E8"/>
          </w:tcPr>
          <w:p>
            <w:pPr>
              <w:spacing w:after="0"/>
              <w:rPr>
                <w:sz w:val="11"/>
                <w:szCs w:val="11"/>
                <w:color w:val="auto"/>
              </w:rPr>
            </w:pPr>
          </w:p>
        </w:tc>
        <w:tc>
          <w:tcPr>
            <w:tcW w:w="13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360" w:type="dxa"/>
            <w:vAlign w:val="bottom"/>
            <w:shd w:val="clear" w:color="auto" w:fill="EAF9E8"/>
          </w:tcPr>
          <w:p>
            <w:pPr>
              <w:spacing w:after="0"/>
              <w:rPr>
                <w:sz w:val="5"/>
                <w:szCs w:val="5"/>
                <w:color w:val="auto"/>
              </w:rPr>
            </w:pPr>
          </w:p>
        </w:tc>
        <w:tc>
          <w:tcPr>
            <w:tcW w:w="920" w:type="dxa"/>
            <w:vAlign w:val="bottom"/>
            <w:gridSpan w:val="2"/>
            <w:vMerge w:val="restart"/>
            <w:shd w:val="clear" w:color="auto" w:fill="EAF9E8"/>
          </w:tcPr>
          <w:p>
            <w:pPr>
              <w:jc w:val="center"/>
              <w:ind w:left="172"/>
              <w:spacing w:after="0" w:line="149" w:lineRule="exact"/>
              <w:rPr>
                <w:sz w:val="20"/>
                <w:szCs w:val="20"/>
                <w:color w:val="auto"/>
              </w:rPr>
            </w:pPr>
            <w:r>
              <w:rPr>
                <w:rFonts w:ascii="Arial" w:cs="Arial" w:eastAsia="Arial" w:hAnsi="Arial"/>
                <w:sz w:val="14"/>
                <w:szCs w:val="14"/>
                <w:color w:val="auto"/>
                <w:w w:val="85"/>
              </w:rPr>
              <w:t>31%</w:t>
            </w:r>
          </w:p>
        </w:tc>
        <w:tc>
          <w:tcPr>
            <w:tcW w:w="120" w:type="dxa"/>
            <w:vAlign w:val="bottom"/>
            <w:shd w:val="clear" w:color="auto" w:fill="EAF9E8"/>
          </w:tcPr>
          <w:p>
            <w:pPr>
              <w:spacing w:after="0"/>
              <w:rPr>
                <w:sz w:val="5"/>
                <w:szCs w:val="5"/>
                <w:color w:val="auto"/>
              </w:rPr>
            </w:pPr>
          </w:p>
        </w:tc>
        <w:tc>
          <w:tcPr>
            <w:tcW w:w="2420" w:type="dxa"/>
            <w:vAlign w:val="bottom"/>
            <w:gridSpan w:val="2"/>
            <w:vMerge w:val="restart"/>
            <w:shd w:val="clear" w:color="auto" w:fill="EAF9E8"/>
          </w:tcPr>
          <w:p>
            <w:pPr>
              <w:jc w:val="center"/>
              <w:ind w:right="100"/>
              <w:spacing w:after="0" w:line="149" w:lineRule="exact"/>
              <w:rPr>
                <w:sz w:val="20"/>
                <w:szCs w:val="20"/>
                <w:color w:val="auto"/>
              </w:rPr>
            </w:pPr>
            <w:r>
              <w:rPr>
                <w:rFonts w:ascii="Arial" w:cs="Arial" w:eastAsia="Arial" w:hAnsi="Arial"/>
                <w:sz w:val="14"/>
                <w:szCs w:val="14"/>
                <w:color w:val="auto"/>
                <w:w w:val="90"/>
              </w:rPr>
              <w:t>Raise liquidity and funding</w:t>
            </w:r>
          </w:p>
        </w:tc>
        <w:tc>
          <w:tcPr>
            <w:tcW w:w="1720" w:type="dxa"/>
            <w:vAlign w:val="bottom"/>
            <w:vMerge w:val="restart"/>
            <w:shd w:val="clear" w:color="auto" w:fill="EAF9E8"/>
          </w:tcPr>
          <w:p>
            <w:pPr>
              <w:jc w:val="center"/>
              <w:spacing w:after="0" w:line="149" w:lineRule="exact"/>
              <w:rPr>
                <w:sz w:val="20"/>
                <w:szCs w:val="20"/>
                <w:color w:val="auto"/>
              </w:rPr>
            </w:pPr>
            <w:r>
              <w:rPr>
                <w:rFonts w:ascii="Arial" w:cs="Arial" w:eastAsia="Arial" w:hAnsi="Arial"/>
                <w:sz w:val="14"/>
                <w:szCs w:val="14"/>
                <w:color w:val="auto"/>
                <w:w w:val="86"/>
              </w:rPr>
              <w:t>advance after applicable</w:t>
            </w:r>
          </w:p>
        </w:tc>
        <w:tc>
          <w:tcPr>
            <w:tcW w:w="220" w:type="dxa"/>
            <w:vAlign w:val="bottom"/>
            <w:shd w:val="clear" w:color="auto" w:fill="EAF9E8"/>
          </w:tcPr>
          <w:p>
            <w:pPr>
              <w:spacing w:after="0"/>
              <w:rPr>
                <w:sz w:val="5"/>
                <w:szCs w:val="5"/>
                <w:color w:val="auto"/>
              </w:rPr>
            </w:pPr>
          </w:p>
        </w:tc>
        <w:tc>
          <w:tcPr>
            <w:tcW w:w="1460" w:type="dxa"/>
            <w:vAlign w:val="bottom"/>
            <w:vMerge w:val="continue"/>
            <w:shd w:val="clear" w:color="auto" w:fill="EAF9E8"/>
          </w:tcPr>
          <w:p>
            <w:pPr>
              <w:spacing w:after="0"/>
              <w:rPr>
                <w:sz w:val="5"/>
                <w:szCs w:val="5"/>
                <w:color w:val="auto"/>
              </w:rPr>
            </w:pPr>
          </w:p>
        </w:tc>
        <w:tc>
          <w:tcPr>
            <w:tcW w:w="120" w:type="dxa"/>
            <w:vAlign w:val="bottom"/>
            <w:shd w:val="clear" w:color="auto" w:fill="EAF9E8"/>
          </w:tcPr>
          <w:p>
            <w:pPr>
              <w:spacing w:after="0"/>
              <w:rPr>
                <w:sz w:val="5"/>
                <w:szCs w:val="5"/>
                <w:color w:val="auto"/>
              </w:rPr>
            </w:pPr>
          </w:p>
        </w:tc>
        <w:tc>
          <w:tcPr>
            <w:tcW w:w="1580" w:type="dxa"/>
            <w:vAlign w:val="bottom"/>
            <w:vMerge w:val="continue"/>
            <w:shd w:val="clear" w:color="auto" w:fill="EAF9E8"/>
          </w:tcPr>
          <w:p>
            <w:pPr>
              <w:spacing w:after="0"/>
              <w:rPr>
                <w:sz w:val="5"/>
                <w:szCs w:val="5"/>
                <w:color w:val="auto"/>
              </w:rPr>
            </w:pPr>
          </w:p>
        </w:tc>
        <w:tc>
          <w:tcPr>
            <w:tcW w:w="120" w:type="dxa"/>
            <w:vAlign w:val="bottom"/>
            <w:shd w:val="clear" w:color="auto" w:fill="EAF9E8"/>
          </w:tcPr>
          <w:p>
            <w:pPr>
              <w:spacing w:after="0"/>
              <w:rPr>
                <w:sz w:val="5"/>
                <w:szCs w:val="5"/>
                <w:color w:val="auto"/>
              </w:rPr>
            </w:pPr>
          </w:p>
        </w:tc>
        <w:tc>
          <w:tcPr>
            <w:tcW w:w="1360" w:type="dxa"/>
            <w:vAlign w:val="bottom"/>
            <w:vMerge w:val="restart"/>
            <w:shd w:val="clear" w:color="auto" w:fill="EAF9E8"/>
          </w:tcPr>
          <w:p>
            <w:pPr>
              <w:jc w:val="center"/>
              <w:spacing w:after="0" w:line="149"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60" w:type="dxa"/>
            <w:vAlign w:val="bottom"/>
            <w:shd w:val="clear" w:color="auto" w:fill="EAF9E8"/>
          </w:tcPr>
          <w:p>
            <w:pPr>
              <w:spacing w:after="0"/>
              <w:rPr>
                <w:sz w:val="7"/>
                <w:szCs w:val="7"/>
                <w:color w:val="auto"/>
              </w:rPr>
            </w:pPr>
          </w:p>
        </w:tc>
        <w:tc>
          <w:tcPr>
            <w:tcW w:w="920" w:type="dxa"/>
            <w:vAlign w:val="bottom"/>
            <w:gridSpan w:val="2"/>
            <w:vMerge w:val="continue"/>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2420" w:type="dxa"/>
            <w:vAlign w:val="bottom"/>
            <w:gridSpan w:val="2"/>
            <w:vMerge w:val="continue"/>
            <w:shd w:val="clear" w:color="auto" w:fill="EAF9E8"/>
          </w:tcPr>
          <w:p>
            <w:pPr>
              <w:spacing w:after="0"/>
              <w:rPr>
                <w:sz w:val="7"/>
                <w:szCs w:val="7"/>
                <w:color w:val="auto"/>
              </w:rPr>
            </w:pPr>
          </w:p>
        </w:tc>
        <w:tc>
          <w:tcPr>
            <w:tcW w:w="1720" w:type="dxa"/>
            <w:vAlign w:val="bottom"/>
            <w:vMerge w:val="continue"/>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146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92"/>
              </w:rPr>
              <w:t>$70 million</w:t>
            </w:r>
          </w:p>
        </w:tc>
        <w:tc>
          <w:tcPr>
            <w:tcW w:w="120" w:type="dxa"/>
            <w:vAlign w:val="bottom"/>
            <w:shd w:val="clear" w:color="auto" w:fill="EAF9E8"/>
          </w:tcPr>
          <w:p>
            <w:pPr>
              <w:spacing w:after="0"/>
              <w:rPr>
                <w:sz w:val="7"/>
                <w:szCs w:val="7"/>
                <w:color w:val="auto"/>
              </w:rPr>
            </w:pPr>
          </w:p>
        </w:tc>
        <w:tc>
          <w:tcPr>
            <w:tcW w:w="158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92"/>
              </w:rPr>
              <w:t>$80 million</w:t>
            </w:r>
          </w:p>
        </w:tc>
        <w:tc>
          <w:tcPr>
            <w:tcW w:w="120" w:type="dxa"/>
            <w:vAlign w:val="bottom"/>
            <w:shd w:val="clear" w:color="auto" w:fill="EAF9E8"/>
          </w:tcPr>
          <w:p>
            <w:pPr>
              <w:spacing w:after="0"/>
              <w:rPr>
                <w:sz w:val="7"/>
                <w:szCs w:val="7"/>
                <w:color w:val="auto"/>
              </w:rPr>
            </w:pPr>
          </w:p>
        </w:tc>
        <w:tc>
          <w:tcPr>
            <w:tcW w:w="1360" w:type="dxa"/>
            <w:vAlign w:val="bottom"/>
            <w:vMerge w:val="continue"/>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360" w:type="dxa"/>
            <w:vAlign w:val="bottom"/>
            <w:shd w:val="clear" w:color="auto" w:fill="EAF9E8"/>
          </w:tcPr>
          <w:p>
            <w:pPr>
              <w:spacing w:after="0"/>
              <w:rPr>
                <w:sz w:val="7"/>
                <w:szCs w:val="7"/>
                <w:color w:val="auto"/>
              </w:rPr>
            </w:pPr>
          </w:p>
        </w:tc>
        <w:tc>
          <w:tcPr>
            <w:tcW w:w="240" w:type="dxa"/>
            <w:vAlign w:val="bottom"/>
            <w:shd w:val="clear" w:color="auto" w:fill="EAF9E8"/>
          </w:tcPr>
          <w:p>
            <w:pPr>
              <w:spacing w:after="0"/>
              <w:rPr>
                <w:sz w:val="7"/>
                <w:szCs w:val="7"/>
                <w:color w:val="auto"/>
              </w:rPr>
            </w:pPr>
          </w:p>
        </w:tc>
        <w:tc>
          <w:tcPr>
            <w:tcW w:w="680" w:type="dxa"/>
            <w:vAlign w:val="bottom"/>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2300" w:type="dxa"/>
            <w:vAlign w:val="bottom"/>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1720" w:type="dxa"/>
            <w:vAlign w:val="bottom"/>
            <w:vMerge w:val="restart"/>
            <w:shd w:val="clear" w:color="auto" w:fill="EAF9E8"/>
          </w:tcPr>
          <w:p>
            <w:pPr>
              <w:jc w:val="center"/>
              <w:spacing w:after="0" w:line="159" w:lineRule="exact"/>
              <w:rPr>
                <w:sz w:val="20"/>
                <w:szCs w:val="20"/>
                <w:color w:val="auto"/>
              </w:rPr>
            </w:pPr>
            <w:r>
              <w:rPr>
                <w:rFonts w:ascii="Arial" w:cs="Arial" w:eastAsia="Arial" w:hAnsi="Arial"/>
                <w:sz w:val="14"/>
                <w:szCs w:val="14"/>
                <w:color w:val="auto"/>
                <w:w w:val="85"/>
              </w:rPr>
              <w:t>haircut</w:t>
            </w:r>
          </w:p>
        </w:tc>
        <w:tc>
          <w:tcPr>
            <w:tcW w:w="220" w:type="dxa"/>
            <w:vAlign w:val="bottom"/>
            <w:shd w:val="clear" w:color="auto" w:fill="EAF9E8"/>
          </w:tcPr>
          <w:p>
            <w:pPr>
              <w:spacing w:after="0"/>
              <w:rPr>
                <w:sz w:val="7"/>
                <w:szCs w:val="7"/>
                <w:color w:val="auto"/>
              </w:rPr>
            </w:pPr>
          </w:p>
        </w:tc>
        <w:tc>
          <w:tcPr>
            <w:tcW w:w="1460" w:type="dxa"/>
            <w:vAlign w:val="bottom"/>
            <w:vMerge w:val="continue"/>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1580" w:type="dxa"/>
            <w:vAlign w:val="bottom"/>
            <w:vMerge w:val="continue"/>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1360" w:type="dxa"/>
            <w:vAlign w:val="bottom"/>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360" w:type="dxa"/>
            <w:vAlign w:val="bottom"/>
            <w:shd w:val="clear" w:color="auto" w:fill="EAF9E8"/>
          </w:tcPr>
          <w:p>
            <w:pPr>
              <w:spacing w:after="0"/>
              <w:rPr>
                <w:sz w:val="5"/>
                <w:szCs w:val="5"/>
                <w:color w:val="auto"/>
              </w:rPr>
            </w:pPr>
          </w:p>
        </w:tc>
        <w:tc>
          <w:tcPr>
            <w:tcW w:w="240" w:type="dxa"/>
            <w:vAlign w:val="bottom"/>
            <w:shd w:val="clear" w:color="auto" w:fill="EAF9E8"/>
          </w:tcPr>
          <w:p>
            <w:pPr>
              <w:spacing w:after="0"/>
              <w:rPr>
                <w:sz w:val="5"/>
                <w:szCs w:val="5"/>
                <w:color w:val="auto"/>
              </w:rPr>
            </w:pPr>
          </w:p>
        </w:tc>
        <w:tc>
          <w:tcPr>
            <w:tcW w:w="680" w:type="dxa"/>
            <w:vAlign w:val="bottom"/>
            <w:shd w:val="clear" w:color="auto" w:fill="EAF9E8"/>
          </w:tcPr>
          <w:p>
            <w:pPr>
              <w:spacing w:after="0"/>
              <w:rPr>
                <w:sz w:val="5"/>
                <w:szCs w:val="5"/>
                <w:color w:val="auto"/>
              </w:rPr>
            </w:pPr>
          </w:p>
        </w:tc>
        <w:tc>
          <w:tcPr>
            <w:tcW w:w="120" w:type="dxa"/>
            <w:vAlign w:val="bottom"/>
            <w:shd w:val="clear" w:color="auto" w:fill="EAF9E8"/>
          </w:tcPr>
          <w:p>
            <w:pPr>
              <w:spacing w:after="0"/>
              <w:rPr>
                <w:sz w:val="5"/>
                <w:szCs w:val="5"/>
                <w:color w:val="auto"/>
              </w:rPr>
            </w:pPr>
          </w:p>
        </w:tc>
        <w:tc>
          <w:tcPr>
            <w:tcW w:w="2300" w:type="dxa"/>
            <w:vAlign w:val="bottom"/>
            <w:shd w:val="clear" w:color="auto" w:fill="EAF9E8"/>
          </w:tcPr>
          <w:p>
            <w:pPr>
              <w:spacing w:after="0"/>
              <w:rPr>
                <w:sz w:val="5"/>
                <w:szCs w:val="5"/>
                <w:color w:val="auto"/>
              </w:rPr>
            </w:pPr>
          </w:p>
        </w:tc>
        <w:tc>
          <w:tcPr>
            <w:tcW w:w="120" w:type="dxa"/>
            <w:vAlign w:val="bottom"/>
            <w:shd w:val="clear" w:color="auto" w:fill="EAF9E8"/>
          </w:tcPr>
          <w:p>
            <w:pPr>
              <w:spacing w:after="0"/>
              <w:rPr>
                <w:sz w:val="5"/>
                <w:szCs w:val="5"/>
                <w:color w:val="auto"/>
              </w:rPr>
            </w:pPr>
          </w:p>
        </w:tc>
        <w:tc>
          <w:tcPr>
            <w:tcW w:w="1720" w:type="dxa"/>
            <w:vAlign w:val="bottom"/>
            <w:vMerge w:val="continue"/>
            <w:shd w:val="clear" w:color="auto" w:fill="EAF9E8"/>
          </w:tcPr>
          <w:p>
            <w:pPr>
              <w:spacing w:after="0"/>
              <w:rPr>
                <w:sz w:val="5"/>
                <w:szCs w:val="5"/>
                <w:color w:val="auto"/>
              </w:rPr>
            </w:pPr>
          </w:p>
        </w:tc>
        <w:tc>
          <w:tcPr>
            <w:tcW w:w="220" w:type="dxa"/>
            <w:vAlign w:val="bottom"/>
            <w:shd w:val="clear" w:color="auto" w:fill="EAF9E8"/>
          </w:tcPr>
          <w:p>
            <w:pPr>
              <w:spacing w:after="0"/>
              <w:rPr>
                <w:sz w:val="5"/>
                <w:szCs w:val="5"/>
                <w:color w:val="auto"/>
              </w:rPr>
            </w:pPr>
          </w:p>
        </w:tc>
        <w:tc>
          <w:tcPr>
            <w:tcW w:w="1460" w:type="dxa"/>
            <w:vAlign w:val="bottom"/>
            <w:shd w:val="clear" w:color="auto" w:fill="EAF9E8"/>
          </w:tcPr>
          <w:p>
            <w:pPr>
              <w:spacing w:after="0"/>
              <w:rPr>
                <w:sz w:val="5"/>
                <w:szCs w:val="5"/>
                <w:color w:val="auto"/>
              </w:rPr>
            </w:pPr>
          </w:p>
        </w:tc>
        <w:tc>
          <w:tcPr>
            <w:tcW w:w="120" w:type="dxa"/>
            <w:vAlign w:val="bottom"/>
            <w:shd w:val="clear" w:color="auto" w:fill="EAF9E8"/>
          </w:tcPr>
          <w:p>
            <w:pPr>
              <w:spacing w:after="0"/>
              <w:rPr>
                <w:sz w:val="5"/>
                <w:szCs w:val="5"/>
                <w:color w:val="auto"/>
              </w:rPr>
            </w:pPr>
          </w:p>
        </w:tc>
        <w:tc>
          <w:tcPr>
            <w:tcW w:w="1580" w:type="dxa"/>
            <w:vAlign w:val="bottom"/>
            <w:shd w:val="clear" w:color="auto" w:fill="EAF9E8"/>
          </w:tcPr>
          <w:p>
            <w:pPr>
              <w:spacing w:after="0"/>
              <w:rPr>
                <w:sz w:val="5"/>
                <w:szCs w:val="5"/>
                <w:color w:val="auto"/>
              </w:rPr>
            </w:pPr>
          </w:p>
        </w:tc>
        <w:tc>
          <w:tcPr>
            <w:tcW w:w="120" w:type="dxa"/>
            <w:vAlign w:val="bottom"/>
            <w:shd w:val="clear" w:color="auto" w:fill="EAF9E8"/>
          </w:tcPr>
          <w:p>
            <w:pPr>
              <w:spacing w:after="0"/>
              <w:rPr>
                <w:sz w:val="5"/>
                <w:szCs w:val="5"/>
                <w:color w:val="auto"/>
              </w:rPr>
            </w:pPr>
          </w:p>
        </w:tc>
        <w:tc>
          <w:tcPr>
            <w:tcW w:w="1360" w:type="dxa"/>
            <w:vAlign w:val="bottom"/>
            <w:shd w:val="clear" w:color="auto" w:fill="EAF9E8"/>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87"/>
              </w:rPr>
              <w:t>Target plus complete all</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gridSpan w:val="2"/>
            <w:vMerge w:val="restart"/>
          </w:tcPr>
          <w:p>
            <w:pPr>
              <w:jc w:val="center"/>
              <w:ind w:left="172"/>
              <w:spacing w:after="0"/>
              <w:rPr>
                <w:sz w:val="20"/>
                <w:szCs w:val="20"/>
                <w:color w:val="auto"/>
              </w:rPr>
            </w:pPr>
            <w:r>
              <w:rPr>
                <w:rFonts w:ascii="Arial" w:cs="Arial" w:eastAsia="Arial" w:hAnsi="Arial"/>
                <w:sz w:val="14"/>
                <w:szCs w:val="14"/>
                <w:color w:val="auto"/>
                <w:w w:val="85"/>
              </w:rPr>
              <w:t>31%</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Position Ocwen Solutions for a spin-off or</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5"/>
              </w:rPr>
              <w:t>Engage an investment bank</w:t>
            </w: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Threshold plus completion</w:t>
            </w: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9"/>
              </w:rPr>
              <w:t>Ocwen Solutions Spin</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4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color w:val="auto"/>
                <w:w w:val="92"/>
              </w:rPr>
              <w:t>initial public offering</w:t>
            </w:r>
          </w:p>
        </w:tc>
        <w:tc>
          <w:tcPr>
            <w:tcW w:w="1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4"/>
              </w:rPr>
              <w:t>of necessary audits</w:t>
            </w:r>
          </w:p>
        </w:tc>
        <w:tc>
          <w:tcPr>
            <w:tcW w:w="120" w:type="dxa"/>
            <w:vAlign w:val="bottom"/>
          </w:tcPr>
          <w:p>
            <w:pPr>
              <w:spacing w:after="0"/>
              <w:rPr>
                <w:sz w:val="7"/>
                <w:szCs w:val="7"/>
                <w:color w:val="auto"/>
              </w:rPr>
            </w:pPr>
          </w:p>
        </w:tc>
        <w:tc>
          <w:tcPr>
            <w:tcW w:w="15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0"/>
              </w:rPr>
              <w:t>project work by March 1,</w:t>
            </w:r>
          </w:p>
        </w:tc>
        <w:tc>
          <w:tcPr>
            <w:tcW w:w="1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1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00" w:type="dxa"/>
            <w:vAlign w:val="bottom"/>
            <w:gridSpan w:val="2"/>
          </w:tcPr>
          <w:p>
            <w:pPr>
              <w:jc w:val="center"/>
              <w:ind w:left="52"/>
              <w:spacing w:after="0"/>
              <w:rPr>
                <w:sz w:val="20"/>
                <w:szCs w:val="20"/>
                <w:color w:val="auto"/>
              </w:rPr>
            </w:pPr>
            <w:r>
              <w:rPr>
                <w:rFonts w:ascii="Arial" w:cs="Arial" w:eastAsia="Arial" w:hAnsi="Arial"/>
                <w:sz w:val="14"/>
                <w:szCs w:val="14"/>
                <w:color w:val="auto"/>
                <w:w w:val="83"/>
              </w:rPr>
              <w:t>2009</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gridSpan w:val="2"/>
          </w:tcPr>
          <w:p>
            <w:pPr>
              <w:spacing w:after="0"/>
              <w:rPr>
                <w:sz w:val="11"/>
                <w:szCs w:val="11"/>
                <w:color w:val="auto"/>
              </w:rPr>
            </w:pPr>
          </w:p>
        </w:tc>
        <w:tc>
          <w:tcPr>
            <w:tcW w:w="1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2420" w:type="dxa"/>
            <w:vAlign w:val="bottom"/>
            <w:gridSpan w:val="2"/>
            <w:shd w:val="clear" w:color="auto" w:fill="EAF9E8"/>
          </w:tcPr>
          <w:p>
            <w:pPr>
              <w:jc w:val="center"/>
              <w:ind w:right="120"/>
              <w:spacing w:after="0" w:line="138" w:lineRule="exact"/>
              <w:rPr>
                <w:sz w:val="20"/>
                <w:szCs w:val="20"/>
                <w:color w:val="auto"/>
              </w:rPr>
            </w:pPr>
            <w:r>
              <w:rPr>
                <w:rFonts w:ascii="Arial" w:cs="Arial" w:eastAsia="Arial" w:hAnsi="Arial"/>
                <w:sz w:val="14"/>
                <w:szCs w:val="14"/>
                <w:color w:val="auto"/>
                <w:w w:val="86"/>
              </w:rPr>
              <w:t>Generate cash from the sale or financing</w:t>
            </w:r>
          </w:p>
        </w:tc>
        <w:tc>
          <w:tcPr>
            <w:tcW w:w="1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4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5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3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2420" w:type="dxa"/>
            <w:vAlign w:val="bottom"/>
            <w:gridSpan w:val="2"/>
            <w:shd w:val="clear" w:color="auto" w:fill="EAF9E8"/>
          </w:tcPr>
          <w:p>
            <w:pPr>
              <w:jc w:val="center"/>
              <w:ind w:right="120"/>
              <w:spacing w:after="0" w:line="149" w:lineRule="exact"/>
              <w:rPr>
                <w:sz w:val="20"/>
                <w:szCs w:val="20"/>
                <w:color w:val="auto"/>
              </w:rPr>
            </w:pPr>
            <w:r>
              <w:rPr>
                <w:rFonts w:ascii="Arial" w:cs="Arial" w:eastAsia="Arial" w:hAnsi="Arial"/>
                <w:sz w:val="14"/>
                <w:szCs w:val="14"/>
                <w:color w:val="auto"/>
                <w:w w:val="87"/>
              </w:rPr>
              <w:t>of BOK, GSS Canada, NCI, residuals,</w:t>
            </w:r>
          </w:p>
        </w:tc>
        <w:tc>
          <w:tcPr>
            <w:tcW w:w="1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46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5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3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EAF9E8"/>
          </w:tcPr>
          <w:p>
            <w:pPr>
              <w:spacing w:after="0"/>
              <w:rPr>
                <w:sz w:val="12"/>
                <w:szCs w:val="12"/>
                <w:color w:val="auto"/>
              </w:rPr>
            </w:pPr>
          </w:p>
        </w:tc>
        <w:tc>
          <w:tcPr>
            <w:tcW w:w="920" w:type="dxa"/>
            <w:vAlign w:val="bottom"/>
            <w:gridSpan w:val="2"/>
            <w:vMerge w:val="restart"/>
            <w:shd w:val="clear" w:color="auto" w:fill="EAF9E8"/>
          </w:tcPr>
          <w:p>
            <w:pPr>
              <w:jc w:val="center"/>
              <w:ind w:left="172"/>
              <w:spacing w:after="0"/>
              <w:rPr>
                <w:sz w:val="20"/>
                <w:szCs w:val="20"/>
                <w:color w:val="auto"/>
              </w:rPr>
            </w:pPr>
            <w:r>
              <w:rPr>
                <w:rFonts w:ascii="Arial" w:cs="Arial" w:eastAsia="Arial" w:hAnsi="Arial"/>
                <w:sz w:val="14"/>
                <w:szCs w:val="14"/>
                <w:color w:val="auto"/>
                <w:w w:val="85"/>
              </w:rPr>
              <w:t>11%</w:t>
            </w:r>
          </w:p>
        </w:tc>
        <w:tc>
          <w:tcPr>
            <w:tcW w:w="120" w:type="dxa"/>
            <w:vAlign w:val="bottom"/>
            <w:shd w:val="clear" w:color="auto" w:fill="EAF9E8"/>
          </w:tcPr>
          <w:p>
            <w:pPr>
              <w:spacing w:after="0"/>
              <w:rPr>
                <w:sz w:val="12"/>
                <w:szCs w:val="12"/>
                <w:color w:val="auto"/>
              </w:rPr>
            </w:pPr>
          </w:p>
        </w:tc>
        <w:tc>
          <w:tcPr>
            <w:tcW w:w="2420" w:type="dxa"/>
            <w:vAlign w:val="bottom"/>
            <w:gridSpan w:val="2"/>
            <w:shd w:val="clear" w:color="auto" w:fill="EAF9E8"/>
          </w:tcPr>
          <w:p>
            <w:pPr>
              <w:jc w:val="center"/>
              <w:ind w:right="120"/>
              <w:spacing w:after="0" w:line="149" w:lineRule="exact"/>
              <w:rPr>
                <w:sz w:val="20"/>
                <w:szCs w:val="20"/>
                <w:color w:val="auto"/>
              </w:rPr>
            </w:pPr>
            <w:r>
              <w:rPr>
                <w:rFonts w:ascii="Arial" w:cs="Arial" w:eastAsia="Arial" w:hAnsi="Arial"/>
                <w:sz w:val="14"/>
                <w:szCs w:val="14"/>
                <w:color w:val="auto"/>
                <w:w w:val="86"/>
              </w:rPr>
              <w:t>loans and REO held for resale,</w:t>
            </w:r>
          </w:p>
        </w:tc>
        <w:tc>
          <w:tcPr>
            <w:tcW w:w="17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8"/>
              </w:rPr>
              <w:t>At the discretion of the</w:t>
            </w:r>
          </w:p>
        </w:tc>
        <w:tc>
          <w:tcPr>
            <w:tcW w:w="220" w:type="dxa"/>
            <w:vAlign w:val="bottom"/>
            <w:shd w:val="clear" w:color="auto" w:fill="EAF9E8"/>
          </w:tcPr>
          <w:p>
            <w:pPr>
              <w:spacing w:after="0"/>
              <w:rPr>
                <w:sz w:val="12"/>
                <w:szCs w:val="12"/>
                <w:color w:val="auto"/>
              </w:rPr>
            </w:pPr>
          </w:p>
        </w:tc>
        <w:tc>
          <w:tcPr>
            <w:tcW w:w="146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0"/>
              </w:rPr>
              <w:t>At the discretion of the</w:t>
            </w:r>
          </w:p>
        </w:tc>
        <w:tc>
          <w:tcPr>
            <w:tcW w:w="120" w:type="dxa"/>
            <w:vAlign w:val="bottom"/>
            <w:shd w:val="clear" w:color="auto" w:fill="EAF9E8"/>
          </w:tcPr>
          <w:p>
            <w:pPr>
              <w:spacing w:after="0"/>
              <w:rPr>
                <w:sz w:val="12"/>
                <w:szCs w:val="12"/>
                <w:color w:val="auto"/>
              </w:rPr>
            </w:pPr>
          </w:p>
        </w:tc>
        <w:tc>
          <w:tcPr>
            <w:tcW w:w="158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0"/>
              </w:rPr>
              <w:t>At the discretion of the</w:t>
            </w:r>
          </w:p>
        </w:tc>
        <w:tc>
          <w:tcPr>
            <w:tcW w:w="120" w:type="dxa"/>
            <w:vAlign w:val="bottom"/>
            <w:shd w:val="clear" w:color="auto" w:fill="EAF9E8"/>
          </w:tcPr>
          <w:p>
            <w:pPr>
              <w:spacing w:after="0"/>
              <w:rPr>
                <w:sz w:val="12"/>
                <w:szCs w:val="12"/>
                <w:color w:val="auto"/>
              </w:rPr>
            </w:pPr>
          </w:p>
        </w:tc>
        <w:tc>
          <w:tcPr>
            <w:tcW w:w="136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360" w:type="dxa"/>
            <w:vAlign w:val="bottom"/>
            <w:shd w:val="clear" w:color="auto" w:fill="EAF9E8"/>
          </w:tcPr>
          <w:p>
            <w:pPr>
              <w:spacing w:after="0"/>
              <w:rPr>
                <w:sz w:val="7"/>
                <w:szCs w:val="7"/>
                <w:color w:val="auto"/>
              </w:rPr>
            </w:pPr>
          </w:p>
        </w:tc>
        <w:tc>
          <w:tcPr>
            <w:tcW w:w="920" w:type="dxa"/>
            <w:vAlign w:val="bottom"/>
            <w:gridSpan w:val="2"/>
            <w:vMerge w:val="continue"/>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2420" w:type="dxa"/>
            <w:vAlign w:val="bottom"/>
            <w:gridSpan w:val="2"/>
            <w:vMerge w:val="restart"/>
            <w:shd w:val="clear" w:color="auto" w:fill="EAF9E8"/>
          </w:tcPr>
          <w:p>
            <w:pPr>
              <w:jc w:val="center"/>
              <w:ind w:right="120"/>
              <w:spacing w:after="0" w:line="149" w:lineRule="exact"/>
              <w:rPr>
                <w:sz w:val="20"/>
                <w:szCs w:val="20"/>
                <w:color w:val="auto"/>
              </w:rPr>
            </w:pPr>
            <w:r>
              <w:rPr>
                <w:rFonts w:ascii="Arial" w:cs="Arial" w:eastAsia="Arial" w:hAnsi="Arial"/>
                <w:sz w:val="14"/>
                <w:szCs w:val="14"/>
                <w:color w:val="auto"/>
                <w:w w:val="89"/>
              </w:rPr>
              <w:t>FHLMC/FNMA, debt service accounts,</w:t>
            </w:r>
          </w:p>
        </w:tc>
        <w:tc>
          <w:tcPr>
            <w:tcW w:w="1720" w:type="dxa"/>
            <w:vAlign w:val="bottom"/>
            <w:vMerge w:val="restart"/>
            <w:shd w:val="clear" w:color="auto" w:fill="EAF9E8"/>
          </w:tcPr>
          <w:p>
            <w:pPr>
              <w:jc w:val="center"/>
              <w:spacing w:after="0" w:line="149" w:lineRule="exact"/>
              <w:rPr>
                <w:sz w:val="20"/>
                <w:szCs w:val="20"/>
                <w:color w:val="auto"/>
              </w:rPr>
            </w:pPr>
            <w:r>
              <w:rPr>
                <w:rFonts w:ascii="Arial" w:cs="Arial" w:eastAsia="Arial" w:hAnsi="Arial"/>
                <w:sz w:val="14"/>
                <w:szCs w:val="14"/>
                <w:color w:val="auto"/>
                <w:w w:val="85"/>
              </w:rPr>
              <w:t>Chairman</w:t>
            </w:r>
          </w:p>
        </w:tc>
        <w:tc>
          <w:tcPr>
            <w:tcW w:w="220" w:type="dxa"/>
            <w:vAlign w:val="bottom"/>
            <w:shd w:val="clear" w:color="auto" w:fill="EAF9E8"/>
          </w:tcPr>
          <w:p>
            <w:pPr>
              <w:spacing w:after="0"/>
              <w:rPr>
                <w:sz w:val="7"/>
                <w:szCs w:val="7"/>
                <w:color w:val="auto"/>
              </w:rPr>
            </w:pPr>
          </w:p>
        </w:tc>
        <w:tc>
          <w:tcPr>
            <w:tcW w:w="1460" w:type="dxa"/>
            <w:vAlign w:val="bottom"/>
            <w:vMerge w:val="restart"/>
            <w:shd w:val="clear" w:color="auto" w:fill="EAF9E8"/>
          </w:tcPr>
          <w:p>
            <w:pPr>
              <w:jc w:val="center"/>
              <w:spacing w:after="0" w:line="149" w:lineRule="exact"/>
              <w:rPr>
                <w:sz w:val="20"/>
                <w:szCs w:val="20"/>
                <w:color w:val="auto"/>
              </w:rPr>
            </w:pPr>
            <w:r>
              <w:rPr>
                <w:rFonts w:ascii="Arial" w:cs="Arial" w:eastAsia="Arial" w:hAnsi="Arial"/>
                <w:sz w:val="14"/>
                <w:szCs w:val="14"/>
                <w:color w:val="auto"/>
                <w:w w:val="88"/>
              </w:rPr>
              <w:t>Chairman</w:t>
            </w:r>
          </w:p>
        </w:tc>
        <w:tc>
          <w:tcPr>
            <w:tcW w:w="120" w:type="dxa"/>
            <w:vAlign w:val="bottom"/>
            <w:shd w:val="clear" w:color="auto" w:fill="EAF9E8"/>
          </w:tcPr>
          <w:p>
            <w:pPr>
              <w:spacing w:after="0"/>
              <w:rPr>
                <w:sz w:val="7"/>
                <w:szCs w:val="7"/>
                <w:color w:val="auto"/>
              </w:rPr>
            </w:pPr>
          </w:p>
        </w:tc>
        <w:tc>
          <w:tcPr>
            <w:tcW w:w="1580" w:type="dxa"/>
            <w:vAlign w:val="bottom"/>
            <w:vMerge w:val="restart"/>
            <w:shd w:val="clear" w:color="auto" w:fill="EAF9E8"/>
          </w:tcPr>
          <w:p>
            <w:pPr>
              <w:jc w:val="center"/>
              <w:spacing w:after="0" w:line="149" w:lineRule="exact"/>
              <w:rPr>
                <w:sz w:val="20"/>
                <w:szCs w:val="20"/>
                <w:color w:val="auto"/>
              </w:rPr>
            </w:pPr>
            <w:r>
              <w:rPr>
                <w:rFonts w:ascii="Arial" w:cs="Arial" w:eastAsia="Arial" w:hAnsi="Arial"/>
                <w:sz w:val="14"/>
                <w:szCs w:val="14"/>
                <w:color w:val="auto"/>
                <w:w w:val="88"/>
              </w:rPr>
              <w:t>Chairman</w:t>
            </w:r>
          </w:p>
        </w:tc>
        <w:tc>
          <w:tcPr>
            <w:tcW w:w="120" w:type="dxa"/>
            <w:vAlign w:val="bottom"/>
            <w:shd w:val="clear" w:color="auto" w:fill="EAF9E8"/>
          </w:tcPr>
          <w:p>
            <w:pPr>
              <w:spacing w:after="0"/>
              <w:rPr>
                <w:sz w:val="7"/>
                <w:szCs w:val="7"/>
                <w:color w:val="auto"/>
              </w:rPr>
            </w:pPr>
          </w:p>
        </w:tc>
        <w:tc>
          <w:tcPr>
            <w:tcW w:w="1360" w:type="dxa"/>
            <w:vAlign w:val="bottom"/>
            <w:vMerge w:val="continue"/>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60" w:type="dxa"/>
            <w:vAlign w:val="bottom"/>
            <w:shd w:val="clear" w:color="auto" w:fill="EAF9E8"/>
          </w:tcPr>
          <w:p>
            <w:pPr>
              <w:spacing w:after="0"/>
              <w:rPr>
                <w:sz w:val="4"/>
                <w:szCs w:val="4"/>
                <w:color w:val="auto"/>
              </w:rPr>
            </w:pPr>
          </w:p>
        </w:tc>
        <w:tc>
          <w:tcPr>
            <w:tcW w:w="240" w:type="dxa"/>
            <w:vAlign w:val="bottom"/>
            <w:shd w:val="clear" w:color="auto" w:fill="EAF9E8"/>
          </w:tcPr>
          <w:p>
            <w:pPr>
              <w:spacing w:after="0"/>
              <w:rPr>
                <w:sz w:val="4"/>
                <w:szCs w:val="4"/>
                <w:color w:val="auto"/>
              </w:rPr>
            </w:pPr>
          </w:p>
        </w:tc>
        <w:tc>
          <w:tcPr>
            <w:tcW w:w="680" w:type="dxa"/>
            <w:vAlign w:val="bottom"/>
            <w:shd w:val="clear" w:color="auto" w:fill="EAF9E8"/>
          </w:tcPr>
          <w:p>
            <w:pPr>
              <w:spacing w:after="0"/>
              <w:rPr>
                <w:sz w:val="4"/>
                <w:szCs w:val="4"/>
                <w:color w:val="auto"/>
              </w:rPr>
            </w:pPr>
          </w:p>
        </w:tc>
        <w:tc>
          <w:tcPr>
            <w:tcW w:w="120" w:type="dxa"/>
            <w:vAlign w:val="bottom"/>
            <w:shd w:val="clear" w:color="auto" w:fill="EAF9E8"/>
          </w:tcPr>
          <w:p>
            <w:pPr>
              <w:spacing w:after="0"/>
              <w:rPr>
                <w:sz w:val="4"/>
                <w:szCs w:val="4"/>
                <w:color w:val="auto"/>
              </w:rPr>
            </w:pPr>
          </w:p>
        </w:tc>
        <w:tc>
          <w:tcPr>
            <w:tcW w:w="2420" w:type="dxa"/>
            <w:vAlign w:val="bottom"/>
            <w:gridSpan w:val="2"/>
            <w:vMerge w:val="continue"/>
            <w:shd w:val="clear" w:color="auto" w:fill="EAF9E8"/>
          </w:tcPr>
          <w:p>
            <w:pPr>
              <w:spacing w:after="0"/>
              <w:rPr>
                <w:sz w:val="4"/>
                <w:szCs w:val="4"/>
                <w:color w:val="auto"/>
              </w:rPr>
            </w:pPr>
          </w:p>
        </w:tc>
        <w:tc>
          <w:tcPr>
            <w:tcW w:w="1720" w:type="dxa"/>
            <w:vAlign w:val="bottom"/>
            <w:vMerge w:val="continue"/>
            <w:shd w:val="clear" w:color="auto" w:fill="EAF9E8"/>
          </w:tcPr>
          <w:p>
            <w:pPr>
              <w:spacing w:after="0"/>
              <w:rPr>
                <w:sz w:val="4"/>
                <w:szCs w:val="4"/>
                <w:color w:val="auto"/>
              </w:rPr>
            </w:pPr>
          </w:p>
        </w:tc>
        <w:tc>
          <w:tcPr>
            <w:tcW w:w="220" w:type="dxa"/>
            <w:vAlign w:val="bottom"/>
            <w:shd w:val="clear" w:color="auto" w:fill="EAF9E8"/>
          </w:tcPr>
          <w:p>
            <w:pPr>
              <w:spacing w:after="0"/>
              <w:rPr>
                <w:sz w:val="4"/>
                <w:szCs w:val="4"/>
                <w:color w:val="auto"/>
              </w:rPr>
            </w:pPr>
          </w:p>
        </w:tc>
        <w:tc>
          <w:tcPr>
            <w:tcW w:w="1460" w:type="dxa"/>
            <w:vAlign w:val="bottom"/>
            <w:vMerge w:val="continue"/>
            <w:shd w:val="clear" w:color="auto" w:fill="EAF9E8"/>
          </w:tcPr>
          <w:p>
            <w:pPr>
              <w:spacing w:after="0"/>
              <w:rPr>
                <w:sz w:val="4"/>
                <w:szCs w:val="4"/>
                <w:color w:val="auto"/>
              </w:rPr>
            </w:pPr>
          </w:p>
        </w:tc>
        <w:tc>
          <w:tcPr>
            <w:tcW w:w="120" w:type="dxa"/>
            <w:vAlign w:val="bottom"/>
            <w:shd w:val="clear" w:color="auto" w:fill="EAF9E8"/>
          </w:tcPr>
          <w:p>
            <w:pPr>
              <w:spacing w:after="0"/>
              <w:rPr>
                <w:sz w:val="4"/>
                <w:szCs w:val="4"/>
                <w:color w:val="auto"/>
              </w:rPr>
            </w:pPr>
          </w:p>
        </w:tc>
        <w:tc>
          <w:tcPr>
            <w:tcW w:w="1580" w:type="dxa"/>
            <w:vAlign w:val="bottom"/>
            <w:vMerge w:val="continue"/>
            <w:shd w:val="clear" w:color="auto" w:fill="EAF9E8"/>
          </w:tcPr>
          <w:p>
            <w:pPr>
              <w:spacing w:after="0"/>
              <w:rPr>
                <w:sz w:val="4"/>
                <w:szCs w:val="4"/>
                <w:color w:val="auto"/>
              </w:rPr>
            </w:pPr>
          </w:p>
        </w:tc>
        <w:tc>
          <w:tcPr>
            <w:tcW w:w="120" w:type="dxa"/>
            <w:vAlign w:val="bottom"/>
            <w:shd w:val="clear" w:color="auto" w:fill="EAF9E8"/>
          </w:tcPr>
          <w:p>
            <w:pPr>
              <w:spacing w:after="0"/>
              <w:rPr>
                <w:sz w:val="4"/>
                <w:szCs w:val="4"/>
                <w:color w:val="auto"/>
              </w:rPr>
            </w:pPr>
          </w:p>
        </w:tc>
        <w:tc>
          <w:tcPr>
            <w:tcW w:w="1360" w:type="dxa"/>
            <w:vAlign w:val="bottom"/>
            <w:shd w:val="clear" w:color="auto" w:fill="EAF9E8"/>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2420" w:type="dxa"/>
            <w:vAlign w:val="bottom"/>
            <w:gridSpan w:val="2"/>
            <w:shd w:val="clear" w:color="auto" w:fill="EAF9E8"/>
          </w:tcPr>
          <w:p>
            <w:pPr>
              <w:jc w:val="center"/>
              <w:ind w:right="100"/>
              <w:spacing w:after="0" w:line="149" w:lineRule="exact"/>
              <w:rPr>
                <w:sz w:val="20"/>
                <w:szCs w:val="20"/>
                <w:color w:val="auto"/>
              </w:rPr>
            </w:pPr>
            <w:r>
              <w:rPr>
                <w:rFonts w:ascii="Arial" w:cs="Arial" w:eastAsia="Arial" w:hAnsi="Arial"/>
                <w:sz w:val="14"/>
                <w:szCs w:val="14"/>
                <w:color w:val="auto"/>
                <w:w w:val="85"/>
              </w:rPr>
              <w:t>gross accounts, receivables, PNC</w:t>
            </w:r>
          </w:p>
        </w:tc>
        <w:tc>
          <w:tcPr>
            <w:tcW w:w="1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46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5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3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EAF9E8"/>
          </w:tcPr>
          <w:p>
            <w:pPr>
              <w:spacing w:after="0"/>
              <w:rPr>
                <w:sz w:val="13"/>
                <w:szCs w:val="13"/>
                <w:color w:val="auto"/>
              </w:rPr>
            </w:pPr>
          </w:p>
        </w:tc>
        <w:tc>
          <w:tcPr>
            <w:tcW w:w="240" w:type="dxa"/>
            <w:vAlign w:val="bottom"/>
            <w:shd w:val="clear" w:color="auto" w:fill="EAF9E8"/>
          </w:tcPr>
          <w:p>
            <w:pPr>
              <w:spacing w:after="0"/>
              <w:rPr>
                <w:sz w:val="13"/>
                <w:szCs w:val="13"/>
                <w:color w:val="auto"/>
              </w:rPr>
            </w:pPr>
          </w:p>
        </w:tc>
        <w:tc>
          <w:tcPr>
            <w:tcW w:w="6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2420" w:type="dxa"/>
            <w:vAlign w:val="bottom"/>
            <w:gridSpan w:val="2"/>
            <w:shd w:val="clear" w:color="auto" w:fill="EAF9E8"/>
          </w:tcPr>
          <w:p>
            <w:pPr>
              <w:jc w:val="center"/>
              <w:ind w:right="100"/>
              <w:spacing w:after="0" w:line="159" w:lineRule="exact"/>
              <w:rPr>
                <w:sz w:val="20"/>
                <w:szCs w:val="20"/>
                <w:color w:val="auto"/>
              </w:rPr>
            </w:pPr>
            <w:r>
              <w:rPr>
                <w:rFonts w:ascii="Arial" w:cs="Arial" w:eastAsia="Arial" w:hAnsi="Arial"/>
                <w:sz w:val="14"/>
                <w:szCs w:val="14"/>
                <w:color w:val="auto"/>
                <w:w w:val="86"/>
              </w:rPr>
              <w:t>settlement, and Orlando land</w:t>
            </w:r>
          </w:p>
        </w:tc>
        <w:tc>
          <w:tcPr>
            <w:tcW w:w="172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146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5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36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gridSpan w:val="2"/>
          </w:tcPr>
          <w:p>
            <w:pPr>
              <w:jc w:val="center"/>
              <w:ind w:left="172"/>
              <w:spacing w:after="0"/>
              <w:rPr>
                <w:sz w:val="20"/>
                <w:szCs w:val="20"/>
                <w:color w:val="auto"/>
              </w:rPr>
            </w:pPr>
            <w:r>
              <w:rPr>
                <w:rFonts w:ascii="Arial" w:cs="Arial" w:eastAsia="Arial" w:hAnsi="Arial"/>
                <w:sz w:val="14"/>
                <w:szCs w:val="14"/>
                <w:color w:val="auto"/>
                <w:w w:val="85"/>
              </w:rPr>
              <w:t>11%</w:t>
            </w:r>
          </w:p>
        </w:tc>
        <w:tc>
          <w:tcPr>
            <w:tcW w:w="120" w:type="dxa"/>
            <w:vAlign w:val="bottom"/>
          </w:tcPr>
          <w:p>
            <w:pPr>
              <w:spacing w:after="0"/>
              <w:rPr>
                <w:sz w:val="24"/>
                <w:szCs w:val="24"/>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Achieve Return on Equity targets</w:t>
            </w:r>
          </w:p>
        </w:tc>
        <w:tc>
          <w:tcPr>
            <w:tcW w:w="1720" w:type="dxa"/>
            <w:vAlign w:val="bottom"/>
          </w:tcPr>
          <w:p>
            <w:pPr>
              <w:jc w:val="center"/>
              <w:spacing w:after="0"/>
              <w:rPr>
                <w:sz w:val="20"/>
                <w:szCs w:val="20"/>
                <w:color w:val="auto"/>
              </w:rPr>
            </w:pPr>
            <w:r>
              <w:rPr>
                <w:rFonts w:ascii="Arial" w:cs="Arial" w:eastAsia="Arial" w:hAnsi="Arial"/>
                <w:sz w:val="14"/>
                <w:szCs w:val="14"/>
                <w:color w:val="auto"/>
                <w:w w:val="87"/>
              </w:rPr>
              <w:t>5.2%</w:t>
            </w:r>
          </w:p>
        </w:tc>
        <w:tc>
          <w:tcPr>
            <w:tcW w:w="1680" w:type="dxa"/>
            <w:vAlign w:val="bottom"/>
            <w:gridSpan w:val="2"/>
          </w:tcPr>
          <w:p>
            <w:pPr>
              <w:jc w:val="center"/>
              <w:ind w:left="152"/>
              <w:spacing w:after="0"/>
              <w:rPr>
                <w:sz w:val="20"/>
                <w:szCs w:val="20"/>
                <w:color w:val="auto"/>
              </w:rPr>
            </w:pPr>
            <w:r>
              <w:rPr>
                <w:rFonts w:ascii="Arial" w:cs="Arial" w:eastAsia="Arial" w:hAnsi="Arial"/>
                <w:sz w:val="14"/>
                <w:szCs w:val="14"/>
                <w:color w:val="auto"/>
                <w:w w:val="93"/>
              </w:rPr>
              <w:t>6.2%</w:t>
            </w:r>
          </w:p>
        </w:tc>
        <w:tc>
          <w:tcPr>
            <w:tcW w:w="1700" w:type="dxa"/>
            <w:vAlign w:val="bottom"/>
            <w:gridSpan w:val="2"/>
          </w:tcPr>
          <w:p>
            <w:pPr>
              <w:jc w:val="center"/>
              <w:ind w:left="72"/>
              <w:spacing w:after="0"/>
              <w:rPr>
                <w:sz w:val="20"/>
                <w:szCs w:val="20"/>
                <w:color w:val="auto"/>
              </w:rPr>
            </w:pPr>
            <w:r>
              <w:rPr>
                <w:rFonts w:ascii="Arial" w:cs="Arial" w:eastAsia="Arial" w:hAnsi="Arial"/>
                <w:sz w:val="14"/>
                <w:szCs w:val="14"/>
                <w:color w:val="auto"/>
                <w:w w:val="87"/>
              </w:rPr>
              <w:t>7.2%</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3"/>
              </w:rPr>
              <w:t xml:space="preserve">Target </w:t>
            </w:r>
            <w:r>
              <w:rPr>
                <w:rFonts w:ascii="Arial" w:cs="Arial" w:eastAsia="Arial" w:hAnsi="Arial"/>
                <w:sz w:val="22"/>
                <w:szCs w:val="22"/>
                <w:color w:val="auto"/>
                <w:w w:val="83"/>
                <w:vertAlign w:val="superscript"/>
              </w:rPr>
              <w:t>(1)</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9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gridSpan w:val="2"/>
          </w:tcPr>
          <w:p>
            <w:pPr>
              <w:spacing w:after="0"/>
              <w:rPr>
                <w:sz w:val="4"/>
                <w:szCs w:val="4"/>
                <w:color w:val="auto"/>
              </w:rPr>
            </w:pPr>
          </w:p>
        </w:tc>
        <w:tc>
          <w:tcPr>
            <w:tcW w:w="1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center"/>
              <w:ind w:left="152"/>
              <w:spacing w:after="0" w:line="149" w:lineRule="exact"/>
              <w:rPr>
                <w:sz w:val="20"/>
                <w:szCs w:val="20"/>
                <w:color w:val="auto"/>
              </w:rPr>
            </w:pPr>
            <w:r>
              <w:rPr>
                <w:rFonts w:ascii="Arial" w:cs="Arial" w:eastAsia="Arial" w:hAnsi="Arial"/>
                <w:sz w:val="14"/>
                <w:szCs w:val="14"/>
                <w:color w:val="auto"/>
                <w:w w:val="88"/>
              </w:rPr>
              <w:t>5%</w:t>
            </w:r>
          </w:p>
        </w:tc>
        <w:tc>
          <w:tcPr>
            <w:tcW w:w="120" w:type="dxa"/>
            <w:vAlign w:val="bottom"/>
            <w:shd w:val="clear" w:color="auto" w:fill="EAF9E8"/>
          </w:tcPr>
          <w:p>
            <w:pPr>
              <w:spacing w:after="0"/>
              <w:rPr>
                <w:sz w:val="12"/>
                <w:szCs w:val="12"/>
                <w:color w:val="auto"/>
              </w:rPr>
            </w:pPr>
          </w:p>
        </w:tc>
        <w:tc>
          <w:tcPr>
            <w:tcW w:w="2420" w:type="dxa"/>
            <w:vAlign w:val="bottom"/>
            <w:gridSpan w:val="2"/>
            <w:shd w:val="clear" w:color="auto" w:fill="EAF9E8"/>
          </w:tcPr>
          <w:p>
            <w:pPr>
              <w:jc w:val="center"/>
              <w:ind w:right="100"/>
              <w:spacing w:after="0" w:line="149" w:lineRule="exact"/>
              <w:rPr>
                <w:sz w:val="20"/>
                <w:szCs w:val="20"/>
                <w:color w:val="auto"/>
              </w:rPr>
            </w:pPr>
            <w:r>
              <w:rPr>
                <w:rFonts w:ascii="Arial" w:cs="Arial" w:eastAsia="Arial" w:hAnsi="Arial"/>
                <w:sz w:val="14"/>
                <w:szCs w:val="14"/>
                <w:color w:val="auto"/>
                <w:w w:val="88"/>
              </w:rPr>
              <w:t>Improve customer satisfaction</w:t>
            </w:r>
          </w:p>
        </w:tc>
        <w:tc>
          <w:tcPr>
            <w:tcW w:w="17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4"/>
              </w:rPr>
              <w:t>4.55 Sigma</w:t>
            </w:r>
          </w:p>
        </w:tc>
        <w:tc>
          <w:tcPr>
            <w:tcW w:w="220" w:type="dxa"/>
            <w:vAlign w:val="bottom"/>
            <w:shd w:val="clear" w:color="auto" w:fill="EAF9E8"/>
          </w:tcPr>
          <w:p>
            <w:pPr>
              <w:spacing w:after="0"/>
              <w:rPr>
                <w:sz w:val="12"/>
                <w:szCs w:val="12"/>
                <w:color w:val="auto"/>
              </w:rPr>
            </w:pPr>
          </w:p>
        </w:tc>
        <w:tc>
          <w:tcPr>
            <w:tcW w:w="146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7"/>
              </w:rPr>
              <w:t>4.60 Sigma</w:t>
            </w:r>
          </w:p>
        </w:tc>
        <w:tc>
          <w:tcPr>
            <w:tcW w:w="120" w:type="dxa"/>
            <w:vAlign w:val="bottom"/>
            <w:shd w:val="clear" w:color="auto" w:fill="EAF9E8"/>
          </w:tcPr>
          <w:p>
            <w:pPr>
              <w:spacing w:after="0"/>
              <w:rPr>
                <w:sz w:val="12"/>
                <w:szCs w:val="12"/>
                <w:color w:val="auto"/>
              </w:rPr>
            </w:pPr>
          </w:p>
        </w:tc>
        <w:tc>
          <w:tcPr>
            <w:tcW w:w="158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7"/>
              </w:rPr>
              <w:t>4.65 Sigma</w:t>
            </w:r>
          </w:p>
        </w:tc>
        <w:tc>
          <w:tcPr>
            <w:tcW w:w="120" w:type="dxa"/>
            <w:vAlign w:val="bottom"/>
            <w:shd w:val="clear" w:color="auto" w:fill="EAF9E8"/>
          </w:tcPr>
          <w:p>
            <w:pPr>
              <w:spacing w:after="0"/>
              <w:rPr>
                <w:sz w:val="12"/>
                <w:szCs w:val="12"/>
                <w:color w:val="auto"/>
              </w:rPr>
            </w:pPr>
          </w:p>
        </w:tc>
        <w:tc>
          <w:tcPr>
            <w:tcW w:w="136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Achieve the following to improve debt</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ratings: (1) conduct two presentations to</w:t>
            </w: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each of the three rating agencies; (2)</w:t>
            </w: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gridSpan w:val="2"/>
            <w:vMerge w:val="restart"/>
          </w:tcPr>
          <w:p>
            <w:pPr>
              <w:jc w:val="center"/>
              <w:ind w:left="172"/>
              <w:spacing w:after="0"/>
              <w:rPr>
                <w:sz w:val="20"/>
                <w:szCs w:val="20"/>
                <w:color w:val="auto"/>
              </w:rPr>
            </w:pPr>
            <w:r>
              <w:rPr>
                <w:rFonts w:ascii="Arial" w:cs="Arial" w:eastAsia="Arial" w:hAnsi="Arial"/>
                <w:sz w:val="14"/>
                <w:szCs w:val="14"/>
                <w:color w:val="auto"/>
                <w:w w:val="85"/>
              </w:rPr>
              <w:t>11%</w:t>
            </w:r>
          </w:p>
        </w:tc>
        <w:tc>
          <w:tcPr>
            <w:tcW w:w="120" w:type="dxa"/>
            <w:vAlign w:val="bottom"/>
          </w:tcPr>
          <w:p>
            <w:pPr>
              <w:spacing w:after="0"/>
              <w:rPr>
                <w:sz w:val="12"/>
                <w:szCs w:val="12"/>
                <w:color w:val="auto"/>
              </w:rPr>
            </w:pPr>
          </w:p>
        </w:tc>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create a scorecard to discuss disposal of</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1"/>
              </w:rPr>
              <w:t>1 of 3</w:t>
            </w:r>
          </w:p>
        </w:tc>
        <w:tc>
          <w:tcPr>
            <w:tcW w:w="2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85"/>
              </w:rPr>
              <w:t>2 of 3</w:t>
            </w:r>
          </w:p>
        </w:tc>
        <w:tc>
          <w:tcPr>
            <w:tcW w:w="1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w w:val="85"/>
              </w:rPr>
              <w:t>3 of 3</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4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6"/>
              </w:rPr>
              <w:t>vestigial assets with the ratings agencies;</w:t>
            </w:r>
          </w:p>
        </w:tc>
        <w:tc>
          <w:tcPr>
            <w:tcW w:w="1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20" w:type="dxa"/>
            <w:vAlign w:val="bottom"/>
            <w:gridSpan w:val="2"/>
            <w:vMerge w:val="continue"/>
          </w:tcPr>
          <w:p>
            <w:pPr>
              <w:spacing w:after="0"/>
              <w:rPr>
                <w:sz w:val="6"/>
                <w:szCs w:val="6"/>
                <w:color w:val="auto"/>
              </w:rPr>
            </w:pPr>
          </w:p>
        </w:tc>
        <w:tc>
          <w:tcPr>
            <w:tcW w:w="1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bl>
    <w:p>
      <w:pPr>
        <w:jc w:val="center"/>
        <w:ind w:right="4280"/>
        <w:spacing w:after="0" w:line="221" w:lineRule="auto"/>
        <w:rPr>
          <w:sz w:val="20"/>
          <w:szCs w:val="20"/>
          <w:color w:val="auto"/>
        </w:rPr>
      </w:pPr>
      <w:r>
        <w:rPr>
          <w:rFonts w:ascii="Arial" w:cs="Arial" w:eastAsia="Arial" w:hAnsi="Arial"/>
          <w:sz w:val="14"/>
          <w:szCs w:val="14"/>
          <w:color w:val="auto"/>
        </w:rPr>
        <w:t>and (3) document action plans to address</w:t>
      </w:r>
    </w:p>
    <w:p>
      <w:pPr>
        <w:ind w:left="2640"/>
        <w:spacing w:after="0" w:line="221" w:lineRule="auto"/>
        <w:rPr>
          <w:sz w:val="20"/>
          <w:szCs w:val="20"/>
          <w:color w:val="auto"/>
        </w:rPr>
      </w:pPr>
      <w:r>
        <w:rPr>
          <w:rFonts w:ascii="Arial" w:cs="Arial" w:eastAsia="Arial" w:hAnsi="Arial"/>
          <w:sz w:val="14"/>
          <w:szCs w:val="14"/>
          <w:color w:val="auto"/>
        </w:rPr>
        <w:t>all negative factors or watch items</w:t>
      </w:r>
    </w:p>
    <w:p>
      <w:pPr>
        <w:ind w:left="2680"/>
        <w:spacing w:after="0"/>
        <w:rPr>
          <w:sz w:val="20"/>
          <w:szCs w:val="20"/>
          <w:color w:val="auto"/>
        </w:rPr>
      </w:pPr>
      <w:r>
        <w:rPr>
          <w:rFonts w:ascii="Arial" w:cs="Arial" w:eastAsia="Arial" w:hAnsi="Arial"/>
          <w:sz w:val="14"/>
          <w:szCs w:val="14"/>
          <w:color w:val="auto"/>
        </w:rPr>
        <w:t>published by the ratings agencies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line="200" w:lineRule="exact"/>
        <w:rPr>
          <w:sz w:val="20"/>
          <w:szCs w:val="20"/>
          <w:color w:val="auto"/>
        </w:rPr>
      </w:pPr>
    </w:p>
    <w:p>
      <w:pPr>
        <w:spacing w:after="0" w:line="205" w:lineRule="exact"/>
        <w:rPr>
          <w:sz w:val="20"/>
          <w:szCs w:val="20"/>
          <w:color w:val="auto"/>
        </w:rPr>
      </w:pPr>
    </w:p>
    <w:p>
      <w:pPr>
        <w:jc w:val="right"/>
        <w:ind w:right="20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875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auto"/>
        </w:rPr>
        <w:t>Paul A. Koches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154305</wp:posOffset>
            </wp:positionV>
            <wp:extent cx="4375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4"/>
                <w:szCs w:val="14"/>
                <w:b w:val="1"/>
                <w:bCs w:val="1"/>
                <w:color w:val="auto"/>
              </w:rPr>
              <w:t>Achievement Levels</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2008 Scorecard</w:t>
            </w:r>
          </w:p>
        </w:tc>
        <w:tc>
          <w:tcPr>
            <w:tcW w:w="1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4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86"/>
              </w:rPr>
              <w:t>Elements</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8"/>
              </w:rPr>
              <w:t>Threshold</w:t>
            </w: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17"/>
        </w:trPr>
        <w:tc>
          <w:tcPr>
            <w:tcW w:w="242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3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0"/>
              </w:rPr>
              <w:t>Achieve the following to improve debt</w:t>
            </w:r>
          </w:p>
        </w:tc>
        <w:tc>
          <w:tcPr>
            <w:tcW w:w="120" w:type="dxa"/>
            <w:vAlign w:val="bottom"/>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ratings: (1) conduct two presentations to</w:t>
            </w: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each of the three rating agencies; (2)</w:t>
            </w: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create a scorecard to discuss disposal of</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1"/>
              </w:rPr>
              <w:t>1 of 3</w:t>
            </w:r>
          </w:p>
        </w:tc>
        <w:tc>
          <w:tcPr>
            <w:tcW w:w="2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w w:val="85"/>
              </w:rPr>
              <w:t>2 of 3</w:t>
            </w:r>
          </w:p>
        </w:tc>
        <w:tc>
          <w:tcPr>
            <w:tcW w:w="1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85"/>
              </w:rPr>
              <w:t>3 of 3</w:t>
            </w:r>
          </w:p>
        </w:tc>
        <w:tc>
          <w:tcPr>
            <w:tcW w:w="0" w:type="dxa"/>
            <w:vAlign w:val="bottom"/>
          </w:tcPr>
          <w:p>
            <w:pPr>
              <w:spacing w:after="0"/>
              <w:rPr>
                <w:sz w:val="1"/>
                <w:szCs w:val="1"/>
                <w:color w:val="auto"/>
              </w:rPr>
            </w:pPr>
          </w:p>
        </w:tc>
      </w:tr>
      <w:tr>
        <w:trPr>
          <w:trHeight w:val="91"/>
        </w:trPr>
        <w:tc>
          <w:tcPr>
            <w:tcW w:w="24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color w:val="auto"/>
                <w:w w:val="86"/>
              </w:rPr>
              <w:t>vestigial assets with the ratings agencies;</w:t>
            </w:r>
          </w:p>
        </w:tc>
        <w:tc>
          <w:tcPr>
            <w:tcW w:w="1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420" w:type="dxa"/>
            <w:vAlign w:val="bottom"/>
            <w:gridSpan w:val="2"/>
            <w:vMerge w:val="continue"/>
          </w:tcPr>
          <w:p>
            <w:pPr>
              <w:spacing w:after="0"/>
              <w:rPr>
                <w:sz w:val="4"/>
                <w:szCs w:val="4"/>
                <w:color w:val="auto"/>
              </w:rPr>
            </w:pPr>
          </w:p>
        </w:tc>
        <w:tc>
          <w:tcPr>
            <w:tcW w:w="1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and (3) document action plans to address</w:t>
            </w: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all negative factors or watch items</w:t>
            </w: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published by the ratings agencies</w:t>
            </w: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-762000</wp:posOffset>
            </wp:positionV>
            <wp:extent cx="7246620" cy="7543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754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Level</w:t>
      </w:r>
    </w:p>
    <w:p>
      <w:pPr>
        <w:spacing w:after="0" w:line="1"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146050</wp:posOffset>
            </wp:positionV>
            <wp:extent cx="8661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Outstanding</w:t>
      </w:r>
    </w:p>
    <w:p>
      <w:pPr>
        <w:spacing w:after="0" w:line="673" w:lineRule="exact"/>
        <w:rPr>
          <w:sz w:val="20"/>
          <w:szCs w:val="20"/>
          <w:color w:val="auto"/>
        </w:rPr>
      </w:pPr>
    </w:p>
    <w:p>
      <w:pPr>
        <w:sectPr>
          <w:pgSz w:w="11900" w:h="16838" w:orient="portrait"/>
          <w:cols w:equalWidth="0" w:num="4">
            <w:col w:w="1060" w:space="720"/>
            <w:col w:w="360" w:space="280"/>
            <w:col w:w="7520" w:space="460"/>
            <w:col w:w="10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color w:val="auto"/>
        </w:rPr>
        <w:t>William B. Shepro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12.5%</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12.5%</w:t>
      </w:r>
    </w:p>
    <w:p>
      <w:pPr>
        <w:spacing w:after="0" w:line="389" w:lineRule="exact"/>
        <w:rPr>
          <w:sz w:val="20"/>
          <w:szCs w:val="20"/>
          <w:color w:val="auto"/>
        </w:rPr>
      </w:pPr>
    </w:p>
    <w:p>
      <w:pPr>
        <w:spacing w:after="0"/>
        <w:rPr>
          <w:sz w:val="20"/>
          <w:szCs w:val="20"/>
          <w:color w:val="auto"/>
        </w:rPr>
      </w:pPr>
      <w:r>
        <w:rPr>
          <w:rFonts w:ascii="Arial" w:cs="Arial" w:eastAsia="Arial" w:hAnsi="Arial"/>
          <w:sz w:val="12"/>
          <w:szCs w:val="12"/>
          <w:color w:val="auto"/>
        </w:rPr>
        <w:t>12.5%</w:t>
      </w: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color w:val="auto"/>
        </w:rPr>
        <w:t>12.5%</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12.5%</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12.5%</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12.5%</w:t>
      </w: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15%</w:t>
      </w:r>
    </w:p>
    <w:p>
      <w:pPr>
        <w:spacing w:after="0" w:line="200" w:lineRule="exact"/>
        <w:rPr>
          <w:sz w:val="20"/>
          <w:szCs w:val="20"/>
          <w:color w:val="auto"/>
        </w:rPr>
      </w:pPr>
    </w:p>
    <w:p>
      <w:pPr>
        <w:spacing w:after="0" w:line="382" w:lineRule="exact"/>
        <w:rPr>
          <w:sz w:val="20"/>
          <w:szCs w:val="20"/>
          <w:color w:val="auto"/>
        </w:rPr>
      </w:pPr>
    </w:p>
    <w:p>
      <w:pPr>
        <w:ind w:left="6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Raise liquidity and funding</w:t>
      </w:r>
    </w:p>
    <w:p>
      <w:pPr>
        <w:spacing w:after="0" w:line="285" w:lineRule="exact"/>
        <w:rPr>
          <w:sz w:val="20"/>
          <w:szCs w:val="20"/>
          <w:color w:val="auto"/>
        </w:rPr>
      </w:pPr>
    </w:p>
    <w:p>
      <w:pPr>
        <w:jc w:val="center"/>
        <w:ind w:left="20"/>
        <w:spacing w:after="0" w:line="239" w:lineRule="auto"/>
        <w:rPr>
          <w:sz w:val="20"/>
          <w:szCs w:val="20"/>
          <w:color w:val="auto"/>
        </w:rPr>
      </w:pPr>
      <w:r>
        <w:rPr>
          <w:rFonts w:ascii="Arial" w:cs="Arial" w:eastAsia="Arial" w:hAnsi="Arial"/>
          <w:sz w:val="14"/>
          <w:szCs w:val="14"/>
          <w:color w:val="auto"/>
        </w:rPr>
        <w:t>Expand assets under management to $518 million</w:t>
      </w:r>
    </w:p>
    <w:p>
      <w:pPr>
        <w:spacing w:after="0" w:line="125" w:lineRule="exact"/>
        <w:rPr>
          <w:sz w:val="20"/>
          <w:szCs w:val="20"/>
          <w:color w:val="auto"/>
        </w:rPr>
      </w:pPr>
    </w:p>
    <w:p>
      <w:pPr>
        <w:jc w:val="center"/>
        <w:ind w:left="80"/>
        <w:spacing w:after="0" w:line="233" w:lineRule="auto"/>
        <w:rPr>
          <w:sz w:val="20"/>
          <w:szCs w:val="20"/>
          <w:color w:val="auto"/>
        </w:rPr>
      </w:pPr>
      <w:r>
        <w:rPr>
          <w:rFonts w:ascii="Arial" w:cs="Arial" w:eastAsia="Arial" w:hAnsi="Arial"/>
          <w:sz w:val="14"/>
          <w:szCs w:val="14"/>
          <w:color w:val="auto"/>
        </w:rPr>
        <w:t>Achieve 2008 budgeted expense for the law department (excluding relocation costs)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Successfully develop tax strategy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Achieve budgeted legal expenses for</w:t>
      </w:r>
    </w:p>
    <w:p>
      <w:pPr>
        <w:jc w:val="center"/>
        <w:spacing w:after="0"/>
        <w:rPr>
          <w:sz w:val="20"/>
          <w:szCs w:val="20"/>
          <w:color w:val="auto"/>
        </w:rPr>
      </w:pPr>
      <w:r>
        <w:rPr>
          <w:rFonts w:ascii="Arial" w:cs="Arial" w:eastAsia="Arial" w:hAnsi="Arial"/>
          <w:sz w:val="12"/>
          <w:szCs w:val="12"/>
          <w:color w:val="auto"/>
        </w:rPr>
        <w:t>Ocwen (excluding extraordinary items)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Improve customer satisfaction</w:t>
      </w:r>
    </w:p>
    <w:p>
      <w:pPr>
        <w:spacing w:after="0" w:line="285" w:lineRule="exact"/>
        <w:rPr>
          <w:sz w:val="20"/>
          <w:szCs w:val="20"/>
          <w:color w:val="auto"/>
        </w:rPr>
      </w:pPr>
    </w:p>
    <w:p>
      <w:pPr>
        <w:jc w:val="center"/>
        <w:spacing w:after="0" w:line="239" w:lineRule="auto"/>
        <w:rPr>
          <w:sz w:val="20"/>
          <w:szCs w:val="20"/>
          <w:color w:val="auto"/>
        </w:rPr>
      </w:pPr>
      <w:r>
        <w:rPr>
          <w:rFonts w:ascii="Arial" w:cs="Arial" w:eastAsia="Arial" w:hAnsi="Arial"/>
          <w:sz w:val="14"/>
          <w:szCs w:val="14"/>
          <w:color w:val="auto"/>
        </w:rPr>
        <w:t>Position Ocwen Solutions for a spin-off or initial public offering</w:t>
      </w:r>
    </w:p>
    <w:p>
      <w:pPr>
        <w:spacing w:after="0" w:line="274" w:lineRule="exact"/>
        <w:rPr>
          <w:sz w:val="20"/>
          <w:szCs w:val="20"/>
          <w:color w:val="auto"/>
        </w:rPr>
      </w:pPr>
    </w:p>
    <w:p>
      <w:pPr>
        <w:jc w:val="center"/>
        <w:ind w:left="-19"/>
        <w:spacing w:after="0" w:line="239" w:lineRule="auto"/>
        <w:rPr>
          <w:sz w:val="20"/>
          <w:szCs w:val="20"/>
          <w:color w:val="auto"/>
        </w:rPr>
      </w:pPr>
      <w:r>
        <w:rPr>
          <w:rFonts w:ascii="Arial" w:cs="Arial" w:eastAsia="Arial" w:hAnsi="Arial"/>
          <w:sz w:val="14"/>
          <w:szCs w:val="14"/>
          <w:color w:val="auto"/>
        </w:rPr>
        <w:t>Achieve Ocwen Solutions EBITDA target (excluding BMS)</w:t>
      </w:r>
    </w:p>
    <w:p>
      <w:pPr>
        <w:spacing w:after="0" w:line="125" w:lineRule="exact"/>
        <w:rPr>
          <w:sz w:val="20"/>
          <w:szCs w:val="20"/>
          <w:color w:val="auto"/>
        </w:rPr>
      </w:pPr>
    </w:p>
    <w:p>
      <w:pPr>
        <w:jc w:val="center"/>
        <w:ind w:left="60"/>
        <w:spacing w:after="0" w:line="270" w:lineRule="auto"/>
        <w:rPr>
          <w:sz w:val="20"/>
          <w:szCs w:val="20"/>
          <w:color w:val="auto"/>
        </w:rPr>
      </w:pPr>
      <w:r>
        <w:rPr>
          <w:rFonts w:ascii="Arial" w:cs="Arial" w:eastAsia="Arial" w:hAnsi="Arial"/>
          <w:sz w:val="12"/>
          <w:szCs w:val="12"/>
          <w:color w:val="auto"/>
        </w:rPr>
        <w:t>Generate cash from the sale or financing of BOK, GSS Canada, NCI, residuals, loans and REO held for resale, FHLMC/FNMA, debt service accounts, gross accounts, receivables, PNC settlement, and Orlando land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jc w:val="center"/>
              <w:ind w:right="112"/>
              <w:spacing w:after="0"/>
              <w:rPr>
                <w:sz w:val="20"/>
                <w:szCs w:val="20"/>
                <w:color w:val="auto"/>
              </w:rPr>
            </w:pPr>
            <w:r>
              <w:rPr>
                <w:rFonts w:ascii="Arial" w:cs="Arial" w:eastAsia="Arial" w:hAnsi="Arial"/>
                <w:sz w:val="14"/>
                <w:szCs w:val="14"/>
                <w:color w:val="auto"/>
                <w:w w:val="84"/>
              </w:rPr>
              <w:t>Not less than $0 excess net</w:t>
            </w:r>
          </w:p>
        </w:tc>
        <w:tc>
          <w:tcPr>
            <w:tcW w:w="1760" w:type="dxa"/>
            <w:vAlign w:val="bottom"/>
            <w:vMerge w:val="restart"/>
          </w:tcPr>
          <w:p>
            <w:pPr>
              <w:ind w:left="520"/>
              <w:spacing w:after="0"/>
              <w:rPr>
                <w:sz w:val="20"/>
                <w:szCs w:val="20"/>
                <w:color w:val="auto"/>
              </w:rPr>
            </w:pPr>
            <w:r>
              <w:rPr>
                <w:rFonts w:ascii="Arial" w:cs="Arial" w:eastAsia="Arial" w:hAnsi="Arial"/>
                <w:sz w:val="14"/>
                <w:szCs w:val="14"/>
                <w:color w:val="auto"/>
              </w:rPr>
              <w:t>Threshold plus</w:t>
            </w:r>
          </w:p>
        </w:tc>
        <w:tc>
          <w:tcPr>
            <w:tcW w:w="1500" w:type="dxa"/>
            <w:vAlign w:val="bottom"/>
            <w:vMerge w:val="restart"/>
          </w:tcPr>
          <w:p>
            <w:pPr>
              <w:jc w:val="center"/>
              <w:ind w:left="32"/>
              <w:spacing w:after="0"/>
              <w:rPr>
                <w:sz w:val="20"/>
                <w:szCs w:val="20"/>
                <w:color w:val="auto"/>
              </w:rPr>
            </w:pPr>
            <w:r>
              <w:rPr>
                <w:rFonts w:ascii="Arial" w:cs="Arial" w:eastAsia="Arial" w:hAnsi="Arial"/>
                <w:sz w:val="14"/>
                <w:szCs w:val="14"/>
                <w:color w:val="auto"/>
                <w:w w:val="85"/>
              </w:rPr>
              <w:t>Target plus</w:t>
            </w:r>
          </w:p>
        </w:tc>
        <w:tc>
          <w:tcPr>
            <w:tcW w:w="0" w:type="dxa"/>
            <w:vAlign w:val="bottom"/>
          </w:tcPr>
          <w:p>
            <w:pPr>
              <w:spacing w:after="0"/>
              <w:rPr>
                <w:sz w:val="1"/>
                <w:szCs w:val="1"/>
                <w:color w:val="auto"/>
              </w:rPr>
            </w:pPr>
          </w:p>
        </w:tc>
      </w:tr>
      <w:tr>
        <w:trPr>
          <w:trHeight w:val="68"/>
        </w:trPr>
        <w:tc>
          <w:tcPr>
            <w:tcW w:w="1680" w:type="dxa"/>
            <w:vAlign w:val="bottom"/>
            <w:vMerge w:val="restart"/>
          </w:tcPr>
          <w:p>
            <w:pPr>
              <w:jc w:val="center"/>
              <w:ind w:right="132"/>
              <w:spacing w:after="0" w:line="149" w:lineRule="exact"/>
              <w:rPr>
                <w:sz w:val="20"/>
                <w:szCs w:val="20"/>
                <w:color w:val="auto"/>
              </w:rPr>
            </w:pPr>
            <w:r>
              <w:rPr>
                <w:rFonts w:ascii="Arial" w:cs="Arial" w:eastAsia="Arial" w:hAnsi="Arial"/>
                <w:sz w:val="14"/>
                <w:szCs w:val="14"/>
                <w:color w:val="auto"/>
                <w:w w:val="86"/>
              </w:rPr>
              <w:t>advance after applicable</w:t>
            </w:r>
          </w:p>
        </w:tc>
        <w:tc>
          <w:tcPr>
            <w:tcW w:w="176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80" w:type="dxa"/>
            <w:vAlign w:val="bottom"/>
            <w:vMerge w:val="continue"/>
          </w:tcPr>
          <w:p>
            <w:pPr>
              <w:spacing w:after="0"/>
              <w:rPr>
                <w:sz w:val="7"/>
                <w:szCs w:val="7"/>
                <w:color w:val="auto"/>
              </w:rPr>
            </w:pPr>
          </w:p>
        </w:tc>
        <w:tc>
          <w:tcPr>
            <w:tcW w:w="1760" w:type="dxa"/>
            <w:vAlign w:val="bottom"/>
            <w:vMerge w:val="restart"/>
          </w:tcPr>
          <w:p>
            <w:pPr>
              <w:jc w:val="center"/>
              <w:ind w:left="32"/>
              <w:spacing w:after="0"/>
              <w:rPr>
                <w:sz w:val="20"/>
                <w:szCs w:val="20"/>
                <w:color w:val="auto"/>
              </w:rPr>
            </w:pPr>
            <w:r>
              <w:rPr>
                <w:rFonts w:ascii="Arial" w:cs="Arial" w:eastAsia="Arial" w:hAnsi="Arial"/>
                <w:sz w:val="14"/>
                <w:szCs w:val="14"/>
                <w:color w:val="auto"/>
                <w:w w:val="92"/>
              </w:rPr>
              <w:t>$70 million</w:t>
            </w:r>
          </w:p>
        </w:tc>
        <w:tc>
          <w:tcPr>
            <w:tcW w:w="1500" w:type="dxa"/>
            <w:vAlign w:val="bottom"/>
            <w:vMerge w:val="restart"/>
          </w:tcPr>
          <w:p>
            <w:pPr>
              <w:jc w:val="center"/>
              <w:ind w:left="52"/>
              <w:spacing w:after="0"/>
              <w:rPr>
                <w:sz w:val="20"/>
                <w:szCs w:val="20"/>
                <w:color w:val="auto"/>
              </w:rPr>
            </w:pPr>
            <w:r>
              <w:rPr>
                <w:rFonts w:ascii="Arial" w:cs="Arial" w:eastAsia="Arial" w:hAnsi="Arial"/>
                <w:sz w:val="14"/>
                <w:szCs w:val="14"/>
                <w:color w:val="auto"/>
                <w:w w:val="92"/>
              </w:rPr>
              <w:t>$80 million</w:t>
            </w:r>
          </w:p>
        </w:tc>
        <w:tc>
          <w:tcPr>
            <w:tcW w:w="0" w:type="dxa"/>
            <w:vAlign w:val="bottom"/>
          </w:tcPr>
          <w:p>
            <w:pPr>
              <w:spacing w:after="0"/>
              <w:rPr>
                <w:sz w:val="1"/>
                <w:szCs w:val="1"/>
                <w:color w:val="auto"/>
              </w:rPr>
            </w:pPr>
          </w:p>
        </w:tc>
      </w:tr>
      <w:tr>
        <w:trPr>
          <w:trHeight w:val="91"/>
        </w:trPr>
        <w:tc>
          <w:tcPr>
            <w:tcW w:w="1680" w:type="dxa"/>
            <w:vAlign w:val="bottom"/>
            <w:vMerge w:val="restart"/>
          </w:tcPr>
          <w:p>
            <w:pPr>
              <w:jc w:val="center"/>
              <w:ind w:right="132"/>
              <w:spacing w:after="0"/>
              <w:rPr>
                <w:sz w:val="20"/>
                <w:szCs w:val="20"/>
                <w:color w:val="auto"/>
              </w:rPr>
            </w:pPr>
            <w:r>
              <w:rPr>
                <w:rFonts w:ascii="Arial" w:cs="Arial" w:eastAsia="Arial" w:hAnsi="Arial"/>
                <w:sz w:val="14"/>
                <w:szCs w:val="14"/>
                <w:color w:val="auto"/>
                <w:w w:val="85"/>
              </w:rPr>
              <w:t>haircut</w:t>
            </w:r>
          </w:p>
        </w:tc>
        <w:tc>
          <w:tcPr>
            <w:tcW w:w="176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1680" w:type="dxa"/>
            <w:vAlign w:val="bottom"/>
          </w:tcPr>
          <w:p>
            <w:pPr>
              <w:jc w:val="center"/>
              <w:ind w:right="132"/>
              <w:spacing w:after="0"/>
              <w:rPr>
                <w:sz w:val="20"/>
                <w:szCs w:val="20"/>
                <w:color w:val="auto"/>
              </w:rPr>
            </w:pPr>
            <w:r>
              <w:rPr>
                <w:rFonts w:ascii="Arial" w:cs="Arial" w:eastAsia="Arial" w:hAnsi="Arial"/>
                <w:sz w:val="14"/>
                <w:szCs w:val="14"/>
                <w:color w:val="auto"/>
                <w:w w:val="88"/>
              </w:rPr>
              <w:t>85% of budget</w:t>
            </w:r>
          </w:p>
        </w:tc>
        <w:tc>
          <w:tcPr>
            <w:tcW w:w="1760" w:type="dxa"/>
            <w:vAlign w:val="bottom"/>
          </w:tcPr>
          <w:p>
            <w:pPr>
              <w:jc w:val="center"/>
              <w:ind w:left="32"/>
              <w:spacing w:after="0"/>
              <w:rPr>
                <w:sz w:val="20"/>
                <w:szCs w:val="20"/>
                <w:color w:val="auto"/>
              </w:rPr>
            </w:pPr>
            <w:r>
              <w:rPr>
                <w:rFonts w:ascii="Arial" w:cs="Arial" w:eastAsia="Arial" w:hAnsi="Arial"/>
                <w:sz w:val="14"/>
                <w:szCs w:val="14"/>
                <w:color w:val="auto"/>
                <w:w w:val="87"/>
              </w:rPr>
              <w:t>100% of budget</w:t>
            </w:r>
          </w:p>
        </w:tc>
        <w:tc>
          <w:tcPr>
            <w:tcW w:w="1500" w:type="dxa"/>
            <w:vAlign w:val="bottom"/>
          </w:tcPr>
          <w:p>
            <w:pPr>
              <w:jc w:val="center"/>
              <w:ind w:left="52"/>
              <w:spacing w:after="0"/>
              <w:rPr>
                <w:sz w:val="20"/>
                <w:szCs w:val="20"/>
                <w:color w:val="auto"/>
              </w:rPr>
            </w:pPr>
            <w:r>
              <w:rPr>
                <w:rFonts w:ascii="Arial" w:cs="Arial" w:eastAsia="Arial" w:hAnsi="Arial"/>
                <w:sz w:val="14"/>
                <w:szCs w:val="14"/>
                <w:color w:val="auto"/>
                <w:w w:val="87"/>
              </w:rPr>
              <w:t>115% of budget</w:t>
            </w:r>
          </w:p>
        </w:tc>
        <w:tc>
          <w:tcPr>
            <w:tcW w:w="0" w:type="dxa"/>
            <w:vAlign w:val="bottom"/>
          </w:tcPr>
          <w:p>
            <w:pPr>
              <w:spacing w:after="0"/>
              <w:rPr>
                <w:sz w:val="1"/>
                <w:szCs w:val="1"/>
                <w:color w:val="auto"/>
              </w:rPr>
            </w:pPr>
          </w:p>
        </w:tc>
      </w:tr>
      <w:tr>
        <w:trPr>
          <w:trHeight w:val="527"/>
        </w:trPr>
        <w:tc>
          <w:tcPr>
            <w:tcW w:w="1680" w:type="dxa"/>
            <w:vAlign w:val="bottom"/>
          </w:tcPr>
          <w:p>
            <w:pPr>
              <w:jc w:val="center"/>
              <w:ind w:right="132"/>
              <w:spacing w:after="0"/>
              <w:rPr>
                <w:sz w:val="20"/>
                <w:szCs w:val="20"/>
                <w:color w:val="auto"/>
              </w:rPr>
            </w:pPr>
            <w:r>
              <w:rPr>
                <w:rFonts w:ascii="Arial" w:cs="Arial" w:eastAsia="Arial" w:hAnsi="Arial"/>
                <w:sz w:val="14"/>
                <w:szCs w:val="14"/>
                <w:color w:val="auto"/>
                <w:w w:val="89"/>
              </w:rPr>
              <w:t>105% of budget</w:t>
            </w:r>
          </w:p>
        </w:tc>
        <w:tc>
          <w:tcPr>
            <w:tcW w:w="1760" w:type="dxa"/>
            <w:vAlign w:val="bottom"/>
          </w:tcPr>
          <w:p>
            <w:pPr>
              <w:jc w:val="center"/>
              <w:ind w:left="32"/>
              <w:spacing w:after="0"/>
              <w:rPr>
                <w:sz w:val="20"/>
                <w:szCs w:val="20"/>
                <w:color w:val="auto"/>
              </w:rPr>
            </w:pPr>
            <w:r>
              <w:rPr>
                <w:rFonts w:ascii="Arial" w:cs="Arial" w:eastAsia="Arial" w:hAnsi="Arial"/>
                <w:sz w:val="14"/>
                <w:szCs w:val="14"/>
                <w:color w:val="auto"/>
                <w:w w:val="87"/>
              </w:rPr>
              <w:t>100% of budget</w:t>
            </w:r>
          </w:p>
        </w:tc>
        <w:tc>
          <w:tcPr>
            <w:tcW w:w="1500" w:type="dxa"/>
            <w:vAlign w:val="bottom"/>
          </w:tcPr>
          <w:p>
            <w:pPr>
              <w:jc w:val="center"/>
              <w:ind w:left="52"/>
              <w:spacing w:after="0"/>
              <w:rPr>
                <w:sz w:val="20"/>
                <w:szCs w:val="20"/>
                <w:color w:val="auto"/>
              </w:rPr>
            </w:pPr>
            <w:r>
              <w:rPr>
                <w:rFonts w:ascii="Arial" w:cs="Arial" w:eastAsia="Arial" w:hAnsi="Arial"/>
                <w:sz w:val="14"/>
                <w:szCs w:val="14"/>
                <w:color w:val="auto"/>
                <w:w w:val="86"/>
              </w:rPr>
              <w:t>95% of budget</w:t>
            </w:r>
          </w:p>
        </w:tc>
        <w:tc>
          <w:tcPr>
            <w:tcW w:w="0" w:type="dxa"/>
            <w:vAlign w:val="bottom"/>
          </w:tcPr>
          <w:p>
            <w:pPr>
              <w:spacing w:after="0"/>
              <w:rPr>
                <w:sz w:val="1"/>
                <w:szCs w:val="1"/>
                <w:color w:val="auto"/>
              </w:rPr>
            </w:pPr>
          </w:p>
        </w:tc>
      </w:tr>
      <w:tr>
        <w:trPr>
          <w:trHeight w:val="446"/>
        </w:trPr>
        <w:tc>
          <w:tcPr>
            <w:tcW w:w="1680" w:type="dxa"/>
            <w:vAlign w:val="bottom"/>
          </w:tcPr>
          <w:p>
            <w:pPr>
              <w:jc w:val="center"/>
              <w:ind w:right="132"/>
              <w:spacing w:after="0"/>
              <w:rPr>
                <w:sz w:val="20"/>
                <w:szCs w:val="20"/>
                <w:color w:val="auto"/>
              </w:rPr>
            </w:pPr>
            <w:r>
              <w:rPr>
                <w:rFonts w:ascii="Arial" w:cs="Arial" w:eastAsia="Arial" w:hAnsi="Arial"/>
                <w:sz w:val="14"/>
                <w:szCs w:val="14"/>
                <w:color w:val="auto"/>
              </w:rPr>
              <w:t>N/A</w:t>
            </w:r>
          </w:p>
        </w:tc>
        <w:tc>
          <w:tcPr>
            <w:tcW w:w="1760" w:type="dxa"/>
            <w:vAlign w:val="bottom"/>
          </w:tcPr>
          <w:p>
            <w:pPr>
              <w:jc w:val="center"/>
              <w:ind w:left="32"/>
              <w:spacing w:after="0"/>
              <w:rPr>
                <w:sz w:val="20"/>
                <w:szCs w:val="20"/>
                <w:color w:val="auto"/>
              </w:rPr>
            </w:pPr>
            <w:r>
              <w:rPr>
                <w:rFonts w:ascii="Arial" w:cs="Arial" w:eastAsia="Arial" w:hAnsi="Arial"/>
                <w:sz w:val="14"/>
                <w:szCs w:val="14"/>
                <w:color w:val="auto"/>
                <w:w w:val="94"/>
              </w:rPr>
              <w:t>N/A</w:t>
            </w:r>
          </w:p>
        </w:tc>
        <w:tc>
          <w:tcPr>
            <w:tcW w:w="1500" w:type="dxa"/>
            <w:vAlign w:val="bottom"/>
          </w:tcPr>
          <w:p>
            <w:pPr>
              <w:jc w:val="center"/>
              <w:ind w:left="52"/>
              <w:spacing w:after="0"/>
              <w:rPr>
                <w:sz w:val="20"/>
                <w:szCs w:val="20"/>
                <w:color w:val="auto"/>
              </w:rPr>
            </w:pPr>
            <w:r>
              <w:rPr>
                <w:rFonts w:ascii="Arial" w:cs="Arial" w:eastAsia="Arial" w:hAnsi="Arial"/>
                <w:sz w:val="14"/>
                <w:szCs w:val="14"/>
                <w:color w:val="auto"/>
                <w:w w:val="86"/>
              </w:rPr>
              <w:t>December 31, 2008</w:t>
            </w:r>
          </w:p>
        </w:tc>
        <w:tc>
          <w:tcPr>
            <w:tcW w:w="0" w:type="dxa"/>
            <w:vAlign w:val="bottom"/>
          </w:tcPr>
          <w:p>
            <w:pPr>
              <w:spacing w:after="0"/>
              <w:rPr>
                <w:sz w:val="1"/>
                <w:szCs w:val="1"/>
                <w:color w:val="auto"/>
              </w:rPr>
            </w:pPr>
          </w:p>
        </w:tc>
      </w:tr>
      <w:tr>
        <w:trPr>
          <w:trHeight w:val="365"/>
        </w:trPr>
        <w:tc>
          <w:tcPr>
            <w:tcW w:w="1680" w:type="dxa"/>
            <w:vAlign w:val="bottom"/>
          </w:tcPr>
          <w:p>
            <w:pPr>
              <w:jc w:val="center"/>
              <w:ind w:right="132"/>
              <w:spacing w:after="0"/>
              <w:rPr>
                <w:sz w:val="20"/>
                <w:szCs w:val="20"/>
                <w:color w:val="auto"/>
              </w:rPr>
            </w:pPr>
            <w:r>
              <w:rPr>
                <w:rFonts w:ascii="Arial" w:cs="Arial" w:eastAsia="Arial" w:hAnsi="Arial"/>
                <w:sz w:val="14"/>
                <w:szCs w:val="14"/>
                <w:color w:val="auto"/>
                <w:w w:val="89"/>
              </w:rPr>
              <w:t>105% of budget</w:t>
            </w:r>
          </w:p>
        </w:tc>
        <w:tc>
          <w:tcPr>
            <w:tcW w:w="1760" w:type="dxa"/>
            <w:vAlign w:val="bottom"/>
          </w:tcPr>
          <w:p>
            <w:pPr>
              <w:jc w:val="center"/>
              <w:ind w:left="32"/>
              <w:spacing w:after="0"/>
              <w:rPr>
                <w:sz w:val="20"/>
                <w:szCs w:val="20"/>
                <w:color w:val="auto"/>
              </w:rPr>
            </w:pPr>
            <w:r>
              <w:rPr>
                <w:rFonts w:ascii="Arial" w:cs="Arial" w:eastAsia="Arial" w:hAnsi="Arial"/>
                <w:sz w:val="14"/>
                <w:szCs w:val="14"/>
                <w:color w:val="auto"/>
                <w:w w:val="87"/>
              </w:rPr>
              <w:t>100% of budget</w:t>
            </w:r>
          </w:p>
        </w:tc>
        <w:tc>
          <w:tcPr>
            <w:tcW w:w="1500" w:type="dxa"/>
            <w:vAlign w:val="bottom"/>
          </w:tcPr>
          <w:p>
            <w:pPr>
              <w:jc w:val="center"/>
              <w:ind w:left="52"/>
              <w:spacing w:after="0"/>
              <w:rPr>
                <w:sz w:val="20"/>
                <w:szCs w:val="20"/>
                <w:color w:val="auto"/>
              </w:rPr>
            </w:pPr>
            <w:r>
              <w:rPr>
                <w:rFonts w:ascii="Arial" w:cs="Arial" w:eastAsia="Arial" w:hAnsi="Arial"/>
                <w:sz w:val="14"/>
                <w:szCs w:val="14"/>
                <w:color w:val="auto"/>
                <w:w w:val="86"/>
              </w:rPr>
              <w:t>95% of budget</w:t>
            </w:r>
          </w:p>
        </w:tc>
        <w:tc>
          <w:tcPr>
            <w:tcW w:w="0" w:type="dxa"/>
            <w:vAlign w:val="bottom"/>
          </w:tcPr>
          <w:p>
            <w:pPr>
              <w:spacing w:after="0"/>
              <w:rPr>
                <w:sz w:val="1"/>
                <w:szCs w:val="1"/>
                <w:color w:val="auto"/>
              </w:rPr>
            </w:pPr>
          </w:p>
        </w:tc>
      </w:tr>
      <w:tr>
        <w:trPr>
          <w:trHeight w:val="378"/>
        </w:trPr>
        <w:tc>
          <w:tcPr>
            <w:tcW w:w="1680" w:type="dxa"/>
            <w:vAlign w:val="bottom"/>
          </w:tcPr>
          <w:p>
            <w:pPr>
              <w:jc w:val="center"/>
              <w:ind w:right="132"/>
              <w:spacing w:after="0"/>
              <w:rPr>
                <w:sz w:val="20"/>
                <w:szCs w:val="20"/>
                <w:color w:val="auto"/>
              </w:rPr>
            </w:pPr>
            <w:r>
              <w:rPr>
                <w:rFonts w:ascii="Arial" w:cs="Arial" w:eastAsia="Arial" w:hAnsi="Arial"/>
                <w:sz w:val="14"/>
                <w:szCs w:val="14"/>
                <w:color w:val="auto"/>
                <w:w w:val="84"/>
              </w:rPr>
              <w:t>4.55 Sigma</w:t>
            </w:r>
          </w:p>
        </w:tc>
        <w:tc>
          <w:tcPr>
            <w:tcW w:w="1760" w:type="dxa"/>
            <w:vAlign w:val="bottom"/>
          </w:tcPr>
          <w:p>
            <w:pPr>
              <w:jc w:val="center"/>
              <w:ind w:left="32"/>
              <w:spacing w:after="0"/>
              <w:rPr>
                <w:sz w:val="20"/>
                <w:szCs w:val="20"/>
                <w:color w:val="auto"/>
              </w:rPr>
            </w:pPr>
            <w:r>
              <w:rPr>
                <w:rFonts w:ascii="Arial" w:cs="Arial" w:eastAsia="Arial" w:hAnsi="Arial"/>
                <w:sz w:val="14"/>
                <w:szCs w:val="14"/>
                <w:color w:val="auto"/>
                <w:w w:val="87"/>
              </w:rPr>
              <w:t>4.60 Sigma</w:t>
            </w:r>
          </w:p>
        </w:tc>
        <w:tc>
          <w:tcPr>
            <w:tcW w:w="1500" w:type="dxa"/>
            <w:vAlign w:val="bottom"/>
          </w:tcPr>
          <w:p>
            <w:pPr>
              <w:jc w:val="center"/>
              <w:ind w:left="52"/>
              <w:spacing w:after="0"/>
              <w:rPr>
                <w:sz w:val="20"/>
                <w:szCs w:val="20"/>
                <w:color w:val="auto"/>
              </w:rPr>
            </w:pPr>
            <w:r>
              <w:rPr>
                <w:rFonts w:ascii="Arial" w:cs="Arial" w:eastAsia="Arial" w:hAnsi="Arial"/>
                <w:sz w:val="14"/>
                <w:szCs w:val="14"/>
                <w:color w:val="auto"/>
                <w:w w:val="87"/>
              </w:rPr>
              <w:t>4.65 Sigma</w:t>
            </w:r>
          </w:p>
        </w:tc>
        <w:tc>
          <w:tcPr>
            <w:tcW w:w="0" w:type="dxa"/>
            <w:vAlign w:val="bottom"/>
          </w:tcPr>
          <w:p>
            <w:pPr>
              <w:spacing w:after="0"/>
              <w:rPr>
                <w:sz w:val="1"/>
                <w:szCs w:val="1"/>
                <w:color w:val="auto"/>
              </w:rPr>
            </w:pPr>
          </w:p>
        </w:tc>
      </w:tr>
      <w:tr>
        <w:trPr>
          <w:trHeight w:val="273"/>
        </w:trPr>
        <w:tc>
          <w:tcPr>
            <w:tcW w:w="16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500" w:type="dxa"/>
            <w:vAlign w:val="bottom"/>
          </w:tcPr>
          <w:p>
            <w:pPr>
              <w:jc w:val="center"/>
              <w:ind w:left="52"/>
              <w:spacing w:after="0"/>
              <w:rPr>
                <w:sz w:val="20"/>
                <w:szCs w:val="20"/>
                <w:color w:val="auto"/>
              </w:rPr>
            </w:pPr>
            <w:r>
              <w:rPr>
                <w:rFonts w:ascii="Arial" w:cs="Arial" w:eastAsia="Arial" w:hAnsi="Arial"/>
                <w:sz w:val="14"/>
                <w:szCs w:val="14"/>
                <w:color w:val="auto"/>
                <w:w w:val="87"/>
              </w:rPr>
              <w:t>Target plus complete all</w:t>
            </w:r>
          </w:p>
        </w:tc>
        <w:tc>
          <w:tcPr>
            <w:tcW w:w="0" w:type="dxa"/>
            <w:vAlign w:val="bottom"/>
          </w:tcPr>
          <w:p>
            <w:pPr>
              <w:spacing w:after="0"/>
              <w:rPr>
                <w:sz w:val="1"/>
                <w:szCs w:val="1"/>
                <w:color w:val="auto"/>
              </w:rPr>
            </w:pPr>
          </w:p>
        </w:tc>
      </w:tr>
      <w:tr>
        <w:trPr>
          <w:trHeight w:val="149"/>
        </w:trPr>
        <w:tc>
          <w:tcPr>
            <w:tcW w:w="1680" w:type="dxa"/>
            <w:vAlign w:val="bottom"/>
            <w:vMerge w:val="restart"/>
          </w:tcPr>
          <w:p>
            <w:pPr>
              <w:jc w:val="center"/>
              <w:ind w:right="132"/>
              <w:spacing w:after="0"/>
              <w:rPr>
                <w:sz w:val="20"/>
                <w:szCs w:val="20"/>
                <w:color w:val="auto"/>
              </w:rPr>
            </w:pPr>
            <w:r>
              <w:rPr>
                <w:rFonts w:ascii="Arial" w:cs="Arial" w:eastAsia="Arial" w:hAnsi="Arial"/>
                <w:sz w:val="14"/>
                <w:szCs w:val="14"/>
                <w:color w:val="auto"/>
                <w:w w:val="85"/>
              </w:rPr>
              <w:t>Engage an investment bank</w:t>
            </w:r>
          </w:p>
        </w:tc>
        <w:tc>
          <w:tcPr>
            <w:tcW w:w="176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9"/>
              </w:rPr>
              <w:t>Threshold plus completion</w:t>
            </w:r>
          </w:p>
        </w:tc>
        <w:tc>
          <w:tcPr>
            <w:tcW w:w="15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9"/>
              </w:rPr>
              <w:t>Ocwen Solutions Spin</w:t>
            </w:r>
          </w:p>
        </w:tc>
        <w:tc>
          <w:tcPr>
            <w:tcW w:w="0" w:type="dxa"/>
            <w:vAlign w:val="bottom"/>
          </w:tcPr>
          <w:p>
            <w:pPr>
              <w:spacing w:after="0"/>
              <w:rPr>
                <w:sz w:val="1"/>
                <w:szCs w:val="1"/>
                <w:color w:val="auto"/>
              </w:rPr>
            </w:pPr>
          </w:p>
        </w:tc>
      </w:tr>
      <w:tr>
        <w:trPr>
          <w:trHeight w:val="91"/>
        </w:trPr>
        <w:tc>
          <w:tcPr>
            <w:tcW w:w="1680" w:type="dxa"/>
            <w:vAlign w:val="bottom"/>
            <w:vMerge w:val="continue"/>
          </w:tcPr>
          <w:p>
            <w:pPr>
              <w:spacing w:after="0"/>
              <w:rPr>
                <w:sz w:val="7"/>
                <w:szCs w:val="7"/>
                <w:color w:val="auto"/>
              </w:rPr>
            </w:pPr>
          </w:p>
        </w:tc>
        <w:tc>
          <w:tcPr>
            <w:tcW w:w="1760" w:type="dxa"/>
            <w:vAlign w:val="bottom"/>
            <w:vMerge w:val="restart"/>
          </w:tcPr>
          <w:p>
            <w:pPr>
              <w:jc w:val="center"/>
              <w:ind w:left="32"/>
              <w:spacing w:after="0" w:line="149" w:lineRule="exact"/>
              <w:rPr>
                <w:sz w:val="20"/>
                <w:szCs w:val="20"/>
                <w:color w:val="auto"/>
              </w:rPr>
            </w:pPr>
            <w:r>
              <w:rPr>
                <w:rFonts w:ascii="Arial" w:cs="Arial" w:eastAsia="Arial" w:hAnsi="Arial"/>
                <w:sz w:val="14"/>
                <w:szCs w:val="14"/>
                <w:color w:val="auto"/>
                <w:w w:val="84"/>
              </w:rPr>
              <w:t>of necessary audits</w:t>
            </w:r>
          </w:p>
        </w:tc>
        <w:tc>
          <w:tcPr>
            <w:tcW w:w="150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auto"/>
                <w:w w:val="90"/>
              </w:rPr>
              <w:t>project work by March 1,</w:t>
            </w:r>
          </w:p>
        </w:tc>
        <w:tc>
          <w:tcPr>
            <w:tcW w:w="0" w:type="dxa"/>
            <w:vAlign w:val="bottom"/>
          </w:tcPr>
          <w:p>
            <w:pPr>
              <w:spacing w:after="0"/>
              <w:rPr>
                <w:sz w:val="1"/>
                <w:szCs w:val="1"/>
                <w:color w:val="auto"/>
              </w:rPr>
            </w:pPr>
          </w:p>
        </w:tc>
      </w:tr>
      <w:tr>
        <w:trPr>
          <w:trHeight w:val="57"/>
        </w:trPr>
        <w:tc>
          <w:tcPr>
            <w:tcW w:w="1680" w:type="dxa"/>
            <w:vAlign w:val="bottom"/>
          </w:tcPr>
          <w:p>
            <w:pPr>
              <w:spacing w:after="0"/>
              <w:rPr>
                <w:sz w:val="4"/>
                <w:szCs w:val="4"/>
                <w:color w:val="auto"/>
              </w:rPr>
            </w:pPr>
          </w:p>
        </w:tc>
        <w:tc>
          <w:tcPr>
            <w:tcW w:w="17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jc w:val="center"/>
              <w:ind w:left="52"/>
              <w:spacing w:after="0"/>
              <w:rPr>
                <w:sz w:val="20"/>
                <w:szCs w:val="20"/>
                <w:color w:val="auto"/>
              </w:rPr>
            </w:pPr>
            <w:r>
              <w:rPr>
                <w:rFonts w:ascii="Arial" w:cs="Arial" w:eastAsia="Arial" w:hAnsi="Arial"/>
                <w:sz w:val="14"/>
                <w:szCs w:val="14"/>
                <w:color w:val="auto"/>
                <w:w w:val="83"/>
              </w:rPr>
              <w:t>2009</w:t>
            </w:r>
          </w:p>
        </w:tc>
        <w:tc>
          <w:tcPr>
            <w:tcW w:w="0" w:type="dxa"/>
            <w:vAlign w:val="bottom"/>
          </w:tcPr>
          <w:p>
            <w:pPr>
              <w:spacing w:after="0"/>
              <w:rPr>
                <w:sz w:val="1"/>
                <w:szCs w:val="1"/>
                <w:color w:val="auto"/>
              </w:rPr>
            </w:pPr>
          </w:p>
        </w:tc>
      </w:tr>
      <w:tr>
        <w:trPr>
          <w:trHeight w:val="365"/>
        </w:trPr>
        <w:tc>
          <w:tcPr>
            <w:tcW w:w="1680" w:type="dxa"/>
            <w:vAlign w:val="bottom"/>
          </w:tcPr>
          <w:p>
            <w:pPr>
              <w:jc w:val="center"/>
              <w:ind w:right="132"/>
              <w:spacing w:after="0"/>
              <w:rPr>
                <w:sz w:val="20"/>
                <w:szCs w:val="20"/>
                <w:color w:val="auto"/>
              </w:rPr>
            </w:pPr>
            <w:r>
              <w:rPr>
                <w:rFonts w:ascii="Arial" w:cs="Arial" w:eastAsia="Arial" w:hAnsi="Arial"/>
                <w:sz w:val="14"/>
                <w:szCs w:val="14"/>
                <w:color w:val="auto"/>
                <w:w w:val="92"/>
              </w:rPr>
              <w:t>$24.72 million</w:t>
            </w:r>
          </w:p>
        </w:tc>
        <w:tc>
          <w:tcPr>
            <w:tcW w:w="1760" w:type="dxa"/>
            <w:vAlign w:val="bottom"/>
          </w:tcPr>
          <w:p>
            <w:pPr>
              <w:jc w:val="center"/>
              <w:ind w:left="32"/>
              <w:spacing w:after="0"/>
              <w:rPr>
                <w:sz w:val="20"/>
                <w:szCs w:val="20"/>
                <w:color w:val="auto"/>
              </w:rPr>
            </w:pPr>
            <w:r>
              <w:rPr>
                <w:rFonts w:ascii="Arial" w:cs="Arial" w:eastAsia="Arial" w:hAnsi="Arial"/>
                <w:sz w:val="14"/>
                <w:szCs w:val="14"/>
                <w:color w:val="auto"/>
                <w:w w:val="90"/>
              </w:rPr>
              <w:t>$30.90 million</w:t>
            </w:r>
          </w:p>
        </w:tc>
        <w:tc>
          <w:tcPr>
            <w:tcW w:w="1500" w:type="dxa"/>
            <w:vAlign w:val="bottom"/>
          </w:tcPr>
          <w:p>
            <w:pPr>
              <w:jc w:val="center"/>
              <w:ind w:left="52"/>
              <w:spacing w:after="0"/>
              <w:rPr>
                <w:sz w:val="20"/>
                <w:szCs w:val="20"/>
                <w:color w:val="auto"/>
              </w:rPr>
            </w:pPr>
            <w:r>
              <w:rPr>
                <w:rFonts w:ascii="Arial" w:cs="Arial" w:eastAsia="Arial" w:hAnsi="Arial"/>
                <w:sz w:val="14"/>
                <w:szCs w:val="14"/>
                <w:color w:val="auto"/>
                <w:w w:val="90"/>
              </w:rPr>
              <w:t>$37.08 million</w:t>
            </w:r>
          </w:p>
        </w:tc>
        <w:tc>
          <w:tcPr>
            <w:tcW w:w="0" w:type="dxa"/>
            <w:vAlign w:val="bottom"/>
          </w:tcPr>
          <w:p>
            <w:pPr>
              <w:spacing w:after="0"/>
              <w:rPr>
                <w:sz w:val="1"/>
                <w:szCs w:val="1"/>
                <w:color w:val="auto"/>
              </w:rPr>
            </w:pPr>
          </w:p>
        </w:tc>
      </w:tr>
      <w:tr>
        <w:trPr>
          <w:trHeight w:val="651"/>
        </w:trPr>
        <w:tc>
          <w:tcPr>
            <w:tcW w:w="1680" w:type="dxa"/>
            <w:vAlign w:val="bottom"/>
          </w:tcPr>
          <w:p>
            <w:pPr>
              <w:jc w:val="center"/>
              <w:ind w:right="132"/>
              <w:spacing w:after="0"/>
              <w:rPr>
                <w:sz w:val="20"/>
                <w:szCs w:val="20"/>
                <w:color w:val="auto"/>
              </w:rPr>
            </w:pPr>
            <w:r>
              <w:rPr>
                <w:rFonts w:ascii="Arial" w:cs="Arial" w:eastAsia="Arial" w:hAnsi="Arial"/>
                <w:sz w:val="14"/>
                <w:szCs w:val="14"/>
                <w:color w:val="auto"/>
                <w:w w:val="88"/>
              </w:rPr>
              <w:t>At the discretion of the</w:t>
            </w:r>
          </w:p>
        </w:tc>
        <w:tc>
          <w:tcPr>
            <w:tcW w:w="1760" w:type="dxa"/>
            <w:vAlign w:val="bottom"/>
          </w:tcPr>
          <w:p>
            <w:pPr>
              <w:jc w:val="center"/>
              <w:ind w:left="32"/>
              <w:spacing w:after="0"/>
              <w:rPr>
                <w:sz w:val="20"/>
                <w:szCs w:val="20"/>
                <w:color w:val="auto"/>
              </w:rPr>
            </w:pPr>
            <w:r>
              <w:rPr>
                <w:rFonts w:ascii="Arial" w:cs="Arial" w:eastAsia="Arial" w:hAnsi="Arial"/>
                <w:sz w:val="14"/>
                <w:szCs w:val="14"/>
                <w:color w:val="auto"/>
                <w:w w:val="90"/>
              </w:rPr>
              <w:t>At the discretion of the</w:t>
            </w:r>
          </w:p>
        </w:tc>
        <w:tc>
          <w:tcPr>
            <w:tcW w:w="1500" w:type="dxa"/>
            <w:vAlign w:val="bottom"/>
          </w:tcPr>
          <w:p>
            <w:pPr>
              <w:jc w:val="center"/>
              <w:ind w:left="52"/>
              <w:spacing w:after="0"/>
              <w:rPr>
                <w:sz w:val="20"/>
                <w:szCs w:val="20"/>
                <w:color w:val="auto"/>
              </w:rPr>
            </w:pPr>
            <w:r>
              <w:rPr>
                <w:rFonts w:ascii="Arial" w:cs="Arial" w:eastAsia="Arial" w:hAnsi="Arial"/>
                <w:sz w:val="14"/>
                <w:szCs w:val="14"/>
                <w:color w:val="auto"/>
                <w:w w:val="90"/>
              </w:rPr>
              <w:t>At the discretion of the</w:t>
            </w:r>
          </w:p>
        </w:tc>
        <w:tc>
          <w:tcPr>
            <w:tcW w:w="0" w:type="dxa"/>
            <w:vAlign w:val="bottom"/>
          </w:tcPr>
          <w:p>
            <w:pPr>
              <w:spacing w:after="0"/>
              <w:rPr>
                <w:sz w:val="1"/>
                <w:szCs w:val="1"/>
                <w:color w:val="auto"/>
              </w:rPr>
            </w:pPr>
          </w:p>
        </w:tc>
      </w:tr>
      <w:tr>
        <w:trPr>
          <w:trHeight w:val="172"/>
        </w:trPr>
        <w:tc>
          <w:tcPr>
            <w:tcW w:w="1680" w:type="dxa"/>
            <w:vAlign w:val="bottom"/>
          </w:tcPr>
          <w:p>
            <w:pPr>
              <w:jc w:val="center"/>
              <w:ind w:right="132"/>
              <w:spacing w:after="0"/>
              <w:rPr>
                <w:sz w:val="20"/>
                <w:szCs w:val="20"/>
                <w:color w:val="auto"/>
              </w:rPr>
            </w:pPr>
            <w:r>
              <w:rPr>
                <w:rFonts w:ascii="Arial" w:cs="Arial" w:eastAsia="Arial" w:hAnsi="Arial"/>
                <w:sz w:val="14"/>
                <w:szCs w:val="14"/>
                <w:color w:val="auto"/>
                <w:w w:val="85"/>
              </w:rPr>
              <w:t>Chairman</w:t>
            </w:r>
          </w:p>
        </w:tc>
        <w:tc>
          <w:tcPr>
            <w:tcW w:w="1760" w:type="dxa"/>
            <w:vAlign w:val="bottom"/>
          </w:tcPr>
          <w:p>
            <w:pPr>
              <w:jc w:val="center"/>
              <w:ind w:left="32"/>
              <w:spacing w:after="0"/>
              <w:rPr>
                <w:sz w:val="20"/>
                <w:szCs w:val="20"/>
                <w:color w:val="auto"/>
              </w:rPr>
            </w:pPr>
            <w:r>
              <w:rPr>
                <w:rFonts w:ascii="Arial" w:cs="Arial" w:eastAsia="Arial" w:hAnsi="Arial"/>
                <w:sz w:val="14"/>
                <w:szCs w:val="14"/>
                <w:color w:val="auto"/>
                <w:w w:val="88"/>
              </w:rPr>
              <w:t>Chairman</w:t>
            </w:r>
          </w:p>
        </w:tc>
        <w:tc>
          <w:tcPr>
            <w:tcW w:w="1500" w:type="dxa"/>
            <w:vAlign w:val="bottom"/>
          </w:tcPr>
          <w:p>
            <w:pPr>
              <w:jc w:val="center"/>
              <w:ind w:left="52"/>
              <w:spacing w:after="0"/>
              <w:rPr>
                <w:sz w:val="20"/>
                <w:szCs w:val="20"/>
                <w:color w:val="auto"/>
              </w:rPr>
            </w:pPr>
            <w:r>
              <w:rPr>
                <w:rFonts w:ascii="Arial" w:cs="Arial" w:eastAsia="Arial" w:hAnsi="Arial"/>
                <w:sz w:val="14"/>
                <w:szCs w:val="14"/>
                <w:color w:val="auto"/>
                <w:w w:val="88"/>
              </w:rPr>
              <w:t>Chairman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-2459990</wp:posOffset>
            </wp:positionV>
            <wp:extent cx="72466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-1800225</wp:posOffset>
            </wp:positionV>
            <wp:extent cx="724662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-1328420</wp:posOffset>
            </wp:positionV>
            <wp:extent cx="724662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-668020</wp:posOffset>
            </wp:positionV>
            <wp:extent cx="72466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Outstanding</w:t>
      </w: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color w:val="auto"/>
        </w:rPr>
        <w:t>Below Threshold</w:t>
      </w:r>
    </w:p>
    <w:p>
      <w:pPr>
        <w:spacing w:after="0" w:line="3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Target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Outstanding</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Outstanding</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Outstanding</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Outstanding</w:t>
      </w:r>
    </w:p>
    <w:p>
      <w:pPr>
        <w:spacing w:after="0" w:line="200" w:lineRule="exact"/>
        <w:rPr>
          <w:sz w:val="20"/>
          <w:szCs w:val="20"/>
          <w:color w:val="auto"/>
        </w:rPr>
      </w:pPr>
    </w:p>
    <w:p>
      <w:pPr>
        <w:spacing w:after="0" w:line="23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Target</w:t>
      </w: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Outstanding</w:t>
      </w:r>
    </w:p>
    <w:p>
      <w:pPr>
        <w:spacing w:after="0" w:line="501" w:lineRule="exact"/>
        <w:rPr>
          <w:sz w:val="20"/>
          <w:szCs w:val="20"/>
          <w:color w:val="auto"/>
        </w:rPr>
      </w:pPr>
    </w:p>
    <w:p>
      <w:pPr>
        <w:sectPr>
          <w:pgSz w:w="11900" w:h="16838" w:orient="portrait"/>
          <w:cols w:equalWidth="0" w:num="5">
            <w:col w:w="1060" w:space="720"/>
            <w:col w:w="360" w:space="280"/>
            <w:col w:w="2300" w:space="240"/>
            <w:col w:w="4940" w:space="380"/>
            <w:col w:w="1140"/>
          </w:cols>
          <w:pgMar w:left="240" w:top="140" w:right="239" w:bottom="1440" w:gutter="0" w:footer="0" w:header="0"/>
          <w:type w:val="continuous"/>
        </w:sectPr>
      </w:pPr>
    </w:p>
    <w:p>
      <w:pPr>
        <w:spacing w:after="0" w:line="80" w:lineRule="exact"/>
        <w:rPr>
          <w:sz w:val="20"/>
          <w:szCs w:val="20"/>
          <w:color w:val="auto"/>
        </w:rPr>
      </w:pPr>
    </w:p>
    <w:p>
      <w:pPr>
        <w:ind w:left="1840"/>
        <w:spacing w:after="0"/>
        <w:rPr>
          <w:sz w:val="20"/>
          <w:szCs w:val="20"/>
          <w:color w:val="auto"/>
        </w:rPr>
      </w:pPr>
      <w:r>
        <w:rPr>
          <w:rFonts w:ascii="Arial" w:cs="Arial" w:eastAsia="Arial" w:hAnsi="Arial"/>
          <w:sz w:val="11"/>
          <w:szCs w:val="11"/>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40"/>
        <w:spacing w:after="0"/>
        <w:rPr>
          <w:sz w:val="20"/>
          <w:szCs w:val="20"/>
          <w:color w:val="auto"/>
        </w:rPr>
      </w:pPr>
      <w:r>
        <w:rPr>
          <w:rFonts w:ascii="Arial" w:cs="Arial" w:eastAsia="Arial" w:hAnsi="Arial"/>
          <w:sz w:val="11"/>
          <w:szCs w:val="11"/>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40"/>
        <w:spacing w:after="0"/>
        <w:rPr>
          <w:sz w:val="20"/>
          <w:szCs w:val="20"/>
          <w:color w:val="auto"/>
        </w:rPr>
      </w:pPr>
      <w:r>
        <w:rPr>
          <w:rFonts w:ascii="Arial" w:cs="Arial" w:eastAsia="Arial" w:hAnsi="Arial"/>
          <w:sz w:val="11"/>
          <w:szCs w:val="11"/>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40"/>
        <w:spacing w:after="0"/>
        <w:rPr>
          <w:sz w:val="20"/>
          <w:szCs w:val="20"/>
          <w:color w:val="auto"/>
        </w:rPr>
      </w:pPr>
      <w:r>
        <w:rPr>
          <w:rFonts w:ascii="Arial" w:cs="Arial" w:eastAsia="Arial" w:hAnsi="Arial"/>
          <w:sz w:val="11"/>
          <w:szCs w:val="11"/>
          <w:color w:val="auto"/>
        </w:rPr>
        <w:t>15%</w:t>
      </w:r>
    </w:p>
    <w:p>
      <w:pPr>
        <w:spacing w:after="0" w:line="200" w:lineRule="exact"/>
        <w:rPr>
          <w:sz w:val="20"/>
          <w:szCs w:val="20"/>
          <w:color w:val="auto"/>
        </w:rPr>
      </w:pPr>
    </w:p>
    <w:p>
      <w:pPr>
        <w:spacing w:after="0" w:line="349" w:lineRule="exact"/>
        <w:rPr>
          <w:sz w:val="20"/>
          <w:szCs w:val="20"/>
          <w:color w:val="auto"/>
        </w:rPr>
      </w:pPr>
    </w:p>
    <w:p>
      <w:pPr>
        <w:ind w:left="1840"/>
        <w:spacing w:after="0"/>
        <w:rPr>
          <w:sz w:val="20"/>
          <w:szCs w:val="20"/>
          <w:color w:val="auto"/>
        </w:rPr>
      </w:pPr>
      <w:r>
        <w:rPr>
          <w:rFonts w:ascii="Arial" w:cs="Arial" w:eastAsia="Arial" w:hAnsi="Arial"/>
          <w:sz w:val="11"/>
          <w:szCs w:val="11"/>
          <w:color w:val="auto"/>
        </w:rPr>
        <w:t>15%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jc w:val="center"/>
              <w:ind w:right="12"/>
              <w:spacing w:after="0"/>
              <w:rPr>
                <w:sz w:val="20"/>
                <w:szCs w:val="20"/>
                <w:color w:val="auto"/>
              </w:rPr>
            </w:pPr>
            <w:r>
              <w:rPr>
                <w:rFonts w:ascii="Arial" w:cs="Arial" w:eastAsia="Arial" w:hAnsi="Arial"/>
                <w:sz w:val="14"/>
                <w:szCs w:val="14"/>
                <w:color w:val="auto"/>
                <w:w w:val="88"/>
              </w:rPr>
              <w:t>Grow Ocwen Solutions’ revenue</w:t>
            </w:r>
          </w:p>
        </w:tc>
        <w:tc>
          <w:tcPr>
            <w:tcW w:w="1880" w:type="dxa"/>
            <w:vAlign w:val="bottom"/>
            <w:vMerge w:val="restart"/>
          </w:tcPr>
          <w:p>
            <w:pPr>
              <w:jc w:val="center"/>
              <w:ind w:right="12"/>
              <w:spacing w:after="0"/>
              <w:rPr>
                <w:sz w:val="20"/>
                <w:szCs w:val="20"/>
                <w:color w:val="auto"/>
              </w:rPr>
            </w:pPr>
            <w:r>
              <w:rPr>
                <w:rFonts w:ascii="Arial" w:cs="Arial" w:eastAsia="Arial" w:hAnsi="Arial"/>
                <w:sz w:val="14"/>
                <w:szCs w:val="14"/>
                <w:color w:val="auto"/>
                <w:w w:val="93"/>
              </w:rPr>
              <w:t>$139.76 million</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1"/>
              </w:rPr>
              <w:t>$174.70 million</w:t>
            </w:r>
          </w:p>
        </w:tc>
        <w:tc>
          <w:tcPr>
            <w:tcW w:w="1500" w:type="dxa"/>
            <w:vAlign w:val="bottom"/>
            <w:vMerge w:val="restart"/>
          </w:tcPr>
          <w:p>
            <w:pPr>
              <w:jc w:val="center"/>
              <w:ind w:left="52"/>
              <w:spacing w:after="0"/>
              <w:rPr>
                <w:sz w:val="20"/>
                <w:szCs w:val="20"/>
                <w:color w:val="auto"/>
              </w:rPr>
            </w:pPr>
            <w:r>
              <w:rPr>
                <w:rFonts w:ascii="Arial" w:cs="Arial" w:eastAsia="Arial" w:hAnsi="Arial"/>
                <w:sz w:val="14"/>
                <w:szCs w:val="14"/>
                <w:color w:val="auto"/>
                <w:w w:val="91"/>
              </w:rPr>
              <w:t>$209.64 million</w:t>
            </w:r>
          </w:p>
        </w:tc>
        <w:tc>
          <w:tcPr>
            <w:tcW w:w="0" w:type="dxa"/>
            <w:vAlign w:val="bottom"/>
          </w:tcPr>
          <w:p>
            <w:pPr>
              <w:spacing w:after="0"/>
              <w:rPr>
                <w:sz w:val="1"/>
                <w:szCs w:val="1"/>
                <w:color w:val="auto"/>
              </w:rPr>
            </w:pPr>
          </w:p>
        </w:tc>
      </w:tr>
      <w:tr>
        <w:trPr>
          <w:trHeight w:val="91"/>
        </w:trPr>
        <w:tc>
          <w:tcPr>
            <w:tcW w:w="2380" w:type="dxa"/>
            <w:vAlign w:val="bottom"/>
            <w:vMerge w:val="restart"/>
          </w:tcPr>
          <w:p>
            <w:pPr>
              <w:jc w:val="center"/>
              <w:spacing w:after="0"/>
              <w:rPr>
                <w:sz w:val="20"/>
                <w:szCs w:val="20"/>
                <w:color w:val="auto"/>
              </w:rPr>
            </w:pPr>
            <w:r>
              <w:rPr>
                <w:rFonts w:ascii="Arial" w:cs="Arial" w:eastAsia="Arial" w:hAnsi="Arial"/>
                <w:sz w:val="14"/>
                <w:szCs w:val="14"/>
                <w:color w:val="auto"/>
                <w:w w:val="89"/>
              </w:rPr>
              <w:t>(excluding BMS and IT internal revenue)</w:t>
            </w:r>
          </w:p>
        </w:tc>
        <w:tc>
          <w:tcPr>
            <w:tcW w:w="188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8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2380" w:type="dxa"/>
            <w:vAlign w:val="bottom"/>
          </w:tcPr>
          <w:p>
            <w:pPr>
              <w:jc w:val="center"/>
              <w:ind w:right="12"/>
              <w:spacing w:after="0"/>
              <w:rPr>
                <w:sz w:val="20"/>
                <w:szCs w:val="20"/>
                <w:color w:val="auto"/>
              </w:rPr>
            </w:pPr>
            <w:r>
              <w:rPr>
                <w:rFonts w:ascii="Arial" w:cs="Arial" w:eastAsia="Arial" w:hAnsi="Arial"/>
                <w:sz w:val="14"/>
                <w:szCs w:val="14"/>
                <w:color w:val="auto"/>
                <w:w w:val="86"/>
              </w:rPr>
              <w:t>Work through Charlesbank to extend</w:t>
            </w:r>
          </w:p>
        </w:tc>
        <w:tc>
          <w:tcPr>
            <w:tcW w:w="18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38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9"/>
              </w:rPr>
              <w:t>JPMC investment line from March 31</w:t>
            </w:r>
          </w:p>
        </w:tc>
        <w:tc>
          <w:tcPr>
            <w:tcW w:w="18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9"/>
              </w:rPr>
              <w:t>maturity date (or convert all or part of the</w:t>
            </w:r>
          </w:p>
        </w:tc>
        <w:tc>
          <w:tcPr>
            <w:tcW w:w="188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Term: 6 months; Rate LIBOR-</w:t>
            </w:r>
          </w:p>
        </w:tc>
        <w:tc>
          <w:tcPr>
            <w:tcW w:w="1720" w:type="dxa"/>
            <w:vAlign w:val="bottom"/>
          </w:tcPr>
          <w:p>
            <w:pPr>
              <w:jc w:val="center"/>
              <w:ind w:left="12"/>
              <w:spacing w:after="0" w:line="149" w:lineRule="exact"/>
              <w:rPr>
                <w:sz w:val="20"/>
                <w:szCs w:val="20"/>
                <w:color w:val="auto"/>
              </w:rPr>
            </w:pPr>
            <w:r>
              <w:rPr>
                <w:rFonts w:ascii="Arial" w:cs="Arial" w:eastAsia="Arial" w:hAnsi="Arial"/>
                <w:sz w:val="14"/>
                <w:szCs w:val="14"/>
                <w:color w:val="auto"/>
                <w:w w:val="86"/>
              </w:rPr>
              <w:t>Term: 12 months; Rate</w:t>
            </w:r>
          </w:p>
        </w:tc>
        <w:tc>
          <w:tcPr>
            <w:tcW w:w="15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6"/>
              </w:rPr>
              <w:t>Term: 18 months; Rate</w:t>
            </w:r>
          </w:p>
        </w:tc>
        <w:tc>
          <w:tcPr>
            <w:tcW w:w="0" w:type="dxa"/>
            <w:vAlign w:val="bottom"/>
          </w:tcPr>
          <w:p>
            <w:pPr>
              <w:spacing w:after="0"/>
              <w:rPr>
                <w:sz w:val="1"/>
                <w:szCs w:val="1"/>
                <w:color w:val="auto"/>
              </w:rPr>
            </w:pPr>
          </w:p>
        </w:tc>
      </w:tr>
      <w:tr>
        <w:trPr>
          <w:trHeight w:val="149"/>
        </w:trPr>
        <w:tc>
          <w:tcPr>
            <w:tcW w:w="238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investment line to a referral fee) for an</w:t>
            </w:r>
          </w:p>
        </w:tc>
        <w:tc>
          <w:tcPr>
            <w:tcW w:w="188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76"/>
              </w:rPr>
              <w:t>30</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3"/>
              </w:rPr>
              <w:t>LIBOR-15</w:t>
            </w:r>
          </w:p>
        </w:tc>
        <w:tc>
          <w:tcPr>
            <w:tcW w:w="15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99"/>
              </w:rPr>
              <w:t>LIBOR</w:t>
            </w:r>
          </w:p>
        </w:tc>
        <w:tc>
          <w:tcPr>
            <w:tcW w:w="0" w:type="dxa"/>
            <w:vAlign w:val="bottom"/>
          </w:tcPr>
          <w:p>
            <w:pPr>
              <w:spacing w:after="0"/>
              <w:rPr>
                <w:sz w:val="1"/>
                <w:szCs w:val="1"/>
                <w:color w:val="auto"/>
              </w:rPr>
            </w:pP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color w:val="auto"/>
                <w:w w:val="85"/>
              </w:rPr>
              <w:t>acceptable term and interest rate as a % of</w:t>
            </w:r>
          </w:p>
        </w:tc>
        <w:tc>
          <w:tcPr>
            <w:tcW w:w="18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380" w:type="dxa"/>
            <w:vAlign w:val="bottom"/>
          </w:tcPr>
          <w:p>
            <w:pPr>
              <w:jc w:val="center"/>
              <w:ind w:right="12"/>
              <w:spacing w:after="0"/>
              <w:rPr>
                <w:sz w:val="20"/>
                <w:szCs w:val="20"/>
                <w:color w:val="auto"/>
              </w:rPr>
            </w:pPr>
            <w:r>
              <w:rPr>
                <w:rFonts w:ascii="Arial" w:cs="Arial" w:eastAsia="Arial" w:hAnsi="Arial"/>
                <w:sz w:val="14"/>
                <w:szCs w:val="14"/>
                <w:color w:val="auto"/>
                <w:w w:val="90"/>
              </w:rPr>
              <w:t>LIBOR (or referral fee)</w:t>
            </w:r>
          </w:p>
        </w:tc>
        <w:tc>
          <w:tcPr>
            <w:tcW w:w="1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380" w:type="dxa"/>
            <w:vAlign w:val="bottom"/>
          </w:tcPr>
          <w:p>
            <w:pPr>
              <w:jc w:val="center"/>
              <w:ind w:right="12"/>
              <w:spacing w:after="0"/>
              <w:rPr>
                <w:sz w:val="20"/>
                <w:szCs w:val="20"/>
                <w:color w:val="auto"/>
              </w:rPr>
            </w:pPr>
            <w:r>
              <w:rPr>
                <w:rFonts w:ascii="Arial" w:cs="Arial" w:eastAsia="Arial" w:hAnsi="Arial"/>
                <w:sz w:val="14"/>
                <w:szCs w:val="14"/>
                <w:color w:val="auto"/>
                <w:w w:val="88"/>
              </w:rPr>
              <w:t>Develop or generate revenue of $8 million</w:t>
            </w:r>
          </w:p>
        </w:tc>
        <w:tc>
          <w:tcPr>
            <w:tcW w:w="18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38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6"/>
              </w:rPr>
              <w:t>from one or more new business lines,</w:t>
            </w:r>
          </w:p>
        </w:tc>
        <w:tc>
          <w:tcPr>
            <w:tcW w:w="18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color w:val="auto"/>
                <w:w w:val="90"/>
              </w:rPr>
              <w:t>including title, insurance, FHA, default</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3"/>
              </w:rPr>
              <w:t>$6.4 million</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3"/>
              </w:rPr>
              <w:t>$8.0 million</w:t>
            </w:r>
          </w:p>
        </w:tc>
        <w:tc>
          <w:tcPr>
            <w:tcW w:w="15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93"/>
              </w:rPr>
              <w:t>$9.6 million</w:t>
            </w:r>
          </w:p>
        </w:tc>
        <w:tc>
          <w:tcPr>
            <w:tcW w:w="0" w:type="dxa"/>
            <w:vAlign w:val="bottom"/>
          </w:tcPr>
          <w:p>
            <w:pPr>
              <w:spacing w:after="0"/>
              <w:rPr>
                <w:sz w:val="1"/>
                <w:szCs w:val="1"/>
                <w:color w:val="auto"/>
              </w:rPr>
            </w:pPr>
          </w:p>
        </w:tc>
      </w:tr>
      <w:tr>
        <w:trPr>
          <w:trHeight w:val="149"/>
        </w:trPr>
        <w:tc>
          <w:tcPr>
            <w:tcW w:w="238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5"/>
              </w:rPr>
              <w:t>management or any other business line</w:t>
            </w:r>
          </w:p>
        </w:tc>
        <w:tc>
          <w:tcPr>
            <w:tcW w:w="18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380" w:type="dxa"/>
            <w:vAlign w:val="bottom"/>
          </w:tcPr>
          <w:p>
            <w:pPr>
              <w:jc w:val="center"/>
              <w:ind w:right="12"/>
              <w:spacing w:after="0"/>
              <w:rPr>
                <w:sz w:val="20"/>
                <w:szCs w:val="20"/>
                <w:color w:val="auto"/>
              </w:rPr>
            </w:pPr>
            <w:r>
              <w:rPr>
                <w:rFonts w:ascii="Arial" w:cs="Arial" w:eastAsia="Arial" w:hAnsi="Arial"/>
                <w:sz w:val="14"/>
                <w:szCs w:val="14"/>
                <w:color w:val="auto"/>
                <w:w w:val="85"/>
              </w:rPr>
              <w:t>requested by senior management</w:t>
            </w:r>
          </w:p>
        </w:tc>
        <w:tc>
          <w:tcPr>
            <w:tcW w:w="1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500" w:type="dxa"/>
            <w:vAlign w:val="bottom"/>
          </w:tcPr>
          <w:p>
            <w:pPr>
              <w:jc w:val="center"/>
              <w:ind w:left="52"/>
              <w:spacing w:after="0"/>
              <w:rPr>
                <w:sz w:val="20"/>
                <w:szCs w:val="20"/>
                <w:color w:val="auto"/>
              </w:rPr>
            </w:pPr>
            <w:r>
              <w:rPr>
                <w:rFonts w:ascii="Arial" w:cs="Arial" w:eastAsia="Arial" w:hAnsi="Arial"/>
                <w:sz w:val="14"/>
                <w:szCs w:val="14"/>
                <w:color w:val="auto"/>
                <w:w w:val="87"/>
              </w:rPr>
              <w:t>Target plus complete all</w:t>
            </w:r>
          </w:p>
        </w:tc>
        <w:tc>
          <w:tcPr>
            <w:tcW w:w="0" w:type="dxa"/>
            <w:vAlign w:val="bottom"/>
          </w:tcPr>
          <w:p>
            <w:pPr>
              <w:spacing w:after="0"/>
              <w:rPr>
                <w:sz w:val="1"/>
                <w:szCs w:val="1"/>
                <w:color w:val="auto"/>
              </w:rPr>
            </w:pPr>
          </w:p>
        </w:tc>
      </w:tr>
      <w:tr>
        <w:trPr>
          <w:trHeight w:val="149"/>
        </w:trPr>
        <w:tc>
          <w:tcPr>
            <w:tcW w:w="2380" w:type="dxa"/>
            <w:vAlign w:val="bottom"/>
            <w:vMerge w:val="restart"/>
          </w:tcPr>
          <w:p>
            <w:pPr>
              <w:jc w:val="center"/>
              <w:ind w:right="12"/>
              <w:spacing w:after="0"/>
              <w:rPr>
                <w:sz w:val="20"/>
                <w:szCs w:val="20"/>
                <w:color w:val="auto"/>
              </w:rPr>
            </w:pPr>
            <w:r>
              <w:rPr>
                <w:rFonts w:ascii="Arial" w:cs="Arial" w:eastAsia="Arial" w:hAnsi="Arial"/>
                <w:sz w:val="14"/>
                <w:szCs w:val="14"/>
                <w:color w:val="auto"/>
                <w:w w:val="88"/>
              </w:rPr>
              <w:t>Position Ocwen Solutions for a spin-off</w:t>
            </w:r>
          </w:p>
        </w:tc>
        <w:tc>
          <w:tcPr>
            <w:tcW w:w="1880" w:type="dxa"/>
            <w:vAlign w:val="bottom"/>
            <w:vMerge w:val="restart"/>
          </w:tcPr>
          <w:p>
            <w:pPr>
              <w:jc w:val="center"/>
              <w:ind w:right="12"/>
              <w:spacing w:after="0"/>
              <w:rPr>
                <w:sz w:val="20"/>
                <w:szCs w:val="20"/>
                <w:color w:val="auto"/>
              </w:rPr>
            </w:pPr>
            <w:r>
              <w:rPr>
                <w:rFonts w:ascii="Arial" w:cs="Arial" w:eastAsia="Arial" w:hAnsi="Arial"/>
                <w:sz w:val="14"/>
                <w:szCs w:val="14"/>
                <w:color w:val="auto"/>
                <w:w w:val="85"/>
              </w:rPr>
              <w:t>Engage an investment bank</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9"/>
              </w:rPr>
              <w:t>Threshold plus completion</w:t>
            </w:r>
          </w:p>
        </w:tc>
        <w:tc>
          <w:tcPr>
            <w:tcW w:w="15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9"/>
              </w:rPr>
              <w:t>Ocwen Solutions Spin</w:t>
            </w:r>
          </w:p>
        </w:tc>
        <w:tc>
          <w:tcPr>
            <w:tcW w:w="0" w:type="dxa"/>
            <w:vAlign w:val="bottom"/>
          </w:tcPr>
          <w:p>
            <w:pPr>
              <w:spacing w:after="0"/>
              <w:rPr>
                <w:sz w:val="1"/>
                <w:szCs w:val="1"/>
                <w:color w:val="auto"/>
              </w:rPr>
            </w:pPr>
          </w:p>
        </w:tc>
      </w:tr>
      <w:tr>
        <w:trPr>
          <w:trHeight w:val="91"/>
        </w:trPr>
        <w:tc>
          <w:tcPr>
            <w:tcW w:w="238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17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4"/>
              </w:rPr>
              <w:t>of necessary audits</w:t>
            </w:r>
          </w:p>
        </w:tc>
        <w:tc>
          <w:tcPr>
            <w:tcW w:w="150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auto"/>
                <w:w w:val="90"/>
              </w:rPr>
              <w:t>project work by March 1,</w:t>
            </w:r>
          </w:p>
        </w:tc>
        <w:tc>
          <w:tcPr>
            <w:tcW w:w="0" w:type="dxa"/>
            <w:vAlign w:val="bottom"/>
          </w:tcPr>
          <w:p>
            <w:pPr>
              <w:spacing w:after="0"/>
              <w:rPr>
                <w:sz w:val="1"/>
                <w:szCs w:val="1"/>
                <w:color w:val="auto"/>
              </w:rPr>
            </w:pPr>
          </w:p>
        </w:tc>
      </w:tr>
      <w:tr>
        <w:trPr>
          <w:trHeight w:val="57"/>
        </w:trPr>
        <w:tc>
          <w:tcPr>
            <w:tcW w:w="23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jc w:val="center"/>
              <w:ind w:left="52"/>
              <w:spacing w:after="0"/>
              <w:rPr>
                <w:sz w:val="20"/>
                <w:szCs w:val="20"/>
                <w:color w:val="auto"/>
              </w:rPr>
            </w:pPr>
            <w:r>
              <w:rPr>
                <w:rFonts w:ascii="Arial" w:cs="Arial" w:eastAsia="Arial" w:hAnsi="Arial"/>
                <w:sz w:val="14"/>
                <w:szCs w:val="14"/>
                <w:color w:val="auto"/>
                <w:w w:val="83"/>
              </w:rPr>
              <w:t>2009</w:t>
            </w:r>
          </w:p>
        </w:tc>
        <w:tc>
          <w:tcPr>
            <w:tcW w:w="0" w:type="dxa"/>
            <w:vAlign w:val="bottom"/>
          </w:tcPr>
          <w:p>
            <w:pPr>
              <w:spacing w:after="0"/>
              <w:rPr>
                <w:sz w:val="1"/>
                <w:szCs w:val="1"/>
                <w:color w:val="auto"/>
              </w:rPr>
            </w:pPr>
          </w:p>
        </w:tc>
      </w:tr>
      <w:tr>
        <w:trPr>
          <w:trHeight w:val="273"/>
        </w:trPr>
        <w:tc>
          <w:tcPr>
            <w:tcW w:w="2380" w:type="dxa"/>
            <w:vAlign w:val="bottom"/>
          </w:tcPr>
          <w:p>
            <w:pPr>
              <w:jc w:val="center"/>
              <w:spacing w:after="0"/>
              <w:rPr>
                <w:sz w:val="20"/>
                <w:szCs w:val="20"/>
                <w:color w:val="auto"/>
              </w:rPr>
            </w:pPr>
            <w:r>
              <w:rPr>
                <w:rFonts w:ascii="Arial" w:cs="Arial" w:eastAsia="Arial" w:hAnsi="Arial"/>
                <w:sz w:val="14"/>
                <w:szCs w:val="14"/>
                <w:color w:val="auto"/>
                <w:w w:val="88"/>
              </w:rPr>
              <w:t>Fully implement at NCI the aspect dialer,</w:t>
            </w:r>
          </w:p>
        </w:tc>
        <w:tc>
          <w:tcPr>
            <w:tcW w:w="18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38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call recording and integrated scripting</w:t>
            </w:r>
          </w:p>
        </w:tc>
        <w:tc>
          <w:tcPr>
            <w:tcW w:w="1880" w:type="dxa"/>
            <w:vAlign w:val="bottom"/>
          </w:tcPr>
          <w:p>
            <w:pPr>
              <w:jc w:val="center"/>
              <w:ind w:right="12"/>
              <w:spacing w:after="0" w:line="149" w:lineRule="exact"/>
              <w:rPr>
                <w:sz w:val="20"/>
                <w:szCs w:val="20"/>
                <w:color w:val="auto"/>
              </w:rPr>
            </w:pPr>
            <w:r>
              <w:rPr>
                <w:rFonts w:ascii="Arial" w:cs="Arial" w:eastAsia="Arial" w:hAnsi="Arial"/>
                <w:sz w:val="14"/>
                <w:szCs w:val="14"/>
                <w:color w:val="auto"/>
              </w:rPr>
              <w:t>N/A</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4"/>
              </w:rPr>
              <w:t>N/A</w:t>
            </w:r>
          </w:p>
        </w:tc>
        <w:tc>
          <w:tcPr>
            <w:tcW w:w="15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6"/>
              </w:rPr>
              <w:t>December 31, 2008</w:t>
            </w:r>
          </w:p>
        </w:tc>
        <w:tc>
          <w:tcPr>
            <w:tcW w:w="0" w:type="dxa"/>
            <w:vAlign w:val="bottom"/>
          </w:tcPr>
          <w:p>
            <w:pPr>
              <w:spacing w:after="0"/>
              <w:rPr>
                <w:sz w:val="1"/>
                <w:szCs w:val="1"/>
                <w:color w:val="auto"/>
              </w:rPr>
            </w:pPr>
          </w:p>
        </w:tc>
      </w:tr>
      <w:tr>
        <w:trPr>
          <w:trHeight w:val="172"/>
        </w:trPr>
        <w:tc>
          <w:tcPr>
            <w:tcW w:w="2380" w:type="dxa"/>
            <w:vAlign w:val="bottom"/>
          </w:tcPr>
          <w:p>
            <w:pPr>
              <w:jc w:val="center"/>
              <w:ind w:right="12"/>
              <w:spacing w:after="0"/>
              <w:rPr>
                <w:sz w:val="20"/>
                <w:szCs w:val="20"/>
                <w:color w:val="auto"/>
              </w:rPr>
            </w:pPr>
            <w:r>
              <w:rPr>
                <w:rFonts w:ascii="Arial" w:cs="Arial" w:eastAsia="Arial" w:hAnsi="Arial"/>
                <w:sz w:val="14"/>
                <w:szCs w:val="14"/>
                <w:color w:val="auto"/>
                <w:w w:val="90"/>
              </w:rPr>
              <w:t>engine and a “CRE”-like solution at NCI</w:t>
            </w:r>
          </w:p>
        </w:tc>
        <w:tc>
          <w:tcPr>
            <w:tcW w:w="1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-2271395</wp:posOffset>
            </wp:positionV>
            <wp:extent cx="724662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-1328420</wp:posOffset>
            </wp:positionV>
            <wp:extent cx="7246620" cy="4718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7180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-290830</wp:posOffset>
            </wp:positionV>
            <wp:extent cx="7246620"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Threshold</w:t>
      </w: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Below Threshold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Outstanding</w:t>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Outstanding</w:t>
      </w:r>
    </w:p>
    <w:p>
      <w:pPr>
        <w:spacing w:after="0" w:line="359" w:lineRule="exact"/>
        <w:rPr>
          <w:sz w:val="20"/>
          <w:szCs w:val="20"/>
          <w:color w:val="auto"/>
        </w:rPr>
      </w:pPr>
    </w:p>
    <w:p>
      <w:pPr>
        <w:sectPr>
          <w:pgSz w:w="11900" w:h="16838" w:orient="portrait"/>
          <w:cols w:equalWidth="0" w:num="3">
            <w:col w:w="2080" w:space="340"/>
            <w:col w:w="7480" w:space="380"/>
            <w:col w:w="1140"/>
          </w:cols>
          <w:pgMar w:left="240" w:top="140" w:right="239" w:bottom="1440" w:gutter="0" w:footer="0" w:header="0"/>
          <w:type w:val="continuous"/>
        </w:sectPr>
      </w:pPr>
    </w:p>
    <w:p>
      <w:pPr>
        <w:spacing w:after="0" w:line="60" w:lineRule="exact"/>
        <w:rPr>
          <w:sz w:val="20"/>
          <w:szCs w:val="20"/>
          <w:color w:val="auto"/>
        </w:rPr>
      </w:pPr>
    </w:p>
    <w:p>
      <w:pPr>
        <w:ind w:left="580" w:hanging="572"/>
        <w:spacing w:after="0" w:line="186" w:lineRule="auto"/>
        <w:tabs>
          <w:tab w:leader="none" w:pos="5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This figure represents the level of achievement after the adjustment to the corporate profitability key performance indicator calculation for the unbudgeted non-cash markdowns as discussed in greater detail above.</w:t>
      </w:r>
    </w:p>
    <w:p>
      <w:pPr>
        <w:spacing w:after="0" w:line="194" w:lineRule="exact"/>
        <w:rPr>
          <w:rFonts w:ascii="Arial" w:cs="Arial" w:eastAsia="Arial" w:hAnsi="Arial"/>
          <w:sz w:val="22"/>
          <w:szCs w:val="22"/>
          <w:color w:val="auto"/>
          <w:vertAlign w:val="superscript"/>
        </w:rPr>
      </w:pPr>
    </w:p>
    <w:p>
      <w:pPr>
        <w:ind w:left="5620" w:hanging="96"/>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22" w:name="page23"/>
    <w:bookmarkEnd w:id="22"/>
    <w:p>
      <w:pPr>
        <w:jc w:val="both"/>
        <w:spacing w:after="0" w:line="298" w:lineRule="auto"/>
        <w:rPr>
          <w:sz w:val="20"/>
          <w:szCs w:val="20"/>
          <w:color w:val="auto"/>
        </w:rPr>
      </w:pPr>
      <w:r>
        <w:rPr>
          <w:rFonts w:ascii="Arial" w:cs="Arial" w:eastAsia="Arial" w:hAnsi="Arial"/>
          <w:sz w:val="16"/>
          <w:szCs w:val="16"/>
          <w:color w:val="auto"/>
        </w:rPr>
        <w:t>The scorecards are communicated to all incentive-eligible employees by the Human Resource Department or the employee’s immediate supervisor and are available to employees at all times in our performance management tracking system. Performance against such scorecards is reviewed with senior management on a quarterly basis and after the end of each year. Annual incentive compensation is paid to our executives and other incentive-eligible employees after Compensation Committee approval following the service year associated with the incentive.</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the above components, executives have 20% of their incentive compensation determined by their performance appraisal for the service year. Each of our executive officers performs a self-assessment as to his performance against his goals for the applicable year. Our Chief Executive Officer utilizes these assessments, as well as his own observations and consultations with the Executive Vice President and Chief Administration Officer, to prepare a written performance appraisal for each of the other executive officers. In 2008, these performance appraisals were revised to rate performance on objective criteria related to only two key factors: (i) the executive’s ability to improve and develop their organization throughout the year and (ii) the executive’s strategic contributions to the direction of the company. The revised performance appraisal had the unintended result of lowering the performance rating for some senior executives. Nevertheless, the Compensation Committee and Chief Executive Officer determined that the results taken as a whole and when considered with each executive’s incentive results for their scorecard performance presented a fair representation of the executive’s overall performance. Incentive compensation was awarded accordingly.</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Executive Vice President and Chief Administration Officer, in conjunction with the Chief Executive Officer, presents the performance appraisal scores and personal scorecard performance to the Compensation Committee and makes recommendations as to the incentive compensation for each executive officer. The Compensation Committee evaluates the recommendations and makes the final incentive compensation award determinations for the senior executives.</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Generally at the first Board of Directors meeting of the fiscal year, the Compensation Committee approves the corporate scorecard and annual incentive components for the Chief Executive Officer and other executive officers for the upcoming year. In anticipation of the potential spin-off transaction that we are pursuing, key performance indicators for the company for 2009 have been developed for each of our lines of business, Ocwen Asset Management and Ocwen Solutions, as discussed in detail in our periodic reports filed with the Securities and Exchange Commission.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jc w:val="both"/>
        <w:spacing w:after="0" w:line="306" w:lineRule="auto"/>
        <w:rPr>
          <w:sz w:val="20"/>
          <w:szCs w:val="20"/>
          <w:color w:val="auto"/>
        </w:rPr>
      </w:pPr>
      <w:r>
        <w:rPr>
          <w:rFonts w:ascii="Arial" w:cs="Arial" w:eastAsia="Arial" w:hAnsi="Arial"/>
          <w:sz w:val="16"/>
          <w:szCs w:val="16"/>
          <w:color w:val="auto"/>
        </w:rPr>
        <w:t>The corporate scorecard for Ocwen Asset Management includes achieving a pre-tax net income target, improving the liquidity of the company and reducing gross advances associated with the servicing business. In addition, the corporate scorecard provides for successful completion of 11 strategic initiatives established to enhance long-term corporate and shareholder value. The 2009 corporate strategic initiatives for Ocwen Asset Management relate to:</w:t>
      </w:r>
    </w:p>
    <w:p>
      <w:pPr>
        <w:spacing w:after="0" w:line="174" w:lineRule="exact"/>
        <w:rPr>
          <w:sz w:val="20"/>
          <w:szCs w:val="20"/>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Enhancement of our loan resolution model;</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supervisory effectiveness;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Consolidation and automation of our processes;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and personnel development within the organization;</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Improvements to the customer service experience;</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Improvement of brand awareness and recognition;</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 of new financing sources;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Achievement of return on equity targets;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Implementation of complementary business lines.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scorecard for Ocwen Solutions includes achieving a pre-tax net income target, a revenue target, and spin-off of the operations from us. In addition, the corporate scorecard provides for successful completion of nine strategic initiatives established to enhance long-term corporate and shareholder value. The 2009 corporate strategic initiatives for Ocwen Solutions relate to:</w:t>
      </w:r>
    </w:p>
    <w:p>
      <w:pPr>
        <w:spacing w:after="0" w:line="208" w:lineRule="exact"/>
        <w:rPr>
          <w:sz w:val="20"/>
          <w:szCs w:val="20"/>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Adherence to service-level standards;</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supervisory effectiveness;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Consolidation and automation of our processes;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and personnel development within the organization;</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Improvements to the customer service experience;</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 of brand awareness through marketing;</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Implementation of technology projects;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 of a strategic plan for new products and a channel sales strategy.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Compensation Levels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From time to time, the company will conduct benchmarking on Chief Executive Officer and other executive officer compensation among peer companies of comparable size, industry, location and similar attributes that compete with Ocwen for qualified management. Most recently, the peer companies used in our benchmarking study were: Americredit Corp., Commerce Bancorp., Inc., First Horizon National Corp., Indymac Bancorp., Inc., KFORCE, Inc., LandAmerica Financial Group Inc., R. H. Donnelly, Corp., Raymond James Financial, Inc., and Webster Financial Corp. The information gathered from this comparison group included base salary, cash incentive compensation and equity incentive compensation.</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on the benchmarking, performance, retention and other the relevant considerations, the Compensation Committee reviews recommendations and determines appropriate base salary and annual incentive compensation targets for the Chief Executive Officer and other executive officers. The Compensation Committee generally makes its determinations during the first quarter of the year; however, they may make adjustments at other times as appropriate. To date, no executive officers have received increases in their target compensation for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timing of compensation decisions is driven by a variety of tax considerations. Under Section 162(m) of the Internal Revenue Code of 1986, as amended (the “Code”), the tax deduction by corporate taxpayers is limited with respect to the compensation of certain executive officers to $1 million per covered executive unless such compensation is based upon the attainment of performance objectives meeting certain regulatory criteria or is otherwise excluded from the limitation. We obtained shareholder approval of the 1998 Annual Incentive Plan and all amendments thereto in order to qualify awards under such plans as performance-based compensation under Section 162(m) of the Code. It is the Compensation Committee’s intention to qualify all performance-based compensation for the exclusion from the deductibility limitation of Section 162(m), except in situations where qualifying compensation for the exclusion would be inconsistent with our overall best interest.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jc w:val="both"/>
        <w:spacing w:after="0" w:line="256" w:lineRule="auto"/>
        <w:rPr>
          <w:sz w:val="20"/>
          <w:szCs w:val="20"/>
          <w:color w:val="auto"/>
        </w:rPr>
      </w:pPr>
      <w:r>
        <w:rPr>
          <w:rFonts w:ascii="Arial" w:cs="Arial" w:eastAsia="Arial" w:hAnsi="Arial"/>
          <w:sz w:val="18"/>
          <w:szCs w:val="18"/>
          <w:color w:val="auto"/>
        </w:rPr>
        <w:t>In order to satisfy the deductibility requirements under Section 162(m) of the Code, performance objectives must be established in the first 90 days of the performance period. For annual incentive awards, this means performance objectives must be established no later than the end of March. In addition, in order to avoid being considered deferred compensation under Section 409A of the Code and to be deductible for the prior tax year, our annual incentive awards with respect to the prior year must be paid out by March 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executive officers execute an intellectual property and non-disclosure agreement upon commencement of their employment. This agreement requires the executive officer to hold all “confidential information” in trust for us and prohibits the executive officer from using or disclosing such confidential information except as necessary in the regular course of our business or that of our affiliates. Other than these restrictive covenants, we generally do not have employment, non-competition or non-solicitation agreements with our executive officers. From time to time, we enter into separation agreements with executive officers that contain these provisions.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developed stock ownership or retention policies, guidelines or requirements as of yet. The Compensation Committee may consider adopting such a policy in the future for all or a select portion of our executive officers. We maintain a management directive detailing our window period policy for directors and employees and our insider trading policy.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2007 Equity Incentive Plan is administered by the Compensation Committee and authorizes the grant of restricted stock, options, stock appreciation rights, stock purchase rights or other equity-based awards to our employees. Options granted under the plan may be either “incentive stock options” as defined in Section 422 of the Code, or nonqualified stock options, as determined by the Compensation Committee.</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Each award granted under the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grant. In addition, any shares under the plan that are used to satisfy award obligations under the plan of another entity that is acquired by us will not count against the remaining number of shares available.</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the company considered potential opportunities to restructure its businesses to increase shareholder value during the last year, the Compensation Committee sought a method of increasing the incentive for executives to make extraordinary efforts to achieve aggressive improvements to shareholder value. As a result, the Compensation Committee, in cooperation with management, conceptualized and implemented the Senior Management Equity Incentive Program as a highly shareholder-aligned incentive award opportunity for key members of senior management to receive long-term equity compensation based on share-value performance criteria. After consultation with the compensation consultant, awards under this program to purchase a total of 6,840,000 shares of Ocwen’s common stock under the 2007 Equity Incentive Plan were made to all five of our executive officers. These awards are detailed in the table below entitled “Outstanding Equity Awards at Fiscal Year-End”.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Committee’s policy with respect to other employee benefit plans is to provide benefits to our employees, including executive officers, that are comparable to benefits offered by companies of a similar size to ours. A competitive comprehensive benefit program is essential to achieving the goal of attracting and retaining highly qualified employees.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Employment Termination</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we have no employment agreements with our executive officers other than the restrictive covenants noted above, we handle each termination as appropriate in light of the circumstances. Without any special agreement related to termination, an executive officer would be entitled to receive his or her base salary and applicable employee benefit plans and programs through the date of termination. In addition, the executive officer would be entitled to retain any vested portion of prior equity awards granted through the 1998 Annual Incentive Plan, the 1991 Non-Qualified Stock Option Plan and the 2007 Equity Incentive Plan. For termination not due to death, disability or retirement, the executive officer has six months within which to exercise stock options pursuant to our stock option agreements. Otherwise, the executive officer shall be afforded the time permitted in the original grant. Any portion of an equity award not vested will be forfeited in either circumstance unless alternate arrangements are made in the discretion of the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 formal severance plan or policy. When an executive officer separates from the company as a result of a reduction in work force, we typically provide the executive with two months salary for each year of service to the company up to a maximum of six months salary in exchange for a separation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discloses compensation received by our Chief Executive Officer, our Chief Financial Officer and our three most highly compensated executive officers for fiscal years 2006, 2007 and 2008.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52"/>
              <w:spacing w:after="0"/>
              <w:rPr>
                <w:sz w:val="20"/>
                <w:szCs w:val="20"/>
                <w:color w:val="auto"/>
              </w:rPr>
            </w:pPr>
            <w:r>
              <w:rPr>
                <w:rFonts w:ascii="Arial" w:cs="Arial" w:eastAsia="Arial" w:hAnsi="Arial"/>
                <w:sz w:val="14"/>
                <w:szCs w:val="14"/>
                <w:b w:val="1"/>
                <w:bCs w:val="1"/>
                <w:color w:val="auto"/>
                <w:w w:val="91"/>
              </w:rPr>
              <w:t>Non-Equity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Incentive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6"/>
              </w:rPr>
              <w:t>Name and</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3"/>
              </w:rPr>
              <w:t xml:space="preserve">Salary </w:t>
            </w:r>
            <w:r>
              <w:rPr>
                <w:rFonts w:ascii="Arial" w:cs="Arial" w:eastAsia="Arial" w:hAnsi="Arial"/>
                <w:sz w:val="22"/>
                <w:szCs w:val="22"/>
                <w:color w:val="auto"/>
                <w:w w:val="93"/>
                <w:vertAlign w:val="superscript"/>
              </w:rPr>
              <w:t>(1)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right"/>
              <w:ind w:right="760"/>
              <w:spacing w:after="0" w:line="156"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3"/>
                <w:szCs w:val="13"/>
                <w:color w:val="auto"/>
              </w:rPr>
            </w:pPr>
          </w:p>
        </w:tc>
        <w:tc>
          <w:tcPr>
            <w:tcW w:w="1200" w:type="dxa"/>
            <w:vAlign w:val="bottom"/>
            <w:gridSpan w:val="2"/>
          </w:tcPr>
          <w:p>
            <w:pPr>
              <w:jc w:val="right"/>
              <w:ind w:right="500"/>
              <w:spacing w:after="0" w:line="156" w:lineRule="exact"/>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52"/>
              <w:spacing w:after="0" w:line="156" w:lineRule="exact"/>
              <w:rPr>
                <w:sz w:val="20"/>
                <w:szCs w:val="20"/>
                <w:color w:val="auto"/>
              </w:rPr>
            </w:pPr>
            <w:r>
              <w:rPr>
                <w:rFonts w:ascii="Arial" w:cs="Arial" w:eastAsia="Arial" w:hAnsi="Arial"/>
                <w:sz w:val="14"/>
                <w:szCs w:val="14"/>
                <w:b w:val="1"/>
                <w:bCs w:val="1"/>
                <w:color w:val="auto"/>
                <w:w w:val="94"/>
              </w:rPr>
              <w:t>Plan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312"/>
              <w:spacing w:after="0" w:line="156" w:lineRule="exact"/>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Position</w:t>
            </w:r>
          </w:p>
        </w:tc>
        <w:tc>
          <w:tcPr>
            <w:tcW w:w="12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22"/>
                <w:szCs w:val="22"/>
                <w:color w:val="auto"/>
                <w:w w:val="92"/>
                <w:vertAlign w:val="superscript"/>
              </w:rPr>
              <w:t>(2)(3)</w:t>
            </w:r>
          </w:p>
        </w:tc>
        <w:tc>
          <w:tcPr>
            <w:tcW w:w="18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22"/>
                <w:szCs w:val="22"/>
                <w:color w:val="auto"/>
                <w:w w:val="92"/>
                <w:vertAlign w:val="superscript"/>
              </w:rPr>
              <w:t>(2)(3)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 xml:space="preserve">Compensation </w:t>
            </w:r>
            <w:r>
              <w:rPr>
                <w:rFonts w:ascii="Arial" w:cs="Arial" w:eastAsia="Arial" w:hAnsi="Arial"/>
                <w:sz w:val="22"/>
                <w:szCs w:val="22"/>
                <w:color w:val="auto"/>
                <w:w w:val="83"/>
                <w:vertAlign w:val="superscript"/>
              </w:rPr>
              <w:t>(4)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92"/>
              <w:spacing w:after="0"/>
              <w:rPr>
                <w:sz w:val="20"/>
                <w:szCs w:val="20"/>
                <w:color w:val="auto"/>
              </w:rPr>
            </w:pPr>
            <w:r>
              <w:rPr>
                <w:rFonts w:ascii="Arial" w:cs="Arial" w:eastAsia="Arial" w:hAnsi="Arial"/>
                <w:sz w:val="14"/>
                <w:szCs w:val="14"/>
                <w:b w:val="1"/>
                <w:bCs w:val="1"/>
                <w:color w:val="auto"/>
                <w:w w:val="87"/>
              </w:rPr>
              <w:t xml:space="preserve">Compensation </w:t>
            </w:r>
            <w:r>
              <w:rPr>
                <w:rFonts w:ascii="Arial" w:cs="Arial" w:eastAsia="Arial" w:hAnsi="Arial"/>
                <w:sz w:val="22"/>
                <w:szCs w:val="22"/>
                <w:color w:val="auto"/>
                <w:w w:val="87"/>
                <w:vertAlign w:val="superscript"/>
              </w:rPr>
              <w:t>(5)</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2"/>
        </w:trPr>
        <w:tc>
          <w:tcPr>
            <w:tcW w:w="17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00" w:type="dxa"/>
            <w:vAlign w:val="bottom"/>
            <w:tcBorders>
              <w:top w:val="single" w:sz="8" w:color="auto"/>
            </w:tcBorders>
            <w:shd w:val="clear" w:color="auto" w:fill="EAF9E8"/>
          </w:tcPr>
          <w:p>
            <w:pPr>
              <w:spacing w:after="0" w:line="127" w:lineRule="exact"/>
              <w:rPr>
                <w:sz w:val="20"/>
                <w:szCs w:val="20"/>
                <w:color w:val="auto"/>
              </w:rPr>
            </w:pPr>
            <w:r>
              <w:rPr>
                <w:rFonts w:ascii="Arial" w:cs="Arial" w:eastAsia="Arial" w:hAnsi="Arial"/>
                <w:sz w:val="14"/>
                <w:szCs w:val="14"/>
                <w:b w:val="1"/>
                <w:bCs w:val="1"/>
                <w:color w:val="auto"/>
              </w:rPr>
              <w:t>William C. Erbey</w:t>
            </w:r>
          </w:p>
        </w:tc>
        <w:tc>
          <w:tcPr>
            <w:tcW w:w="120" w:type="dxa"/>
            <w:vAlign w:val="bottom"/>
            <w:shd w:val="clear" w:color="auto" w:fill="EAF9E8"/>
          </w:tcPr>
          <w:p>
            <w:pPr>
              <w:spacing w:after="0"/>
              <w:rPr>
                <w:sz w:val="10"/>
                <w:szCs w:val="10"/>
                <w:color w:val="auto"/>
              </w:rPr>
            </w:pPr>
          </w:p>
        </w:tc>
        <w:tc>
          <w:tcPr>
            <w:tcW w:w="460" w:type="dxa"/>
            <w:vAlign w:val="bottom"/>
            <w:tcBorders>
              <w:top w:val="single" w:sz="8" w:color="auto"/>
            </w:tcBorders>
            <w:shd w:val="clear" w:color="auto" w:fill="EAF9E8"/>
          </w:tcPr>
          <w:p>
            <w:pPr>
              <w:ind w:left="100"/>
              <w:spacing w:after="0" w:line="127" w:lineRule="exact"/>
              <w:rPr>
                <w:sz w:val="20"/>
                <w:szCs w:val="20"/>
                <w:color w:val="auto"/>
              </w:rPr>
            </w:pPr>
            <w:r>
              <w:rPr>
                <w:rFonts w:ascii="Arial" w:cs="Arial" w:eastAsia="Arial" w:hAnsi="Arial"/>
                <w:sz w:val="14"/>
                <w:szCs w:val="14"/>
                <w:color w:val="auto"/>
              </w:rPr>
              <w:t>2008</w:t>
            </w:r>
          </w:p>
        </w:tc>
        <w:tc>
          <w:tcPr>
            <w:tcW w:w="240" w:type="dxa"/>
            <w:vAlign w:val="bottom"/>
            <w:shd w:val="clear" w:color="auto" w:fill="EAF9E8"/>
          </w:tcPr>
          <w:p>
            <w:pPr>
              <w:spacing w:after="0"/>
              <w:rPr>
                <w:sz w:val="10"/>
                <w:szCs w:val="10"/>
                <w:color w:val="auto"/>
              </w:rPr>
            </w:pPr>
          </w:p>
        </w:tc>
        <w:tc>
          <w:tcPr>
            <w:tcW w:w="160" w:type="dxa"/>
            <w:vAlign w:val="bottom"/>
            <w:tcBorders>
              <w:top w:val="single" w:sz="8" w:color="auto"/>
            </w:tcBorders>
            <w:shd w:val="clear" w:color="auto" w:fill="EAF9E8"/>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EAF9E8"/>
          </w:tcPr>
          <w:p>
            <w:pPr>
              <w:jc w:val="right"/>
              <w:spacing w:after="0" w:line="127" w:lineRule="exact"/>
              <w:rPr>
                <w:sz w:val="20"/>
                <w:szCs w:val="20"/>
                <w:color w:val="auto"/>
              </w:rPr>
            </w:pPr>
            <w:r>
              <w:rPr>
                <w:rFonts w:ascii="Arial" w:cs="Arial" w:eastAsia="Arial" w:hAnsi="Arial"/>
                <w:sz w:val="14"/>
                <w:szCs w:val="14"/>
                <w:color w:val="auto"/>
              </w:rPr>
              <w:t>500,000</w:t>
            </w:r>
          </w:p>
        </w:tc>
        <w:tc>
          <w:tcPr>
            <w:tcW w:w="220" w:type="dxa"/>
            <w:vAlign w:val="bottom"/>
            <w:shd w:val="clear" w:color="auto" w:fill="EAF9E8"/>
          </w:tcPr>
          <w:p>
            <w:pPr>
              <w:spacing w:after="0"/>
              <w:rPr>
                <w:sz w:val="10"/>
                <w:szCs w:val="10"/>
                <w:color w:val="auto"/>
              </w:rPr>
            </w:pPr>
          </w:p>
        </w:tc>
        <w:tc>
          <w:tcPr>
            <w:tcW w:w="200" w:type="dxa"/>
            <w:vAlign w:val="bottom"/>
            <w:tcBorders>
              <w:top w:val="single" w:sz="8" w:color="auto"/>
            </w:tcBorders>
            <w:shd w:val="clear" w:color="auto" w:fill="EAF9E8"/>
          </w:tcPr>
          <w:p>
            <w:pPr>
              <w:jc w:val="right"/>
              <w:ind w:right="52"/>
              <w:spacing w:after="0" w:line="127"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EAF9E8"/>
          </w:tcPr>
          <w:p>
            <w:pPr>
              <w:jc w:val="right"/>
              <w:spacing w:after="0" w:line="127" w:lineRule="exact"/>
              <w:rPr>
                <w:sz w:val="20"/>
                <w:szCs w:val="20"/>
                <w:color w:val="auto"/>
              </w:rPr>
            </w:pPr>
            <w:r>
              <w:rPr>
                <w:rFonts w:ascii="Arial" w:cs="Arial" w:eastAsia="Arial" w:hAnsi="Arial"/>
                <w:sz w:val="14"/>
                <w:szCs w:val="14"/>
                <w:color w:val="auto"/>
              </w:rPr>
              <w:t>91,848</w:t>
            </w:r>
          </w:p>
        </w:tc>
        <w:tc>
          <w:tcPr>
            <w:tcW w:w="240" w:type="dxa"/>
            <w:vAlign w:val="bottom"/>
            <w:shd w:val="clear" w:color="auto" w:fill="EAF9E8"/>
          </w:tcPr>
          <w:p>
            <w:pPr>
              <w:spacing w:after="0"/>
              <w:rPr>
                <w:sz w:val="10"/>
                <w:szCs w:val="10"/>
                <w:color w:val="auto"/>
              </w:rPr>
            </w:pPr>
          </w:p>
        </w:tc>
        <w:tc>
          <w:tcPr>
            <w:tcW w:w="180" w:type="dxa"/>
            <w:vAlign w:val="bottom"/>
            <w:tcBorders>
              <w:top w:val="single" w:sz="8" w:color="auto"/>
            </w:tcBorders>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EAF9E8"/>
          </w:tcPr>
          <w:p>
            <w:pPr>
              <w:jc w:val="right"/>
              <w:spacing w:after="0" w:line="127" w:lineRule="exact"/>
              <w:rPr>
                <w:sz w:val="20"/>
                <w:szCs w:val="20"/>
                <w:color w:val="auto"/>
              </w:rPr>
            </w:pPr>
            <w:r>
              <w:rPr>
                <w:rFonts w:ascii="Arial" w:cs="Arial" w:eastAsia="Arial" w:hAnsi="Arial"/>
                <w:sz w:val="14"/>
                <w:szCs w:val="14"/>
                <w:color w:val="auto"/>
              </w:rPr>
              <w:t>501,025</w:t>
            </w:r>
          </w:p>
        </w:tc>
        <w:tc>
          <w:tcPr>
            <w:tcW w:w="20" w:type="dxa"/>
            <w:vAlign w:val="bottom"/>
            <w:shd w:val="clear" w:color="auto" w:fill="EAF9E8"/>
          </w:tcPr>
          <w:p>
            <w:pPr>
              <w:spacing w:after="0"/>
              <w:rPr>
                <w:sz w:val="10"/>
                <w:szCs w:val="10"/>
                <w:color w:val="auto"/>
              </w:rPr>
            </w:pPr>
          </w:p>
        </w:tc>
        <w:tc>
          <w:tcPr>
            <w:tcW w:w="240" w:type="dxa"/>
            <w:vAlign w:val="bottom"/>
            <w:shd w:val="clear" w:color="auto" w:fill="EAF9E8"/>
          </w:tcPr>
          <w:p>
            <w:pPr>
              <w:jc w:val="right"/>
              <w:ind w:right="44"/>
              <w:spacing w:after="0"/>
              <w:rPr>
                <w:sz w:val="20"/>
                <w:szCs w:val="20"/>
                <w:color w:val="auto"/>
              </w:rPr>
            </w:pPr>
            <w:r>
              <w:rPr>
                <w:rFonts w:ascii="Arial" w:cs="Arial" w:eastAsia="Arial" w:hAnsi="Arial"/>
                <w:sz w:val="11"/>
                <w:szCs w:val="11"/>
                <w:color w:val="auto"/>
                <w:w w:val="88"/>
              </w:rPr>
              <w:t>(6)</w:t>
            </w:r>
          </w:p>
        </w:tc>
        <w:tc>
          <w:tcPr>
            <w:tcW w:w="100" w:type="dxa"/>
            <w:vAlign w:val="bottom"/>
            <w:shd w:val="clear" w:color="auto" w:fill="EAF9E8"/>
          </w:tcPr>
          <w:p>
            <w:pPr>
              <w:spacing w:after="0"/>
              <w:rPr>
                <w:sz w:val="10"/>
                <w:szCs w:val="10"/>
                <w:color w:val="auto"/>
              </w:rPr>
            </w:pPr>
          </w:p>
        </w:tc>
        <w:tc>
          <w:tcPr>
            <w:tcW w:w="120" w:type="dxa"/>
            <w:vAlign w:val="bottom"/>
            <w:tcBorders>
              <w:top w:val="single" w:sz="8" w:color="auto"/>
            </w:tcBorders>
            <w:shd w:val="clear" w:color="auto" w:fill="EAF9E8"/>
          </w:tcPr>
          <w:p>
            <w:pPr>
              <w:jc w:val="right"/>
              <w:ind w:right="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EAF9E8"/>
          </w:tcPr>
          <w:p>
            <w:pPr>
              <w:jc w:val="right"/>
              <w:spacing w:after="0" w:line="127" w:lineRule="exact"/>
              <w:rPr>
                <w:sz w:val="20"/>
                <w:szCs w:val="20"/>
                <w:color w:val="auto"/>
              </w:rPr>
            </w:pPr>
            <w:r>
              <w:rPr>
                <w:rFonts w:ascii="Arial" w:cs="Arial" w:eastAsia="Arial" w:hAnsi="Arial"/>
                <w:sz w:val="14"/>
                <w:szCs w:val="14"/>
                <w:color w:val="auto"/>
              </w:rPr>
              <w:t>1,176,189</w:t>
            </w:r>
          </w:p>
        </w:tc>
        <w:tc>
          <w:tcPr>
            <w:tcW w:w="220" w:type="dxa"/>
            <w:vAlign w:val="bottom"/>
            <w:shd w:val="clear" w:color="auto" w:fill="EAF9E8"/>
          </w:tcPr>
          <w:p>
            <w:pPr>
              <w:spacing w:after="0"/>
              <w:rPr>
                <w:sz w:val="10"/>
                <w:szCs w:val="10"/>
                <w:color w:val="auto"/>
              </w:rPr>
            </w:pPr>
          </w:p>
        </w:tc>
        <w:tc>
          <w:tcPr>
            <w:tcW w:w="120" w:type="dxa"/>
            <w:vAlign w:val="bottom"/>
            <w:tcBorders>
              <w:top w:val="single" w:sz="8" w:color="auto"/>
            </w:tcBorders>
            <w:shd w:val="clear" w:color="auto" w:fill="EAF9E8"/>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EAF9E8"/>
          </w:tcPr>
          <w:p>
            <w:pPr>
              <w:jc w:val="right"/>
              <w:spacing w:after="0" w:line="127" w:lineRule="exact"/>
              <w:rPr>
                <w:sz w:val="20"/>
                <w:szCs w:val="20"/>
                <w:color w:val="auto"/>
              </w:rPr>
            </w:pPr>
            <w:r>
              <w:rPr>
                <w:rFonts w:ascii="Arial" w:cs="Arial" w:eastAsia="Arial" w:hAnsi="Arial"/>
                <w:sz w:val="14"/>
                <w:szCs w:val="14"/>
                <w:color w:val="auto"/>
              </w:rPr>
              <w:t>4,500</w:t>
            </w:r>
          </w:p>
        </w:tc>
        <w:tc>
          <w:tcPr>
            <w:tcW w:w="280" w:type="dxa"/>
            <w:vAlign w:val="bottom"/>
            <w:shd w:val="clear" w:color="auto" w:fill="EAF9E8"/>
          </w:tcPr>
          <w:p>
            <w:pPr>
              <w:spacing w:after="0"/>
              <w:rPr>
                <w:sz w:val="10"/>
                <w:szCs w:val="10"/>
                <w:color w:val="auto"/>
              </w:rPr>
            </w:pPr>
          </w:p>
        </w:tc>
        <w:tc>
          <w:tcPr>
            <w:tcW w:w="60" w:type="dxa"/>
            <w:vAlign w:val="bottom"/>
            <w:shd w:val="clear" w:color="auto" w:fill="EAF9E8"/>
          </w:tcPr>
          <w:p>
            <w:pPr>
              <w:spacing w:after="0"/>
              <w:rPr>
                <w:sz w:val="10"/>
                <w:szCs w:val="10"/>
                <w:color w:val="auto"/>
              </w:rPr>
            </w:pPr>
          </w:p>
        </w:tc>
        <w:tc>
          <w:tcPr>
            <w:tcW w:w="200" w:type="dxa"/>
            <w:vAlign w:val="bottom"/>
            <w:tcBorders>
              <w:top w:val="single" w:sz="8" w:color="auto"/>
            </w:tcBorders>
            <w:shd w:val="clear" w:color="auto" w:fill="EAF9E8"/>
          </w:tcPr>
          <w:p>
            <w:pPr>
              <w:jc w:val="right"/>
              <w:ind w:right="52"/>
              <w:spacing w:after="0" w:line="127"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EAF9E8"/>
          </w:tcPr>
          <w:p>
            <w:pPr>
              <w:jc w:val="right"/>
              <w:spacing w:after="0" w:line="127" w:lineRule="exact"/>
              <w:rPr>
                <w:sz w:val="20"/>
                <w:szCs w:val="20"/>
                <w:color w:val="auto"/>
              </w:rPr>
            </w:pPr>
            <w:r>
              <w:rPr>
                <w:rFonts w:ascii="Arial" w:cs="Arial" w:eastAsia="Arial" w:hAnsi="Arial"/>
                <w:sz w:val="14"/>
                <w:szCs w:val="14"/>
                <w:color w:val="auto"/>
              </w:rPr>
              <w:t>2,273,562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700" w:type="dxa"/>
            <w:vAlign w:val="bottom"/>
            <w:shd w:val="clear" w:color="auto" w:fill="EAF9E8"/>
          </w:tcPr>
          <w:p>
            <w:pPr>
              <w:spacing w:after="0"/>
              <w:rPr>
                <w:sz w:val="20"/>
                <w:szCs w:val="20"/>
                <w:color w:val="auto"/>
              </w:rPr>
            </w:pPr>
            <w:r>
              <w:rPr>
                <w:rFonts w:ascii="Arial" w:cs="Arial" w:eastAsia="Arial" w:hAnsi="Arial"/>
                <w:sz w:val="14"/>
                <w:szCs w:val="14"/>
                <w:color w:val="auto"/>
                <w:w w:val="99"/>
              </w:rPr>
              <w:t>Chairman of the Board and</w:t>
            </w:r>
          </w:p>
        </w:tc>
        <w:tc>
          <w:tcPr>
            <w:tcW w:w="120" w:type="dxa"/>
            <w:vAlign w:val="bottom"/>
            <w:shd w:val="clear" w:color="auto" w:fill="EAF9E8"/>
          </w:tcPr>
          <w:p>
            <w:pPr>
              <w:spacing w:after="0"/>
              <w:rPr>
                <w:sz w:val="14"/>
                <w:szCs w:val="14"/>
                <w:color w:val="auto"/>
              </w:rPr>
            </w:pPr>
          </w:p>
        </w:tc>
        <w:tc>
          <w:tcPr>
            <w:tcW w:w="460" w:type="dxa"/>
            <w:vAlign w:val="bottom"/>
            <w:shd w:val="clear" w:color="auto" w:fill="EAF9E8"/>
          </w:tcPr>
          <w:p>
            <w:pPr>
              <w:ind w:left="100"/>
              <w:spacing w:after="0"/>
              <w:rPr>
                <w:sz w:val="20"/>
                <w:szCs w:val="20"/>
                <w:color w:val="auto"/>
              </w:rPr>
            </w:pPr>
            <w:r>
              <w:rPr>
                <w:rFonts w:ascii="Arial" w:cs="Arial" w:eastAsia="Arial" w:hAnsi="Arial"/>
                <w:sz w:val="14"/>
                <w:szCs w:val="14"/>
                <w:color w:val="auto"/>
              </w:rPr>
              <w:t>2007</w:t>
            </w:r>
          </w:p>
        </w:tc>
        <w:tc>
          <w:tcPr>
            <w:tcW w:w="400" w:type="dxa"/>
            <w:vAlign w:val="bottom"/>
            <w:gridSpan w:val="2"/>
            <w:shd w:val="clear" w:color="auto" w:fill="EAF9E8"/>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473,077</w:t>
            </w:r>
          </w:p>
        </w:tc>
        <w:tc>
          <w:tcPr>
            <w:tcW w:w="420" w:type="dxa"/>
            <w:vAlign w:val="bottom"/>
            <w:gridSpan w:val="2"/>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242,355</w:t>
            </w: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818,847</w:t>
            </w:r>
          </w:p>
        </w:tc>
        <w:tc>
          <w:tcPr>
            <w:tcW w:w="20" w:type="dxa"/>
            <w:vAlign w:val="bottom"/>
            <w:shd w:val="clear" w:color="auto" w:fill="EAF9E8"/>
          </w:tcPr>
          <w:p>
            <w:pPr>
              <w:spacing w:after="0"/>
              <w:rPr>
                <w:sz w:val="14"/>
                <w:szCs w:val="14"/>
                <w:color w:val="auto"/>
              </w:rPr>
            </w:pPr>
          </w:p>
        </w:tc>
        <w:tc>
          <w:tcPr>
            <w:tcW w:w="240" w:type="dxa"/>
            <w:vAlign w:val="bottom"/>
            <w:shd w:val="clear" w:color="auto" w:fill="EAF9E8"/>
          </w:tcPr>
          <w:p>
            <w:pPr>
              <w:jc w:val="right"/>
              <w:ind w:right="44"/>
              <w:spacing w:after="0"/>
              <w:rPr>
                <w:sz w:val="20"/>
                <w:szCs w:val="20"/>
                <w:color w:val="auto"/>
              </w:rPr>
            </w:pPr>
            <w:r>
              <w:rPr>
                <w:rFonts w:ascii="Arial" w:cs="Arial" w:eastAsia="Arial" w:hAnsi="Arial"/>
                <w:sz w:val="11"/>
                <w:szCs w:val="11"/>
                <w:color w:val="auto"/>
                <w:w w:val="88"/>
              </w:rPr>
              <w:t>(6)</w:t>
            </w:r>
          </w:p>
        </w:tc>
        <w:tc>
          <w:tcPr>
            <w:tcW w:w="220" w:type="dxa"/>
            <w:vAlign w:val="bottom"/>
            <w:gridSpan w:val="2"/>
            <w:shd w:val="clear" w:color="auto" w:fill="EAF9E8"/>
          </w:tcPr>
          <w:p>
            <w:pPr>
              <w:jc w:val="right"/>
              <w:ind w:right="9"/>
              <w:spacing w:after="0"/>
              <w:rPr>
                <w:sz w:val="20"/>
                <w:szCs w:val="20"/>
                <w:color w:val="auto"/>
              </w:rPr>
            </w:pPr>
            <w:r>
              <w:rPr>
                <w:rFonts w:ascii="Arial" w:cs="Arial" w:eastAsia="Arial" w:hAnsi="Arial"/>
                <w:sz w:val="14"/>
                <w:szCs w:val="14"/>
                <w:color w:val="auto"/>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953,399</w:t>
            </w:r>
          </w:p>
        </w:tc>
        <w:tc>
          <w:tcPr>
            <w:tcW w:w="340" w:type="dxa"/>
            <w:vAlign w:val="bottom"/>
            <w:gridSpan w:val="2"/>
            <w:shd w:val="clear" w:color="auto" w:fill="EAF9E8"/>
          </w:tcPr>
          <w:p>
            <w:pPr>
              <w:jc w:val="right"/>
              <w:ind w:right="9"/>
              <w:spacing w:after="0"/>
              <w:rPr>
                <w:sz w:val="20"/>
                <w:szCs w:val="20"/>
                <w:color w:val="auto"/>
              </w:rPr>
            </w:pPr>
            <w:r>
              <w:rPr>
                <w:rFonts w:ascii="Arial" w:cs="Arial" w:eastAsia="Arial" w:hAnsi="Arial"/>
                <w:sz w:val="14"/>
                <w:szCs w:val="14"/>
                <w:color w:val="auto"/>
              </w:rPr>
              <w:t>$</w:t>
            </w:r>
          </w:p>
        </w:tc>
        <w:tc>
          <w:tcPr>
            <w:tcW w:w="12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4,500</w:t>
            </w:r>
          </w:p>
        </w:tc>
        <w:tc>
          <w:tcPr>
            <w:tcW w:w="280" w:type="dxa"/>
            <w:vAlign w:val="bottom"/>
            <w:vMerge w:val="restart"/>
            <w:shd w:val="clear" w:color="auto" w:fill="EAF9E8"/>
          </w:tcPr>
          <w:p>
            <w:pPr>
              <w:ind w:left="40"/>
              <w:spacing w:after="0"/>
              <w:rPr>
                <w:sz w:val="20"/>
                <w:szCs w:val="20"/>
                <w:color w:val="auto"/>
              </w:rPr>
            </w:pPr>
            <w:r>
              <w:rPr>
                <w:rFonts w:ascii="Arial" w:cs="Arial" w:eastAsia="Arial" w:hAnsi="Arial"/>
                <w:sz w:val="11"/>
                <w:szCs w:val="11"/>
                <w:color w:val="auto"/>
              </w:rPr>
              <w:t>(7)</w:t>
            </w:r>
          </w:p>
        </w:tc>
        <w:tc>
          <w:tcPr>
            <w:tcW w:w="260" w:type="dxa"/>
            <w:vAlign w:val="bottom"/>
            <w:gridSpan w:val="2"/>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2,492,178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Chief Executive Officer</w:t>
            </w: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ind w:left="100"/>
              <w:spacing w:after="0" w:line="149" w:lineRule="exact"/>
              <w:rPr>
                <w:sz w:val="20"/>
                <w:szCs w:val="20"/>
                <w:color w:val="auto"/>
              </w:rPr>
            </w:pPr>
            <w:r>
              <w:rPr>
                <w:rFonts w:ascii="Arial" w:cs="Arial" w:eastAsia="Arial" w:hAnsi="Arial"/>
                <w:sz w:val="14"/>
                <w:szCs w:val="14"/>
                <w:color w:val="auto"/>
              </w:rPr>
              <w:t>2006</w:t>
            </w:r>
          </w:p>
        </w:tc>
        <w:tc>
          <w:tcPr>
            <w:tcW w:w="400" w:type="dxa"/>
            <w:vAlign w:val="bottom"/>
            <w:gridSpan w:val="2"/>
            <w:shd w:val="clear" w:color="auto" w:fill="EAF9E8"/>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360,000</w:t>
            </w:r>
          </w:p>
        </w:tc>
        <w:tc>
          <w:tcPr>
            <w:tcW w:w="420" w:type="dxa"/>
            <w:vAlign w:val="bottom"/>
            <w:gridSpan w:val="2"/>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105,723</w:t>
            </w: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206,629</w:t>
            </w:r>
          </w:p>
        </w:tc>
        <w:tc>
          <w:tcPr>
            <w:tcW w:w="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220" w:type="dxa"/>
            <w:vAlign w:val="bottom"/>
            <w:gridSpan w:val="2"/>
            <w:shd w:val="clear" w:color="auto" w:fill="EAF9E8"/>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501,429</w:t>
            </w:r>
          </w:p>
        </w:tc>
        <w:tc>
          <w:tcPr>
            <w:tcW w:w="340" w:type="dxa"/>
            <w:vAlign w:val="bottom"/>
            <w:gridSpan w:val="2"/>
            <w:shd w:val="clear" w:color="auto" w:fill="EAF9E8"/>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41,911</w:t>
            </w:r>
          </w:p>
        </w:tc>
        <w:tc>
          <w:tcPr>
            <w:tcW w:w="280" w:type="dxa"/>
            <w:vAlign w:val="bottom"/>
            <w:vMerge w:val="continue"/>
            <w:shd w:val="clear" w:color="auto" w:fill="EAF9E8"/>
          </w:tcPr>
          <w:p>
            <w:pPr>
              <w:spacing w:after="0"/>
              <w:rPr>
                <w:sz w:val="12"/>
                <w:szCs w:val="12"/>
                <w:color w:val="auto"/>
              </w:rPr>
            </w:pPr>
          </w:p>
        </w:tc>
        <w:tc>
          <w:tcPr>
            <w:tcW w:w="260" w:type="dxa"/>
            <w:vAlign w:val="bottom"/>
            <w:gridSpan w:val="2"/>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1,215,692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Ronald M. Faris</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2008</w:t>
            </w:r>
          </w:p>
        </w:tc>
        <w:tc>
          <w:tcPr>
            <w:tcW w:w="4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427,229</w:t>
            </w:r>
          </w:p>
        </w:tc>
        <w:tc>
          <w:tcPr>
            <w:tcW w:w="42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84,212</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284,477</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827,242</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4,500</w:t>
            </w:r>
          </w:p>
        </w:tc>
        <w:tc>
          <w:tcPr>
            <w:tcW w:w="280" w:type="dxa"/>
            <w:vAlign w:val="bottom"/>
          </w:tcPr>
          <w:p>
            <w:pPr>
              <w:spacing w:after="0"/>
              <w:rPr>
                <w:sz w:val="24"/>
                <w:szCs w:val="24"/>
                <w:color w:val="auto"/>
              </w:rPr>
            </w:pPr>
          </w:p>
        </w:tc>
        <w:tc>
          <w:tcPr>
            <w:tcW w:w="26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1,627,660</w:t>
            </w:r>
          </w:p>
        </w:tc>
        <w:tc>
          <w:tcPr>
            <w:tcW w:w="0" w:type="dxa"/>
            <w:vAlign w:val="bottom"/>
          </w:tcPr>
          <w:p>
            <w:pPr>
              <w:spacing w:after="0"/>
              <w:rPr>
                <w:sz w:val="1"/>
                <w:szCs w:val="1"/>
                <w:color w:val="auto"/>
              </w:rPr>
            </w:pPr>
          </w:p>
        </w:tc>
      </w:tr>
      <w:tr>
        <w:trPr>
          <w:trHeight w:val="149"/>
        </w:trPr>
        <w:tc>
          <w:tcPr>
            <w:tcW w:w="1720" w:type="dxa"/>
            <w:vAlign w:val="bottom"/>
            <w:gridSpan w:val="2"/>
          </w:tcPr>
          <w:p>
            <w:pPr>
              <w:spacing w:after="0" w:line="149" w:lineRule="exact"/>
              <w:rPr>
                <w:sz w:val="20"/>
                <w:szCs w:val="20"/>
                <w:color w:val="auto"/>
              </w:rPr>
            </w:pPr>
            <w:r>
              <w:rPr>
                <w:rFonts w:ascii="Arial" w:cs="Arial" w:eastAsia="Arial" w:hAnsi="Arial"/>
                <w:sz w:val="14"/>
                <w:szCs w:val="14"/>
                <w:color w:val="auto"/>
              </w:rPr>
              <w:t>President</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2007</w:t>
            </w:r>
          </w:p>
        </w:tc>
        <w:tc>
          <w:tcPr>
            <w:tcW w:w="4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380,440</w:t>
            </w:r>
          </w:p>
        </w:tc>
        <w:tc>
          <w:tcPr>
            <w:tcW w:w="4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208,627</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372,284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622,066</w:t>
            </w:r>
          </w:p>
        </w:tc>
        <w:tc>
          <w:tcPr>
            <w:tcW w:w="3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4,500</w:t>
            </w:r>
          </w:p>
        </w:tc>
        <w:tc>
          <w:tcPr>
            <w:tcW w:w="280" w:type="dxa"/>
            <w:vAlign w:val="bottom"/>
          </w:tcPr>
          <w:p>
            <w:pPr>
              <w:spacing w:after="0"/>
              <w:rPr>
                <w:sz w:val="12"/>
                <w:szCs w:val="12"/>
                <w:color w:val="auto"/>
              </w:rPr>
            </w:pPr>
          </w:p>
        </w:tc>
        <w:tc>
          <w:tcPr>
            <w:tcW w:w="26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1,587,917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2006</w:t>
            </w:r>
          </w:p>
        </w:tc>
        <w:tc>
          <w:tcPr>
            <w:tcW w:w="4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367,882</w:t>
            </w:r>
          </w:p>
        </w:tc>
        <w:tc>
          <w:tcPr>
            <w:tcW w:w="42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87,697</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188,610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413,842</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4,400</w:t>
            </w:r>
          </w:p>
        </w:tc>
        <w:tc>
          <w:tcPr>
            <w:tcW w:w="280" w:type="dxa"/>
            <w:vAlign w:val="bottom"/>
          </w:tcPr>
          <w:p>
            <w:pPr>
              <w:spacing w:after="0"/>
              <w:rPr>
                <w:sz w:val="14"/>
                <w:szCs w:val="14"/>
                <w:color w:val="auto"/>
              </w:rPr>
            </w:pPr>
          </w:p>
        </w:tc>
        <w:tc>
          <w:tcPr>
            <w:tcW w:w="26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1,062,431</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170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40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0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David J. Gunter</w:t>
            </w: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ind w:left="100"/>
              <w:spacing w:after="0" w:line="149" w:lineRule="exact"/>
              <w:rPr>
                <w:sz w:val="20"/>
                <w:szCs w:val="20"/>
                <w:color w:val="auto"/>
              </w:rPr>
            </w:pPr>
            <w:r>
              <w:rPr>
                <w:rFonts w:ascii="Arial" w:cs="Arial" w:eastAsia="Arial" w:hAnsi="Arial"/>
                <w:sz w:val="14"/>
                <w:szCs w:val="14"/>
                <w:color w:val="auto"/>
              </w:rPr>
              <w:t>2008</w:t>
            </w:r>
          </w:p>
        </w:tc>
        <w:tc>
          <w:tcPr>
            <w:tcW w:w="400" w:type="dxa"/>
            <w:vAlign w:val="bottom"/>
            <w:gridSpan w:val="2"/>
            <w:shd w:val="clear" w:color="auto" w:fill="EAF9E8"/>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366,750</w:t>
            </w:r>
          </w:p>
        </w:tc>
        <w:tc>
          <w:tcPr>
            <w:tcW w:w="420" w:type="dxa"/>
            <w:vAlign w:val="bottom"/>
            <w:gridSpan w:val="2"/>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14,392</w:t>
            </w: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56,713</w:t>
            </w:r>
          </w:p>
        </w:tc>
        <w:tc>
          <w:tcPr>
            <w:tcW w:w="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220" w:type="dxa"/>
            <w:vAlign w:val="bottom"/>
            <w:gridSpan w:val="2"/>
            <w:shd w:val="clear" w:color="auto" w:fill="EAF9E8"/>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643,950</w:t>
            </w:r>
          </w:p>
        </w:tc>
        <w:tc>
          <w:tcPr>
            <w:tcW w:w="340" w:type="dxa"/>
            <w:vAlign w:val="bottom"/>
            <w:gridSpan w:val="2"/>
            <w:shd w:val="clear" w:color="auto" w:fill="EAF9E8"/>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4,500</w:t>
            </w:r>
          </w:p>
        </w:tc>
        <w:tc>
          <w:tcPr>
            <w:tcW w:w="280" w:type="dxa"/>
            <w:vAlign w:val="bottom"/>
            <w:shd w:val="clear" w:color="auto" w:fill="EAF9E8"/>
          </w:tcPr>
          <w:p>
            <w:pPr>
              <w:spacing w:after="0"/>
              <w:rPr>
                <w:sz w:val="12"/>
                <w:szCs w:val="12"/>
                <w:color w:val="auto"/>
              </w:rPr>
            </w:pPr>
          </w:p>
        </w:tc>
        <w:tc>
          <w:tcPr>
            <w:tcW w:w="260" w:type="dxa"/>
            <w:vAlign w:val="bottom"/>
            <w:gridSpan w:val="2"/>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1,086,305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Executive Vice President,</w:t>
            </w: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ind w:left="100"/>
              <w:spacing w:after="0" w:line="149" w:lineRule="exact"/>
              <w:rPr>
                <w:sz w:val="20"/>
                <w:szCs w:val="20"/>
                <w:color w:val="auto"/>
              </w:rPr>
            </w:pPr>
            <w:r>
              <w:rPr>
                <w:rFonts w:ascii="Arial" w:cs="Arial" w:eastAsia="Arial" w:hAnsi="Arial"/>
                <w:sz w:val="14"/>
                <w:szCs w:val="14"/>
                <w:color w:val="auto"/>
              </w:rPr>
              <w:t>2007</w:t>
            </w:r>
          </w:p>
        </w:tc>
        <w:tc>
          <w:tcPr>
            <w:tcW w:w="400" w:type="dxa"/>
            <w:vAlign w:val="bottom"/>
            <w:gridSpan w:val="2"/>
            <w:shd w:val="clear" w:color="auto" w:fill="EAF9E8"/>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308,653</w:t>
            </w:r>
          </w:p>
        </w:tc>
        <w:tc>
          <w:tcPr>
            <w:tcW w:w="420" w:type="dxa"/>
            <w:vAlign w:val="bottom"/>
            <w:gridSpan w:val="2"/>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27,419</w:t>
            </w: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42,144</w:t>
            </w:r>
          </w:p>
        </w:tc>
        <w:tc>
          <w:tcPr>
            <w:tcW w:w="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220" w:type="dxa"/>
            <w:vAlign w:val="bottom"/>
            <w:gridSpan w:val="2"/>
            <w:shd w:val="clear" w:color="auto" w:fill="EAF9E8"/>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219,157</w:t>
            </w:r>
          </w:p>
        </w:tc>
        <w:tc>
          <w:tcPr>
            <w:tcW w:w="2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spacing w:after="0"/>
              <w:rPr>
                <w:sz w:val="12"/>
                <w:szCs w:val="12"/>
                <w:color w:val="auto"/>
              </w:rPr>
            </w:pPr>
          </w:p>
        </w:tc>
        <w:tc>
          <w:tcPr>
            <w:tcW w:w="260" w:type="dxa"/>
            <w:vAlign w:val="bottom"/>
            <w:gridSpan w:val="2"/>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597,373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Chief Financial Officer</w:t>
            </w: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ind w:left="100"/>
              <w:spacing w:after="0" w:line="149" w:lineRule="exact"/>
              <w:rPr>
                <w:sz w:val="20"/>
                <w:szCs w:val="20"/>
                <w:color w:val="auto"/>
              </w:rPr>
            </w:pPr>
            <w:r>
              <w:rPr>
                <w:rFonts w:ascii="Arial" w:cs="Arial" w:eastAsia="Arial" w:hAnsi="Arial"/>
                <w:sz w:val="14"/>
                <w:szCs w:val="14"/>
                <w:color w:val="auto"/>
              </w:rPr>
              <w:t>2006</w:t>
            </w:r>
          </w:p>
        </w:tc>
        <w:tc>
          <w:tcPr>
            <w:tcW w:w="400" w:type="dxa"/>
            <w:vAlign w:val="bottom"/>
            <w:gridSpan w:val="2"/>
            <w:shd w:val="clear" w:color="auto" w:fill="EAF9E8"/>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201,923</w:t>
            </w:r>
          </w:p>
        </w:tc>
        <w:tc>
          <w:tcPr>
            <w:tcW w:w="2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4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120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220" w:type="dxa"/>
            <w:vAlign w:val="bottom"/>
            <w:gridSpan w:val="2"/>
            <w:shd w:val="clear" w:color="auto" w:fill="EAF9E8"/>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82,226</w:t>
            </w:r>
          </w:p>
        </w:tc>
        <w:tc>
          <w:tcPr>
            <w:tcW w:w="2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spacing w:after="0"/>
              <w:rPr>
                <w:sz w:val="12"/>
                <w:szCs w:val="12"/>
                <w:color w:val="auto"/>
              </w:rPr>
            </w:pPr>
          </w:p>
        </w:tc>
        <w:tc>
          <w:tcPr>
            <w:tcW w:w="260" w:type="dxa"/>
            <w:vAlign w:val="bottom"/>
            <w:gridSpan w:val="2"/>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284,149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5"/>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Paul A. Koches </w:t>
            </w:r>
            <w:r>
              <w:rPr>
                <w:rFonts w:ascii="Arial" w:cs="Arial" w:eastAsia="Arial" w:hAnsi="Arial"/>
                <w:sz w:val="22"/>
                <w:szCs w:val="22"/>
                <w:color w:val="auto"/>
                <w:vertAlign w:val="superscript"/>
              </w:rPr>
              <w:t>(8)</w:t>
            </w:r>
          </w:p>
        </w:tc>
        <w:tc>
          <w:tcPr>
            <w:tcW w:w="580" w:type="dxa"/>
            <w:vAlign w:val="bottom"/>
            <w:gridSpan w:val="2"/>
            <w:vMerge w:val="restart"/>
          </w:tcPr>
          <w:p>
            <w:pPr>
              <w:ind w:left="220"/>
              <w:spacing w:after="0"/>
              <w:rPr>
                <w:sz w:val="20"/>
                <w:szCs w:val="20"/>
                <w:color w:val="auto"/>
              </w:rPr>
            </w:pPr>
            <w:r>
              <w:rPr>
                <w:rFonts w:ascii="Arial" w:cs="Arial" w:eastAsia="Arial" w:hAnsi="Arial"/>
                <w:sz w:val="14"/>
                <w:szCs w:val="14"/>
                <w:color w:val="auto"/>
              </w:rPr>
              <w:t>2008</w:t>
            </w:r>
          </w:p>
        </w:tc>
        <w:tc>
          <w:tcPr>
            <w:tcW w:w="400" w:type="dxa"/>
            <w:vAlign w:val="bottom"/>
            <w:gridSpan w:val="2"/>
            <w:vMerge w:val="restart"/>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327,923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34,587</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429,518</w:t>
            </w:r>
          </w:p>
        </w:tc>
        <w:tc>
          <w:tcPr>
            <w:tcW w:w="34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4,500</w:t>
            </w:r>
          </w:p>
        </w:tc>
        <w:tc>
          <w:tcPr>
            <w:tcW w:w="280" w:type="dxa"/>
            <w:vAlign w:val="bottom"/>
          </w:tcPr>
          <w:p>
            <w:pPr>
              <w:spacing w:after="0"/>
              <w:rPr>
                <w:sz w:val="24"/>
                <w:szCs w:val="24"/>
                <w:color w:val="auto"/>
              </w:rPr>
            </w:pPr>
          </w:p>
        </w:tc>
        <w:tc>
          <w:tcPr>
            <w:tcW w:w="260" w:type="dxa"/>
            <w:vAlign w:val="bottom"/>
            <w:gridSpan w:val="2"/>
            <w:vMerge w:val="restart"/>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796,528</w:t>
            </w:r>
          </w:p>
        </w:tc>
        <w:tc>
          <w:tcPr>
            <w:tcW w:w="0" w:type="dxa"/>
            <w:vAlign w:val="bottom"/>
          </w:tcPr>
          <w:p>
            <w:pPr>
              <w:spacing w:after="0"/>
              <w:rPr>
                <w:sz w:val="1"/>
                <w:szCs w:val="1"/>
                <w:color w:val="auto"/>
              </w:rPr>
            </w:pPr>
          </w:p>
        </w:tc>
      </w:tr>
      <w:tr>
        <w:trPr>
          <w:trHeight w:val="78"/>
        </w:trPr>
        <w:tc>
          <w:tcPr>
            <w:tcW w:w="1720" w:type="dxa"/>
            <w:vAlign w:val="bottom"/>
            <w:gridSpan w:val="2"/>
            <w:vMerge w:val="restart"/>
          </w:tcPr>
          <w:p>
            <w:pPr>
              <w:spacing w:after="0"/>
              <w:rPr>
                <w:sz w:val="20"/>
                <w:szCs w:val="20"/>
                <w:color w:val="auto"/>
              </w:rPr>
            </w:pPr>
            <w:r>
              <w:rPr>
                <w:rFonts w:ascii="Arial" w:cs="Arial" w:eastAsia="Arial" w:hAnsi="Arial"/>
                <w:sz w:val="14"/>
                <w:szCs w:val="14"/>
                <w:color w:val="auto"/>
                <w:w w:val="93"/>
              </w:rPr>
              <w:t>Executive Vice President and</w:t>
            </w:r>
          </w:p>
        </w:tc>
        <w:tc>
          <w:tcPr>
            <w:tcW w:w="580" w:type="dxa"/>
            <w:vAlign w:val="bottom"/>
            <w:gridSpan w:val="2"/>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80" w:type="dxa"/>
            <w:vAlign w:val="bottom"/>
            <w:vMerge w:val="restart"/>
          </w:tcPr>
          <w:p>
            <w:pPr>
              <w:ind w:left="40"/>
              <w:spacing w:after="0"/>
              <w:rPr>
                <w:sz w:val="20"/>
                <w:szCs w:val="20"/>
                <w:color w:val="auto"/>
              </w:rPr>
            </w:pPr>
            <w:r>
              <w:rPr>
                <w:rFonts w:ascii="Arial" w:cs="Arial" w:eastAsia="Arial" w:hAnsi="Arial"/>
                <w:sz w:val="11"/>
                <w:szCs w:val="11"/>
                <w:color w:val="auto"/>
              </w:rPr>
              <w:t>(9)</w:t>
            </w:r>
          </w:p>
        </w:tc>
        <w:tc>
          <w:tcPr>
            <w:tcW w:w="2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720" w:type="dxa"/>
            <w:vAlign w:val="bottom"/>
            <w:gridSpan w:val="2"/>
            <w:vMerge w:val="continue"/>
          </w:tcPr>
          <w:p>
            <w:pPr>
              <w:spacing w:after="0"/>
              <w:rPr>
                <w:sz w:val="11"/>
                <w:szCs w:val="11"/>
                <w:color w:val="auto"/>
              </w:rPr>
            </w:pPr>
          </w:p>
        </w:tc>
        <w:tc>
          <w:tcPr>
            <w:tcW w:w="58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2007</w:t>
            </w:r>
          </w:p>
        </w:tc>
        <w:tc>
          <w:tcPr>
            <w:tcW w:w="400" w:type="dxa"/>
            <w:vAlign w:val="bottom"/>
            <w:gridSpan w:val="2"/>
          </w:tcPr>
          <w:p>
            <w:pPr>
              <w:jc w:val="right"/>
              <w:ind w:right="49"/>
              <w:spacing w:after="0" w:line="136"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36" w:lineRule="exact"/>
              <w:rPr>
                <w:sz w:val="20"/>
                <w:szCs w:val="20"/>
                <w:color w:val="auto"/>
              </w:rPr>
            </w:pPr>
            <w:r>
              <w:rPr>
                <w:rFonts w:ascii="Arial" w:cs="Arial" w:eastAsia="Arial" w:hAnsi="Arial"/>
                <w:sz w:val="14"/>
                <w:szCs w:val="14"/>
                <w:color w:val="auto"/>
              </w:rPr>
              <w:t>300,000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right"/>
              <w:ind w:right="240"/>
              <w:spacing w:after="0" w:line="136"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200" w:type="dxa"/>
            <w:vAlign w:val="bottom"/>
            <w:gridSpan w:val="2"/>
          </w:tcPr>
          <w:p>
            <w:pPr>
              <w:jc w:val="right"/>
              <w:ind w:right="20"/>
              <w:spacing w:after="0" w:line="13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220" w:type="dxa"/>
            <w:vAlign w:val="bottom"/>
            <w:gridSpan w:val="2"/>
          </w:tcPr>
          <w:p>
            <w:pPr>
              <w:jc w:val="right"/>
              <w:ind w:right="9"/>
              <w:spacing w:after="0" w:line="136"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36" w:lineRule="exact"/>
              <w:rPr>
                <w:sz w:val="20"/>
                <w:szCs w:val="20"/>
                <w:color w:val="auto"/>
              </w:rPr>
            </w:pPr>
            <w:r>
              <w:rPr>
                <w:rFonts w:ascii="Arial" w:cs="Arial" w:eastAsia="Arial" w:hAnsi="Arial"/>
                <w:sz w:val="14"/>
                <w:szCs w:val="14"/>
                <w:color w:val="auto"/>
              </w:rPr>
              <w:t>335,045</w:t>
            </w:r>
          </w:p>
        </w:tc>
        <w:tc>
          <w:tcPr>
            <w:tcW w:w="340" w:type="dxa"/>
            <w:vAlign w:val="bottom"/>
            <w:gridSpan w:val="2"/>
          </w:tcPr>
          <w:p>
            <w:pPr>
              <w:jc w:val="right"/>
              <w:ind w:right="9"/>
              <w:spacing w:after="0" w:line="136"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36" w:lineRule="exact"/>
              <w:rPr>
                <w:sz w:val="20"/>
                <w:szCs w:val="20"/>
                <w:color w:val="auto"/>
              </w:rPr>
            </w:pPr>
            <w:r>
              <w:rPr>
                <w:rFonts w:ascii="Arial" w:cs="Arial" w:eastAsia="Arial" w:hAnsi="Arial"/>
                <w:sz w:val="14"/>
                <w:szCs w:val="14"/>
                <w:color w:val="auto"/>
              </w:rPr>
              <w:t>80,788</w:t>
            </w:r>
          </w:p>
        </w:tc>
        <w:tc>
          <w:tcPr>
            <w:tcW w:w="280" w:type="dxa"/>
            <w:vAlign w:val="bottom"/>
            <w:vMerge w:val="continue"/>
          </w:tcPr>
          <w:p>
            <w:pPr>
              <w:spacing w:after="0"/>
              <w:rPr>
                <w:sz w:val="11"/>
                <w:szCs w:val="11"/>
                <w:color w:val="auto"/>
              </w:rPr>
            </w:pPr>
          </w:p>
        </w:tc>
        <w:tc>
          <w:tcPr>
            <w:tcW w:w="260" w:type="dxa"/>
            <w:vAlign w:val="bottom"/>
            <w:gridSpan w:val="2"/>
          </w:tcPr>
          <w:p>
            <w:pPr>
              <w:jc w:val="right"/>
              <w:ind w:right="52"/>
              <w:spacing w:after="0" w:line="136"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4"/>
                <w:szCs w:val="14"/>
                <w:color w:val="auto"/>
              </w:rPr>
              <w:t>715,833</w:t>
            </w:r>
          </w:p>
        </w:tc>
        <w:tc>
          <w:tcPr>
            <w:tcW w:w="0" w:type="dxa"/>
            <w:vAlign w:val="bottom"/>
          </w:tcPr>
          <w:p>
            <w:pPr>
              <w:spacing w:after="0"/>
              <w:rPr>
                <w:sz w:val="1"/>
                <w:szCs w:val="1"/>
                <w:color w:val="auto"/>
              </w:rPr>
            </w:pPr>
          </w:p>
        </w:tc>
      </w:tr>
      <w:tr>
        <w:trPr>
          <w:trHeight w:val="172"/>
        </w:trPr>
        <w:tc>
          <w:tcPr>
            <w:tcW w:w="1720" w:type="dxa"/>
            <w:vAlign w:val="bottom"/>
            <w:gridSpan w:val="2"/>
          </w:tcPr>
          <w:p>
            <w:pPr>
              <w:spacing w:after="0"/>
              <w:rPr>
                <w:sz w:val="20"/>
                <w:szCs w:val="20"/>
                <w:color w:val="auto"/>
              </w:rPr>
            </w:pPr>
            <w:r>
              <w:rPr>
                <w:rFonts w:ascii="Arial" w:cs="Arial" w:eastAsia="Arial" w:hAnsi="Arial"/>
                <w:sz w:val="14"/>
                <w:szCs w:val="14"/>
                <w:color w:val="auto"/>
              </w:rPr>
              <w:t>General Counsel</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vMerge w:val="restart"/>
          </w:tcPr>
          <w:p>
            <w:pPr>
              <w:spacing w:after="0"/>
              <w:rPr>
                <w:sz w:val="21"/>
                <w:szCs w:val="21"/>
                <w:color w:val="auto"/>
              </w:rPr>
            </w:pPr>
          </w:p>
        </w:tc>
        <w:tc>
          <w:tcPr>
            <w:tcW w:w="170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40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14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0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William B. Shepro</w:t>
            </w: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ind w:left="100"/>
              <w:spacing w:after="0" w:line="149" w:lineRule="exact"/>
              <w:rPr>
                <w:sz w:val="20"/>
                <w:szCs w:val="20"/>
                <w:color w:val="auto"/>
              </w:rPr>
            </w:pPr>
            <w:r>
              <w:rPr>
                <w:rFonts w:ascii="Arial" w:cs="Arial" w:eastAsia="Arial" w:hAnsi="Arial"/>
                <w:sz w:val="14"/>
                <w:szCs w:val="14"/>
                <w:color w:val="auto"/>
              </w:rPr>
              <w:t>2008</w:t>
            </w:r>
          </w:p>
        </w:tc>
        <w:tc>
          <w:tcPr>
            <w:tcW w:w="400" w:type="dxa"/>
            <w:vAlign w:val="bottom"/>
            <w:gridSpan w:val="2"/>
            <w:shd w:val="clear" w:color="auto" w:fill="EAF9E8"/>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300,488</w:t>
            </w:r>
          </w:p>
        </w:tc>
        <w:tc>
          <w:tcPr>
            <w:tcW w:w="420" w:type="dxa"/>
            <w:vAlign w:val="bottom"/>
            <w:gridSpan w:val="2"/>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32,281</w:t>
            </w: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162,993</w:t>
            </w:r>
          </w:p>
        </w:tc>
        <w:tc>
          <w:tcPr>
            <w:tcW w:w="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220" w:type="dxa"/>
            <w:vAlign w:val="bottom"/>
            <w:gridSpan w:val="2"/>
            <w:shd w:val="clear" w:color="auto" w:fill="EAF9E8"/>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525,971</w:t>
            </w:r>
          </w:p>
        </w:tc>
        <w:tc>
          <w:tcPr>
            <w:tcW w:w="340" w:type="dxa"/>
            <w:vAlign w:val="bottom"/>
            <w:gridSpan w:val="2"/>
            <w:shd w:val="clear" w:color="auto" w:fill="EAF9E8"/>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4,500</w:t>
            </w:r>
          </w:p>
        </w:tc>
        <w:tc>
          <w:tcPr>
            <w:tcW w:w="280" w:type="dxa"/>
            <w:vAlign w:val="bottom"/>
            <w:vMerge w:val="restart"/>
            <w:shd w:val="clear" w:color="auto" w:fill="EAF9E8"/>
          </w:tcPr>
          <w:p>
            <w:pPr>
              <w:ind w:left="40"/>
              <w:spacing w:after="0"/>
              <w:rPr>
                <w:sz w:val="20"/>
                <w:szCs w:val="20"/>
                <w:color w:val="auto"/>
              </w:rPr>
            </w:pPr>
            <w:r>
              <w:rPr>
                <w:rFonts w:ascii="Arial" w:cs="Arial" w:eastAsia="Arial" w:hAnsi="Arial"/>
                <w:sz w:val="11"/>
                <w:szCs w:val="11"/>
                <w:color w:val="auto"/>
              </w:rPr>
              <w:t>(10)</w:t>
            </w:r>
          </w:p>
        </w:tc>
        <w:tc>
          <w:tcPr>
            <w:tcW w:w="260" w:type="dxa"/>
            <w:vAlign w:val="bottom"/>
            <w:gridSpan w:val="2"/>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1,026,233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shd w:val="clear" w:color="auto" w:fill="EAF9E8"/>
          </w:tcPr>
          <w:p>
            <w:pPr>
              <w:spacing w:after="0" w:line="133" w:lineRule="exact"/>
              <w:rPr>
                <w:sz w:val="20"/>
                <w:szCs w:val="20"/>
                <w:color w:val="auto"/>
              </w:rPr>
            </w:pPr>
            <w:r>
              <w:rPr>
                <w:rFonts w:ascii="Arial" w:cs="Arial" w:eastAsia="Arial" w:hAnsi="Arial"/>
                <w:sz w:val="14"/>
                <w:szCs w:val="14"/>
                <w:color w:val="auto"/>
                <w:w w:val="89"/>
              </w:rPr>
              <w:t>President and Chief Operating</w:t>
            </w: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ind w:left="100"/>
              <w:spacing w:after="0" w:line="133" w:lineRule="exact"/>
              <w:rPr>
                <w:sz w:val="20"/>
                <w:szCs w:val="20"/>
                <w:color w:val="auto"/>
              </w:rPr>
            </w:pPr>
            <w:r>
              <w:rPr>
                <w:rFonts w:ascii="Arial" w:cs="Arial" w:eastAsia="Arial" w:hAnsi="Arial"/>
                <w:sz w:val="14"/>
                <w:szCs w:val="14"/>
                <w:color w:val="auto"/>
              </w:rPr>
              <w:t>2007</w:t>
            </w:r>
          </w:p>
        </w:tc>
        <w:tc>
          <w:tcPr>
            <w:tcW w:w="400" w:type="dxa"/>
            <w:vAlign w:val="bottom"/>
            <w:gridSpan w:val="2"/>
            <w:shd w:val="clear" w:color="auto" w:fill="EAF9E8"/>
          </w:tcPr>
          <w:p>
            <w:pPr>
              <w:jc w:val="right"/>
              <w:ind w:right="49"/>
              <w:spacing w:after="0" w:line="133" w:lineRule="exact"/>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jc w:val="right"/>
              <w:spacing w:after="0" w:line="133" w:lineRule="exact"/>
              <w:rPr>
                <w:sz w:val="20"/>
                <w:szCs w:val="20"/>
                <w:color w:val="auto"/>
              </w:rPr>
            </w:pPr>
            <w:r>
              <w:rPr>
                <w:rFonts w:ascii="Arial" w:cs="Arial" w:eastAsia="Arial" w:hAnsi="Arial"/>
                <w:sz w:val="14"/>
                <w:szCs w:val="14"/>
                <w:color w:val="auto"/>
              </w:rPr>
              <w:t>232,554</w:t>
            </w:r>
          </w:p>
        </w:tc>
        <w:tc>
          <w:tcPr>
            <w:tcW w:w="420" w:type="dxa"/>
            <w:vAlign w:val="bottom"/>
            <w:gridSpan w:val="2"/>
            <w:shd w:val="clear" w:color="auto" w:fill="EAF9E8"/>
          </w:tcPr>
          <w:p>
            <w:pPr>
              <w:jc w:val="right"/>
              <w:ind w:right="52"/>
              <w:spacing w:after="0" w:line="133"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EAF9E8"/>
          </w:tcPr>
          <w:p>
            <w:pPr>
              <w:jc w:val="right"/>
              <w:ind w:right="240"/>
              <w:spacing w:after="0" w:line="133" w:lineRule="exact"/>
              <w:rPr>
                <w:sz w:val="20"/>
                <w:szCs w:val="20"/>
                <w:color w:val="auto"/>
              </w:rPr>
            </w:pPr>
            <w:r>
              <w:rPr>
                <w:rFonts w:ascii="Arial" w:cs="Arial" w:eastAsia="Arial" w:hAnsi="Arial"/>
                <w:sz w:val="14"/>
                <w:szCs w:val="14"/>
                <w:color w:val="auto"/>
              </w:rPr>
              <w:t>96,891</w:t>
            </w: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EAF9E8"/>
          </w:tcPr>
          <w:p>
            <w:pPr>
              <w:jc w:val="right"/>
              <w:spacing w:after="0" w:line="133" w:lineRule="exact"/>
              <w:rPr>
                <w:sz w:val="20"/>
                <w:szCs w:val="20"/>
                <w:color w:val="auto"/>
              </w:rPr>
            </w:pPr>
            <w:r>
              <w:rPr>
                <w:rFonts w:ascii="Arial" w:cs="Arial" w:eastAsia="Arial" w:hAnsi="Arial"/>
                <w:sz w:val="14"/>
                <w:szCs w:val="14"/>
                <w:color w:val="auto"/>
              </w:rPr>
              <w:t>174,200</w:t>
            </w:r>
          </w:p>
        </w:tc>
        <w:tc>
          <w:tcPr>
            <w:tcW w:w="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20" w:type="dxa"/>
            <w:vAlign w:val="bottom"/>
            <w:gridSpan w:val="2"/>
            <w:shd w:val="clear" w:color="auto" w:fill="EAF9E8"/>
          </w:tcPr>
          <w:p>
            <w:pPr>
              <w:jc w:val="right"/>
              <w:ind w:right="9"/>
              <w:spacing w:after="0" w:line="133" w:lineRule="exact"/>
              <w:rPr>
                <w:sz w:val="20"/>
                <w:szCs w:val="20"/>
                <w:color w:val="auto"/>
              </w:rPr>
            </w:pPr>
            <w:r>
              <w:rPr>
                <w:rFonts w:ascii="Arial" w:cs="Arial" w:eastAsia="Arial" w:hAnsi="Arial"/>
                <w:sz w:val="14"/>
                <w:szCs w:val="14"/>
                <w:color w:val="auto"/>
              </w:rPr>
              <w:t>$</w:t>
            </w:r>
          </w:p>
        </w:tc>
        <w:tc>
          <w:tcPr>
            <w:tcW w:w="1240" w:type="dxa"/>
            <w:vAlign w:val="bottom"/>
            <w:shd w:val="clear" w:color="auto" w:fill="EAF9E8"/>
          </w:tcPr>
          <w:p>
            <w:pPr>
              <w:jc w:val="right"/>
              <w:spacing w:after="0" w:line="133" w:lineRule="exact"/>
              <w:rPr>
                <w:sz w:val="20"/>
                <w:szCs w:val="20"/>
                <w:color w:val="auto"/>
              </w:rPr>
            </w:pPr>
            <w:r>
              <w:rPr>
                <w:rFonts w:ascii="Arial" w:cs="Arial" w:eastAsia="Arial" w:hAnsi="Arial"/>
                <w:sz w:val="14"/>
                <w:szCs w:val="14"/>
                <w:color w:val="auto"/>
              </w:rPr>
              <w:t>348,850</w:t>
            </w:r>
          </w:p>
        </w:tc>
        <w:tc>
          <w:tcPr>
            <w:tcW w:w="340" w:type="dxa"/>
            <w:vAlign w:val="bottom"/>
            <w:gridSpan w:val="2"/>
            <w:shd w:val="clear" w:color="auto" w:fill="EAF9E8"/>
          </w:tcPr>
          <w:p>
            <w:pPr>
              <w:jc w:val="right"/>
              <w:ind w:right="9"/>
              <w:spacing w:after="0" w:line="133" w:lineRule="exact"/>
              <w:rPr>
                <w:sz w:val="20"/>
                <w:szCs w:val="20"/>
                <w:color w:val="auto"/>
              </w:rPr>
            </w:pPr>
            <w:r>
              <w:rPr>
                <w:rFonts w:ascii="Arial" w:cs="Arial" w:eastAsia="Arial" w:hAnsi="Arial"/>
                <w:sz w:val="14"/>
                <w:szCs w:val="14"/>
                <w:color w:val="auto"/>
              </w:rPr>
              <w:t>$</w:t>
            </w:r>
          </w:p>
        </w:tc>
        <w:tc>
          <w:tcPr>
            <w:tcW w:w="1220" w:type="dxa"/>
            <w:vAlign w:val="bottom"/>
            <w:shd w:val="clear" w:color="auto" w:fill="EAF9E8"/>
          </w:tcPr>
          <w:p>
            <w:pPr>
              <w:jc w:val="right"/>
              <w:spacing w:after="0" w:line="133" w:lineRule="exact"/>
              <w:rPr>
                <w:sz w:val="20"/>
                <w:szCs w:val="20"/>
                <w:color w:val="auto"/>
              </w:rPr>
            </w:pPr>
            <w:r>
              <w:rPr>
                <w:rFonts w:ascii="Arial" w:cs="Arial" w:eastAsia="Arial" w:hAnsi="Arial"/>
                <w:sz w:val="14"/>
                <w:szCs w:val="14"/>
                <w:color w:val="auto"/>
              </w:rPr>
              <w:t>19,494</w:t>
            </w:r>
          </w:p>
        </w:tc>
        <w:tc>
          <w:tcPr>
            <w:tcW w:w="280" w:type="dxa"/>
            <w:vAlign w:val="bottom"/>
            <w:vMerge w:val="continue"/>
            <w:shd w:val="clear" w:color="auto" w:fill="EAF9E8"/>
          </w:tcPr>
          <w:p>
            <w:pPr>
              <w:spacing w:after="0"/>
              <w:rPr>
                <w:sz w:val="11"/>
                <w:szCs w:val="11"/>
                <w:color w:val="auto"/>
              </w:rPr>
            </w:pPr>
          </w:p>
        </w:tc>
        <w:tc>
          <w:tcPr>
            <w:tcW w:w="260" w:type="dxa"/>
            <w:vAlign w:val="bottom"/>
            <w:gridSpan w:val="2"/>
            <w:shd w:val="clear" w:color="auto" w:fill="EAF9E8"/>
          </w:tcPr>
          <w:p>
            <w:pPr>
              <w:jc w:val="right"/>
              <w:ind w:right="52"/>
              <w:spacing w:after="0" w:line="133"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line="133" w:lineRule="exact"/>
              <w:rPr>
                <w:sz w:val="20"/>
                <w:szCs w:val="20"/>
                <w:color w:val="auto"/>
              </w:rPr>
            </w:pPr>
            <w:r>
              <w:rPr>
                <w:rFonts w:ascii="Arial" w:cs="Arial" w:eastAsia="Arial" w:hAnsi="Arial"/>
                <w:sz w:val="14"/>
                <w:szCs w:val="14"/>
                <w:color w:val="auto"/>
              </w:rPr>
              <w:t>871,989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700" w:type="dxa"/>
            <w:vAlign w:val="bottom"/>
            <w:shd w:val="clear" w:color="auto" w:fill="EAF9E8"/>
          </w:tcPr>
          <w:p>
            <w:pPr>
              <w:spacing w:after="0"/>
              <w:rPr>
                <w:sz w:val="20"/>
                <w:szCs w:val="20"/>
                <w:color w:val="auto"/>
              </w:rPr>
            </w:pPr>
            <w:r>
              <w:rPr>
                <w:rFonts w:ascii="Arial" w:cs="Arial" w:eastAsia="Arial" w:hAnsi="Arial"/>
                <w:sz w:val="14"/>
                <w:szCs w:val="14"/>
                <w:color w:val="auto"/>
              </w:rPr>
              <w:t>Officer of Ocwen Solutions</w:t>
            </w:r>
          </w:p>
        </w:tc>
        <w:tc>
          <w:tcPr>
            <w:tcW w:w="120" w:type="dxa"/>
            <w:vAlign w:val="bottom"/>
            <w:shd w:val="clear" w:color="auto" w:fill="EAF9E8"/>
          </w:tcPr>
          <w:p>
            <w:pPr>
              <w:spacing w:after="0"/>
              <w:rPr>
                <w:sz w:val="14"/>
                <w:szCs w:val="14"/>
                <w:color w:val="auto"/>
              </w:rPr>
            </w:pPr>
          </w:p>
        </w:tc>
        <w:tc>
          <w:tcPr>
            <w:tcW w:w="460" w:type="dxa"/>
            <w:vAlign w:val="bottom"/>
            <w:shd w:val="clear" w:color="auto" w:fill="EAF9E8"/>
          </w:tcPr>
          <w:p>
            <w:pPr>
              <w:ind w:left="100"/>
              <w:spacing w:after="0"/>
              <w:rPr>
                <w:sz w:val="20"/>
                <w:szCs w:val="20"/>
                <w:color w:val="auto"/>
              </w:rPr>
            </w:pPr>
            <w:r>
              <w:rPr>
                <w:rFonts w:ascii="Arial" w:cs="Arial" w:eastAsia="Arial" w:hAnsi="Arial"/>
                <w:sz w:val="14"/>
                <w:szCs w:val="14"/>
                <w:color w:val="auto"/>
              </w:rPr>
              <w:t>2006</w:t>
            </w:r>
          </w:p>
        </w:tc>
        <w:tc>
          <w:tcPr>
            <w:tcW w:w="400" w:type="dxa"/>
            <w:vAlign w:val="bottom"/>
            <w:gridSpan w:val="2"/>
            <w:shd w:val="clear" w:color="auto" w:fill="EAF9E8"/>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215,408</w:t>
            </w:r>
          </w:p>
        </w:tc>
        <w:tc>
          <w:tcPr>
            <w:tcW w:w="420" w:type="dxa"/>
            <w:vAlign w:val="bottom"/>
            <w:gridSpan w:val="2"/>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68,508</w:t>
            </w: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115,837</w:t>
            </w:r>
          </w:p>
        </w:tc>
        <w:tc>
          <w:tcPr>
            <w:tcW w:w="240" w:type="dxa"/>
            <w:vAlign w:val="bottom"/>
            <w:shd w:val="clear" w:color="auto" w:fill="EAF9E8"/>
          </w:tcPr>
          <w:p>
            <w:pPr>
              <w:spacing w:after="0"/>
              <w:rPr>
                <w:sz w:val="14"/>
                <w:szCs w:val="14"/>
                <w:color w:val="auto"/>
              </w:rPr>
            </w:pPr>
          </w:p>
        </w:tc>
        <w:tc>
          <w:tcPr>
            <w:tcW w:w="220" w:type="dxa"/>
            <w:vAlign w:val="bottom"/>
            <w:gridSpan w:val="2"/>
            <w:shd w:val="clear" w:color="auto" w:fill="EAF9E8"/>
          </w:tcPr>
          <w:p>
            <w:pPr>
              <w:jc w:val="right"/>
              <w:ind w:right="9"/>
              <w:spacing w:after="0"/>
              <w:rPr>
                <w:sz w:val="20"/>
                <w:szCs w:val="20"/>
                <w:color w:val="auto"/>
              </w:rPr>
            </w:pPr>
            <w:r>
              <w:rPr>
                <w:rFonts w:ascii="Arial" w:cs="Arial" w:eastAsia="Arial" w:hAnsi="Arial"/>
                <w:sz w:val="14"/>
                <w:szCs w:val="14"/>
                <w:color w:val="auto"/>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138,381</w:t>
            </w:r>
          </w:p>
        </w:tc>
        <w:tc>
          <w:tcPr>
            <w:tcW w:w="340" w:type="dxa"/>
            <w:vAlign w:val="bottom"/>
            <w:gridSpan w:val="2"/>
            <w:shd w:val="clear" w:color="auto" w:fill="EAF9E8"/>
          </w:tcPr>
          <w:p>
            <w:pPr>
              <w:jc w:val="right"/>
              <w:ind w:right="9"/>
              <w:spacing w:after="0"/>
              <w:rPr>
                <w:sz w:val="20"/>
                <w:szCs w:val="20"/>
                <w:color w:val="auto"/>
              </w:rPr>
            </w:pPr>
            <w:r>
              <w:rPr>
                <w:rFonts w:ascii="Arial" w:cs="Arial" w:eastAsia="Arial" w:hAnsi="Arial"/>
                <w:sz w:val="14"/>
                <w:szCs w:val="14"/>
                <w:color w:val="auto"/>
              </w:rPr>
              <w:t>$</w:t>
            </w:r>
          </w:p>
        </w:tc>
        <w:tc>
          <w:tcPr>
            <w:tcW w:w="12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34,025</w:t>
            </w:r>
          </w:p>
        </w:tc>
        <w:tc>
          <w:tcPr>
            <w:tcW w:w="280" w:type="dxa"/>
            <w:vAlign w:val="bottom"/>
            <w:shd w:val="clear" w:color="auto" w:fill="EAF9E8"/>
          </w:tcPr>
          <w:p>
            <w:pPr>
              <w:ind w:left="40"/>
              <w:spacing w:after="0"/>
              <w:rPr>
                <w:sz w:val="20"/>
                <w:szCs w:val="20"/>
                <w:color w:val="auto"/>
              </w:rPr>
            </w:pPr>
            <w:r>
              <w:rPr>
                <w:rFonts w:ascii="Arial" w:cs="Arial" w:eastAsia="Arial" w:hAnsi="Arial"/>
                <w:sz w:val="11"/>
                <w:szCs w:val="11"/>
                <w:color w:val="auto"/>
              </w:rPr>
              <w:t>(11)</w:t>
            </w:r>
          </w:p>
        </w:tc>
        <w:tc>
          <w:tcPr>
            <w:tcW w:w="260" w:type="dxa"/>
            <w:vAlign w:val="bottom"/>
            <w:gridSpan w:val="2"/>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572,159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Represents amounts paid in corresponding year.</w:t>
      </w:r>
    </w:p>
    <w:p>
      <w:pPr>
        <w:spacing w:after="0" w:line="151" w:lineRule="exact"/>
        <w:rPr>
          <w:rFonts w:ascii="Arial" w:cs="Arial" w:eastAsia="Arial" w:hAnsi="Arial"/>
          <w:sz w:val="22"/>
          <w:szCs w:val="22"/>
          <w:color w:val="auto"/>
          <w:vertAlign w:val="superscript"/>
        </w:rPr>
      </w:pPr>
    </w:p>
    <w:p>
      <w:pPr>
        <w:jc w:val="both"/>
        <w:ind w:left="580" w:hanging="572"/>
        <w:spacing w:after="0" w:line="214" w:lineRule="auto"/>
        <w:tabs>
          <w:tab w:leader="none" w:pos="580" w:val="left"/>
        </w:tabs>
        <w:numPr>
          <w:ilvl w:val="0"/>
          <w:numId w:val="24"/>
        </w:numPr>
        <w:rPr>
          <w:rFonts w:ascii="Arial" w:cs="Arial" w:eastAsia="Arial" w:hAnsi="Arial"/>
          <w:sz w:val="21"/>
          <w:szCs w:val="21"/>
          <w:color w:val="auto"/>
          <w:vertAlign w:val="superscript"/>
        </w:rPr>
      </w:pPr>
      <w:r>
        <w:rPr>
          <w:rFonts w:ascii="Arial" w:cs="Arial" w:eastAsia="Arial" w:hAnsi="Arial"/>
          <w:sz w:val="13"/>
          <w:szCs w:val="13"/>
          <w:color w:val="auto"/>
        </w:rPr>
        <w:t>Consists of compensation cost recognized in the financial statements with respect to the fair value of awards granted for previous fiscal years in accordance with Statement of Financial Accounting Standards No. 123(R) (“FAS 123(R)”). We recognize compensation expense relating to a stock or stock option award over the vesting period except that expense recognition does not begin until the date of grant. Because one-third of a stock award and one-fifth of a stock option award vest immediately upon grant, we recognize the related cost as expense at that time. In addition, for those who are eligible for retirement, we recognize the full fair value of the stock option award as expense on the date of grant.</w:t>
      </w:r>
    </w:p>
    <w:p>
      <w:pPr>
        <w:spacing w:after="0" w:line="127" w:lineRule="exact"/>
        <w:rPr>
          <w:rFonts w:ascii="Arial" w:cs="Arial" w:eastAsia="Arial" w:hAnsi="Arial"/>
          <w:sz w:val="21"/>
          <w:szCs w:val="21"/>
          <w:color w:val="auto"/>
          <w:vertAlign w:val="superscript"/>
        </w:rPr>
      </w:pPr>
    </w:p>
    <w:p>
      <w:pPr>
        <w:jc w:val="both"/>
        <w:ind w:left="580"/>
        <w:spacing w:after="0" w:line="233" w:lineRule="auto"/>
        <w:rPr>
          <w:rFonts w:ascii="Arial" w:cs="Arial" w:eastAsia="Arial" w:hAnsi="Arial"/>
          <w:sz w:val="21"/>
          <w:szCs w:val="21"/>
          <w:color w:val="auto"/>
          <w:vertAlign w:val="superscript"/>
        </w:rPr>
      </w:pPr>
      <w:r>
        <w:rPr>
          <w:rFonts w:ascii="Arial" w:cs="Arial" w:eastAsia="Arial" w:hAnsi="Arial"/>
          <w:sz w:val="14"/>
          <w:szCs w:val="14"/>
          <w:color w:val="auto"/>
        </w:rPr>
        <w:t>Compensation expense recognized in 2008 and 2007 includes amounts related to stock and stock option awards granted to the executive officers in the first quarter of 2007 for 2006 performance. We did not recognize any compensation expense for these awards in 2006. As a result, the value of the stock and stock option awards in the table do not reflect performance for the year indicated, and 2007 expense is comparatively higher than 2006.</w:t>
      </w:r>
    </w:p>
    <w:p>
      <w:pPr>
        <w:spacing w:after="0" w:line="152" w:lineRule="exact"/>
        <w:rPr>
          <w:rFonts w:ascii="Arial" w:cs="Arial" w:eastAsia="Arial" w:hAnsi="Arial"/>
          <w:sz w:val="21"/>
          <w:szCs w:val="21"/>
          <w:color w:val="auto"/>
          <w:vertAlign w:val="superscript"/>
        </w:rPr>
      </w:pPr>
    </w:p>
    <w:p>
      <w:pPr>
        <w:ind w:left="580" w:hanging="572"/>
        <w:spacing w:after="0" w:line="196" w:lineRule="auto"/>
        <w:tabs>
          <w:tab w:leader="none" w:pos="580" w:val="left"/>
        </w:tabs>
        <w:numPr>
          <w:ilvl w:val="0"/>
          <w:numId w:val="24"/>
        </w:numPr>
        <w:rPr>
          <w:rFonts w:ascii="Arial" w:cs="Arial" w:eastAsia="Arial" w:hAnsi="Arial"/>
          <w:sz w:val="21"/>
          <w:szCs w:val="21"/>
          <w:color w:val="auto"/>
          <w:vertAlign w:val="superscript"/>
        </w:rPr>
      </w:pPr>
      <w:r>
        <w:rPr>
          <w:rFonts w:ascii="Arial" w:cs="Arial" w:eastAsia="Arial" w:hAnsi="Arial"/>
          <w:sz w:val="13"/>
          <w:szCs w:val="13"/>
          <w:color w:val="auto"/>
        </w:rPr>
        <w:t>We based the grant date fair value of stock awards recognized as expense in 2008, 2007 and 2006 on the closing price of our common stock. We estimated the grant date fair value of stock option awards recognized as expense in 2008, 2007 and 2006 using the Black-Scholes option-pricing model and a binomial option pricing model utilizing the following assumptions:</w:t>
      </w:r>
    </w:p>
    <w:p>
      <w:pPr>
        <w:spacing w:after="0" w:line="196" w:lineRule="exact"/>
        <w:rPr>
          <w:rFonts w:ascii="Arial" w:cs="Arial" w:eastAsia="Arial" w:hAnsi="Arial"/>
          <w:sz w:val="21"/>
          <w:szCs w:val="21"/>
          <w:color w:val="auto"/>
          <w:vertAlign w:val="superscript"/>
        </w:rPr>
      </w:pPr>
    </w:p>
    <w:p>
      <w:pPr>
        <w:ind w:left="5620" w:hanging="96"/>
        <w:spacing w:after="0"/>
        <w:tabs>
          <w:tab w:leader="none" w:pos="5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center"/>
        <w:ind w:right="100"/>
        <w:spacing w:after="0"/>
        <w:rPr>
          <w:sz w:val="20"/>
          <w:szCs w:val="20"/>
          <w:color w:val="auto"/>
        </w:rPr>
      </w:pPr>
      <w:r>
        <w:rPr>
          <w:rFonts w:ascii="Arial" w:cs="Arial" w:eastAsia="Arial" w:hAnsi="Arial"/>
          <w:sz w:val="18"/>
          <w:szCs w:val="18"/>
          <w:b w:val="1"/>
          <w:bCs w:val="1"/>
          <w:color w:val="auto"/>
        </w:rPr>
        <w:t>Service Condition Awards - Black-Scholes Option Pricing Model</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Expected</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Expected</w:t>
            </w: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Expected Term</w:t>
            </w:r>
          </w:p>
        </w:tc>
        <w:tc>
          <w:tcPr>
            <w:tcW w:w="100" w:type="dxa"/>
            <w:vAlign w:val="bottom"/>
          </w:tcPr>
          <w:p>
            <w:pPr>
              <w:spacing w:after="0"/>
              <w:rPr>
                <w:sz w:val="18"/>
                <w:szCs w:val="18"/>
                <w:color w:val="auto"/>
              </w:rPr>
            </w:pPr>
          </w:p>
        </w:tc>
      </w:tr>
      <w:tr>
        <w:trPr>
          <w:trHeight w:val="216"/>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89"/>
              </w:rPr>
              <w:t>Performance</w:t>
            </w:r>
          </w:p>
        </w:tc>
        <w:tc>
          <w:tcPr>
            <w:tcW w:w="36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b w:val="1"/>
                <w:bCs w:val="1"/>
                <w:color w:val="auto"/>
              </w:rPr>
              <w:t>Volatility</w:t>
            </w:r>
          </w:p>
        </w:tc>
        <w:tc>
          <w:tcPr>
            <w:tcW w:w="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Dividend</w:t>
            </w:r>
          </w:p>
        </w:tc>
        <w:tc>
          <w:tcPr>
            <w:tcW w:w="360" w:type="dxa"/>
            <w:vAlign w:val="bottom"/>
          </w:tcPr>
          <w:p>
            <w:pPr>
              <w:spacing w:after="0"/>
              <w:rPr>
                <w:sz w:val="18"/>
                <w:szCs w:val="18"/>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rPr>
              <w:t>Exercise Price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Risk-Free Interest</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in</w:t>
            </w:r>
          </w:p>
        </w:tc>
        <w:tc>
          <w:tcPr>
            <w:tcW w:w="100" w:type="dxa"/>
            <w:vAlign w:val="bottom"/>
          </w:tcPr>
          <w:p>
            <w:pPr>
              <w:spacing w:after="0"/>
              <w:rPr>
                <w:sz w:val="18"/>
                <w:szCs w:val="18"/>
                <w:color w:val="auto"/>
              </w:rPr>
            </w:pPr>
          </w:p>
        </w:tc>
      </w:tr>
      <w:tr>
        <w:trPr>
          <w:trHeight w:val="228"/>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86"/>
              </w:rPr>
              <w:t>Year</w:t>
            </w:r>
          </w:p>
        </w:tc>
        <w:tc>
          <w:tcPr>
            <w:tcW w:w="16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Yield (%)</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433"/>
              <w:spacing w:after="0"/>
              <w:rPr>
                <w:sz w:val="20"/>
                <w:szCs w:val="20"/>
                <w:color w:val="auto"/>
              </w:rPr>
            </w:pPr>
            <w:r>
              <w:rPr>
                <w:rFonts w:ascii="Arial" w:cs="Arial" w:eastAsia="Arial" w:hAnsi="Arial"/>
                <w:sz w:val="16"/>
                <w:szCs w:val="16"/>
                <w:b w:val="1"/>
                <w:bCs w:val="1"/>
                <w:color w:val="auto"/>
                <w:w w:val="74"/>
              </w:rPr>
              <w:t>)</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4"/>
              </w:rPr>
              <w:t>Rate (%)</w:t>
            </w:r>
          </w:p>
        </w:tc>
        <w:tc>
          <w:tcPr>
            <w:tcW w:w="3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c>
          <w:tcPr>
            <w:tcW w:w="100" w:type="dxa"/>
            <w:vAlign w:val="bottom"/>
          </w:tcPr>
          <w:p>
            <w:pPr>
              <w:spacing w:after="0"/>
              <w:rPr>
                <w:sz w:val="19"/>
                <w:szCs w:val="19"/>
                <w:color w:val="auto"/>
              </w:rPr>
            </w:pPr>
          </w:p>
        </w:tc>
      </w:tr>
      <w:tr>
        <w:trPr>
          <w:trHeight w:val="245"/>
        </w:trPr>
        <w:tc>
          <w:tcPr>
            <w:tcW w:w="29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29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4"/>
              </w:rPr>
              <w:t>2002</w:t>
            </w: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jc w:val="right"/>
              <w:ind w:right="392"/>
              <w:spacing w:after="0"/>
              <w:rPr>
                <w:sz w:val="20"/>
                <w:szCs w:val="20"/>
                <w:color w:val="auto"/>
              </w:rPr>
            </w:pPr>
            <w:r>
              <w:rPr>
                <w:rFonts w:ascii="Arial" w:cs="Arial" w:eastAsia="Arial" w:hAnsi="Arial"/>
                <w:sz w:val="18"/>
                <w:szCs w:val="18"/>
                <w:color w:val="auto"/>
              </w:rPr>
              <w:t>62</w:t>
            </w: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jc w:val="center"/>
              <w:ind w:left="32"/>
              <w:spacing w:after="0"/>
              <w:rPr>
                <w:sz w:val="20"/>
                <w:szCs w:val="20"/>
                <w:color w:val="auto"/>
              </w:rPr>
            </w:pPr>
            <w:r>
              <w:rPr>
                <w:rFonts w:ascii="Arial" w:cs="Arial" w:eastAsia="Arial" w:hAnsi="Arial"/>
                <w:sz w:val="18"/>
                <w:szCs w:val="18"/>
                <w:color w:val="auto"/>
                <w:w w:val="99"/>
              </w:rPr>
              <w:t>0</w:t>
            </w:r>
          </w:p>
        </w:tc>
        <w:tc>
          <w:tcPr>
            <w:tcW w:w="360" w:type="dxa"/>
            <w:vAlign w:val="bottom"/>
            <w:shd w:val="clear" w:color="auto" w:fill="EAF9E8"/>
          </w:tcPr>
          <w:p>
            <w:pPr>
              <w:spacing w:after="0"/>
              <w:rPr>
                <w:sz w:val="18"/>
                <w:szCs w:val="18"/>
                <w:color w:val="auto"/>
              </w:rPr>
            </w:pPr>
          </w:p>
        </w:tc>
        <w:tc>
          <w:tcPr>
            <w:tcW w:w="660" w:type="dxa"/>
            <w:vAlign w:val="bottom"/>
            <w:shd w:val="clear" w:color="auto" w:fill="EAF9E8"/>
          </w:tcPr>
          <w:p>
            <w:pPr>
              <w:jc w:val="right"/>
              <w:ind w:right="49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1.87</w:t>
            </w:r>
          </w:p>
        </w:tc>
        <w:tc>
          <w:tcPr>
            <w:tcW w:w="340" w:type="dxa"/>
            <w:vAlign w:val="bottom"/>
            <w:shd w:val="clear" w:color="auto" w:fill="EAF9E8"/>
          </w:tcPr>
          <w:p>
            <w:pPr>
              <w:spacing w:after="0"/>
              <w:rPr>
                <w:sz w:val="18"/>
                <w:szCs w:val="18"/>
                <w:color w:val="auto"/>
              </w:rPr>
            </w:pPr>
          </w:p>
        </w:tc>
        <w:tc>
          <w:tcPr>
            <w:tcW w:w="15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2.73%</w:t>
            </w:r>
          </w:p>
        </w:tc>
        <w:tc>
          <w:tcPr>
            <w:tcW w:w="320" w:type="dxa"/>
            <w:vAlign w:val="bottom"/>
            <w:shd w:val="clear" w:color="auto" w:fill="EAF9E8"/>
          </w:tcPr>
          <w:p>
            <w:pPr>
              <w:spacing w:after="0"/>
              <w:rPr>
                <w:sz w:val="18"/>
                <w:szCs w:val="18"/>
                <w:color w:val="auto"/>
              </w:rPr>
            </w:pPr>
          </w:p>
        </w:tc>
        <w:tc>
          <w:tcPr>
            <w:tcW w:w="1260" w:type="dxa"/>
            <w:vAlign w:val="bottom"/>
            <w:shd w:val="clear" w:color="auto" w:fill="EAF9E8"/>
          </w:tcPr>
          <w:p>
            <w:pPr>
              <w:jc w:val="center"/>
              <w:ind w:left="12"/>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EAF9E8"/>
          </w:tcPr>
          <w:p>
            <w:pPr>
              <w:spacing w:after="0"/>
              <w:rPr>
                <w:sz w:val="18"/>
                <w:szCs w:val="18"/>
                <w:color w:val="auto"/>
              </w:rPr>
            </w:pPr>
          </w:p>
        </w:tc>
      </w:tr>
      <w:tr>
        <w:trPr>
          <w:trHeight w:val="216"/>
        </w:trPr>
        <w:tc>
          <w:tcPr>
            <w:tcW w:w="298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1620" w:type="dxa"/>
            <w:vAlign w:val="bottom"/>
            <w:gridSpan w:val="2"/>
          </w:tcPr>
          <w:p>
            <w:pPr>
              <w:jc w:val="right"/>
              <w:ind w:right="392"/>
              <w:spacing w:after="0"/>
              <w:rPr>
                <w:sz w:val="20"/>
                <w:szCs w:val="20"/>
                <w:color w:val="auto"/>
              </w:rPr>
            </w:pPr>
            <w:r>
              <w:rPr>
                <w:rFonts w:ascii="Arial" w:cs="Arial" w:eastAsia="Arial" w:hAnsi="Arial"/>
                <w:sz w:val="18"/>
                <w:szCs w:val="18"/>
                <w:color w:val="auto"/>
              </w:rPr>
              <w:t>48</w:t>
            </w:r>
          </w:p>
        </w:tc>
        <w:tc>
          <w:tcPr>
            <w:tcW w:w="1620" w:type="dxa"/>
            <w:vAlign w:val="bottom"/>
            <w:gridSpan w:val="2"/>
          </w:tcPr>
          <w:p>
            <w:pPr>
              <w:jc w:val="center"/>
              <w:ind w:left="392"/>
              <w:spacing w:after="0"/>
              <w:rPr>
                <w:sz w:val="20"/>
                <w:szCs w:val="20"/>
                <w:color w:val="auto"/>
              </w:rPr>
            </w:pPr>
            <w:r>
              <w:rPr>
                <w:rFonts w:ascii="Arial" w:cs="Arial" w:eastAsia="Arial" w:hAnsi="Arial"/>
                <w:sz w:val="18"/>
                <w:szCs w:val="18"/>
                <w:color w:val="auto"/>
                <w:w w:val="99"/>
              </w:rPr>
              <w:t>0</w:t>
            </w:r>
          </w:p>
        </w:tc>
        <w:tc>
          <w:tcPr>
            <w:tcW w:w="1020" w:type="dxa"/>
            <w:vAlign w:val="bottom"/>
            <w:gridSpan w:val="2"/>
          </w:tcPr>
          <w:p>
            <w:pPr>
              <w:jc w:val="right"/>
              <w:ind w:right="49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6.18</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3.25%</w:t>
            </w:r>
          </w:p>
        </w:tc>
        <w:tc>
          <w:tcPr>
            <w:tcW w:w="1580" w:type="dxa"/>
            <w:vAlign w:val="bottom"/>
            <w:gridSpan w:val="2"/>
          </w:tcPr>
          <w:p>
            <w:pPr>
              <w:jc w:val="center"/>
              <w:ind w:left="332"/>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8"/>
                <w:szCs w:val="18"/>
                <w:color w:val="auto"/>
              </w:rPr>
            </w:pPr>
          </w:p>
        </w:tc>
      </w:tr>
      <w:tr>
        <w:trPr>
          <w:trHeight w:val="216"/>
        </w:trPr>
        <w:tc>
          <w:tcPr>
            <w:tcW w:w="29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4"/>
              </w:rPr>
              <w:t>2004</w:t>
            </w:r>
          </w:p>
        </w:tc>
        <w:tc>
          <w:tcPr>
            <w:tcW w:w="1620" w:type="dxa"/>
            <w:vAlign w:val="bottom"/>
            <w:gridSpan w:val="2"/>
            <w:shd w:val="clear" w:color="auto" w:fill="EAF9E8"/>
          </w:tcPr>
          <w:p>
            <w:pPr>
              <w:jc w:val="right"/>
              <w:ind w:right="392"/>
              <w:spacing w:after="0"/>
              <w:rPr>
                <w:sz w:val="20"/>
                <w:szCs w:val="20"/>
                <w:color w:val="auto"/>
              </w:rPr>
            </w:pPr>
            <w:r>
              <w:rPr>
                <w:rFonts w:ascii="Arial" w:cs="Arial" w:eastAsia="Arial" w:hAnsi="Arial"/>
                <w:sz w:val="18"/>
                <w:szCs w:val="18"/>
                <w:color w:val="auto"/>
              </w:rPr>
              <w:t>43</w:t>
            </w:r>
          </w:p>
        </w:tc>
        <w:tc>
          <w:tcPr>
            <w:tcW w:w="1620" w:type="dxa"/>
            <w:vAlign w:val="bottom"/>
            <w:gridSpan w:val="2"/>
            <w:shd w:val="clear" w:color="auto" w:fill="EAF9E8"/>
          </w:tcPr>
          <w:p>
            <w:pPr>
              <w:jc w:val="center"/>
              <w:ind w:left="392"/>
              <w:spacing w:after="0"/>
              <w:rPr>
                <w:sz w:val="20"/>
                <w:szCs w:val="20"/>
                <w:color w:val="auto"/>
              </w:rPr>
            </w:pPr>
            <w:r>
              <w:rPr>
                <w:rFonts w:ascii="Arial" w:cs="Arial" w:eastAsia="Arial" w:hAnsi="Arial"/>
                <w:sz w:val="18"/>
                <w:szCs w:val="18"/>
                <w:color w:val="auto"/>
                <w:w w:val="99"/>
              </w:rPr>
              <w:t>0</w:t>
            </w:r>
          </w:p>
        </w:tc>
        <w:tc>
          <w:tcPr>
            <w:tcW w:w="1020" w:type="dxa"/>
            <w:vAlign w:val="bottom"/>
            <w:gridSpan w:val="2"/>
            <w:shd w:val="clear" w:color="auto" w:fill="EAF9E8"/>
          </w:tcPr>
          <w:p>
            <w:pPr>
              <w:jc w:val="right"/>
              <w:ind w:right="498"/>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6.57</w:t>
            </w:r>
          </w:p>
        </w:tc>
        <w:tc>
          <w:tcPr>
            <w:tcW w:w="340" w:type="dxa"/>
            <w:vAlign w:val="bottom"/>
            <w:shd w:val="clear" w:color="auto" w:fill="EAF9E8"/>
          </w:tcPr>
          <w:p>
            <w:pPr>
              <w:spacing w:after="0"/>
              <w:rPr>
                <w:sz w:val="18"/>
                <w:szCs w:val="18"/>
                <w:color w:val="auto"/>
              </w:rPr>
            </w:pPr>
          </w:p>
        </w:tc>
        <w:tc>
          <w:tcPr>
            <w:tcW w:w="15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3.61%</w:t>
            </w:r>
          </w:p>
        </w:tc>
        <w:tc>
          <w:tcPr>
            <w:tcW w:w="1580" w:type="dxa"/>
            <w:vAlign w:val="bottom"/>
            <w:gridSpan w:val="2"/>
            <w:shd w:val="clear" w:color="auto" w:fill="EAF9E8"/>
          </w:tcPr>
          <w:p>
            <w:pPr>
              <w:jc w:val="center"/>
              <w:ind w:left="332"/>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EAF9E8"/>
          </w:tcPr>
          <w:p>
            <w:pPr>
              <w:spacing w:after="0"/>
              <w:rPr>
                <w:sz w:val="18"/>
                <w:szCs w:val="18"/>
                <w:color w:val="auto"/>
              </w:rPr>
            </w:pPr>
          </w:p>
        </w:tc>
      </w:tr>
      <w:tr>
        <w:trPr>
          <w:trHeight w:val="216"/>
        </w:trPr>
        <w:tc>
          <w:tcPr>
            <w:tcW w:w="2980" w:type="dxa"/>
            <w:vAlign w:val="bottom"/>
          </w:tcPr>
          <w:p>
            <w:pPr>
              <w:jc w:val="center"/>
              <w:spacing w:after="0"/>
              <w:rPr>
                <w:sz w:val="20"/>
                <w:szCs w:val="20"/>
                <w:color w:val="auto"/>
              </w:rPr>
            </w:pPr>
            <w:r>
              <w:rPr>
                <w:rFonts w:ascii="Arial" w:cs="Arial" w:eastAsia="Arial" w:hAnsi="Arial"/>
                <w:sz w:val="18"/>
                <w:szCs w:val="18"/>
                <w:color w:val="auto"/>
                <w:w w:val="84"/>
              </w:rPr>
              <w:t>2005</w:t>
            </w:r>
          </w:p>
        </w:tc>
        <w:tc>
          <w:tcPr>
            <w:tcW w:w="1620" w:type="dxa"/>
            <w:vAlign w:val="bottom"/>
            <w:gridSpan w:val="2"/>
          </w:tcPr>
          <w:p>
            <w:pPr>
              <w:jc w:val="right"/>
              <w:ind w:right="392"/>
              <w:spacing w:after="0"/>
              <w:rPr>
                <w:sz w:val="20"/>
                <w:szCs w:val="20"/>
                <w:color w:val="auto"/>
              </w:rPr>
            </w:pPr>
            <w:r>
              <w:rPr>
                <w:rFonts w:ascii="Arial" w:cs="Arial" w:eastAsia="Arial" w:hAnsi="Arial"/>
                <w:sz w:val="18"/>
                <w:szCs w:val="18"/>
                <w:color w:val="auto"/>
              </w:rPr>
              <w:t>36</w:t>
            </w:r>
          </w:p>
        </w:tc>
        <w:tc>
          <w:tcPr>
            <w:tcW w:w="1620" w:type="dxa"/>
            <w:vAlign w:val="bottom"/>
            <w:gridSpan w:val="2"/>
          </w:tcPr>
          <w:p>
            <w:pPr>
              <w:jc w:val="center"/>
              <w:ind w:left="392"/>
              <w:spacing w:after="0"/>
              <w:rPr>
                <w:sz w:val="20"/>
                <w:szCs w:val="20"/>
                <w:color w:val="auto"/>
              </w:rPr>
            </w:pPr>
            <w:r>
              <w:rPr>
                <w:rFonts w:ascii="Arial" w:cs="Arial" w:eastAsia="Arial" w:hAnsi="Arial"/>
                <w:sz w:val="18"/>
                <w:szCs w:val="18"/>
                <w:color w:val="auto"/>
                <w:w w:val="99"/>
              </w:rPr>
              <w:t>0</w:t>
            </w:r>
          </w:p>
        </w:tc>
        <w:tc>
          <w:tcPr>
            <w:tcW w:w="1020" w:type="dxa"/>
            <w:vAlign w:val="bottom"/>
            <w:gridSpan w:val="2"/>
          </w:tcPr>
          <w:p>
            <w:pPr>
              <w:jc w:val="right"/>
              <w:ind w:right="49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6.10</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4.35%</w:t>
            </w:r>
          </w:p>
        </w:tc>
        <w:tc>
          <w:tcPr>
            <w:tcW w:w="1580" w:type="dxa"/>
            <w:vAlign w:val="bottom"/>
            <w:gridSpan w:val="2"/>
          </w:tcPr>
          <w:p>
            <w:pPr>
              <w:jc w:val="center"/>
              <w:ind w:left="332"/>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8"/>
                <w:szCs w:val="18"/>
                <w:color w:val="auto"/>
              </w:rPr>
            </w:pPr>
          </w:p>
        </w:tc>
      </w:tr>
      <w:tr>
        <w:trPr>
          <w:trHeight w:val="216"/>
        </w:trPr>
        <w:tc>
          <w:tcPr>
            <w:tcW w:w="29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4"/>
              </w:rPr>
              <w:t>2006</w:t>
            </w:r>
          </w:p>
        </w:tc>
        <w:tc>
          <w:tcPr>
            <w:tcW w:w="1620" w:type="dxa"/>
            <w:vAlign w:val="bottom"/>
            <w:gridSpan w:val="2"/>
            <w:shd w:val="clear" w:color="auto" w:fill="EAF9E8"/>
          </w:tcPr>
          <w:p>
            <w:pPr>
              <w:jc w:val="right"/>
              <w:ind w:right="392"/>
              <w:spacing w:after="0"/>
              <w:rPr>
                <w:sz w:val="20"/>
                <w:szCs w:val="20"/>
                <w:color w:val="auto"/>
              </w:rPr>
            </w:pPr>
            <w:r>
              <w:rPr>
                <w:rFonts w:ascii="Arial" w:cs="Arial" w:eastAsia="Arial" w:hAnsi="Arial"/>
                <w:sz w:val="18"/>
                <w:szCs w:val="18"/>
                <w:color w:val="auto"/>
              </w:rPr>
              <w:t>33</w:t>
            </w:r>
          </w:p>
        </w:tc>
        <w:tc>
          <w:tcPr>
            <w:tcW w:w="1620" w:type="dxa"/>
            <w:vAlign w:val="bottom"/>
            <w:gridSpan w:val="2"/>
            <w:shd w:val="clear" w:color="auto" w:fill="EAF9E8"/>
          </w:tcPr>
          <w:p>
            <w:pPr>
              <w:jc w:val="center"/>
              <w:ind w:left="392"/>
              <w:spacing w:after="0"/>
              <w:rPr>
                <w:sz w:val="20"/>
                <w:szCs w:val="20"/>
                <w:color w:val="auto"/>
              </w:rPr>
            </w:pPr>
            <w:r>
              <w:rPr>
                <w:rFonts w:ascii="Arial" w:cs="Arial" w:eastAsia="Arial" w:hAnsi="Arial"/>
                <w:sz w:val="18"/>
                <w:szCs w:val="18"/>
                <w:color w:val="auto"/>
                <w:w w:val="99"/>
              </w:rPr>
              <w:t>0</w:t>
            </w:r>
          </w:p>
        </w:tc>
        <w:tc>
          <w:tcPr>
            <w:tcW w:w="1020" w:type="dxa"/>
            <w:vAlign w:val="bottom"/>
            <w:gridSpan w:val="2"/>
            <w:shd w:val="clear" w:color="auto" w:fill="EAF9E8"/>
          </w:tcPr>
          <w:p>
            <w:pPr>
              <w:jc w:val="right"/>
              <w:ind w:right="498"/>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11.88</w:t>
            </w:r>
          </w:p>
        </w:tc>
        <w:tc>
          <w:tcPr>
            <w:tcW w:w="340" w:type="dxa"/>
            <w:vAlign w:val="bottom"/>
            <w:shd w:val="clear" w:color="auto" w:fill="EAF9E8"/>
          </w:tcPr>
          <w:p>
            <w:pPr>
              <w:spacing w:after="0"/>
              <w:rPr>
                <w:sz w:val="18"/>
                <w:szCs w:val="18"/>
                <w:color w:val="auto"/>
              </w:rPr>
            </w:pPr>
          </w:p>
        </w:tc>
        <w:tc>
          <w:tcPr>
            <w:tcW w:w="15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4.78%</w:t>
            </w:r>
          </w:p>
        </w:tc>
        <w:tc>
          <w:tcPr>
            <w:tcW w:w="1580" w:type="dxa"/>
            <w:vAlign w:val="bottom"/>
            <w:gridSpan w:val="2"/>
            <w:shd w:val="clear" w:color="auto" w:fill="EAF9E8"/>
          </w:tcPr>
          <w:p>
            <w:pPr>
              <w:jc w:val="center"/>
              <w:ind w:left="332"/>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EAF9E8"/>
          </w:tcPr>
          <w:p>
            <w:pPr>
              <w:spacing w:after="0"/>
              <w:rPr>
                <w:sz w:val="18"/>
                <w:szCs w:val="18"/>
                <w:color w:val="auto"/>
              </w:rPr>
            </w:pPr>
          </w:p>
        </w:tc>
      </w:tr>
      <w:tr>
        <w:trPr>
          <w:trHeight w:val="222"/>
        </w:trPr>
        <w:tc>
          <w:tcPr>
            <w:tcW w:w="2980" w:type="dxa"/>
            <w:vAlign w:val="bottom"/>
          </w:tcPr>
          <w:p>
            <w:pPr>
              <w:jc w:val="center"/>
              <w:spacing w:after="0"/>
              <w:rPr>
                <w:sz w:val="20"/>
                <w:szCs w:val="20"/>
                <w:color w:val="auto"/>
              </w:rPr>
            </w:pPr>
            <w:r>
              <w:rPr>
                <w:rFonts w:ascii="Arial" w:cs="Arial" w:eastAsia="Arial" w:hAnsi="Arial"/>
                <w:sz w:val="18"/>
                <w:szCs w:val="18"/>
                <w:color w:val="auto"/>
                <w:w w:val="84"/>
              </w:rPr>
              <w:t>2008</w:t>
            </w:r>
          </w:p>
        </w:tc>
        <w:tc>
          <w:tcPr>
            <w:tcW w:w="1620" w:type="dxa"/>
            <w:vAlign w:val="bottom"/>
            <w:gridSpan w:val="2"/>
          </w:tcPr>
          <w:p>
            <w:pPr>
              <w:jc w:val="right"/>
              <w:ind w:right="392"/>
              <w:spacing w:after="0"/>
              <w:rPr>
                <w:sz w:val="20"/>
                <w:szCs w:val="20"/>
                <w:color w:val="auto"/>
              </w:rPr>
            </w:pPr>
            <w:r>
              <w:rPr>
                <w:rFonts w:ascii="Arial" w:cs="Arial" w:eastAsia="Arial" w:hAnsi="Arial"/>
                <w:sz w:val="18"/>
                <w:szCs w:val="18"/>
                <w:color w:val="auto"/>
              </w:rPr>
              <w:t>38</w:t>
            </w:r>
          </w:p>
        </w:tc>
        <w:tc>
          <w:tcPr>
            <w:tcW w:w="1620" w:type="dxa"/>
            <w:vAlign w:val="bottom"/>
            <w:gridSpan w:val="2"/>
          </w:tcPr>
          <w:p>
            <w:pPr>
              <w:jc w:val="center"/>
              <w:ind w:left="392"/>
              <w:spacing w:after="0"/>
              <w:rPr>
                <w:sz w:val="20"/>
                <w:szCs w:val="20"/>
                <w:color w:val="auto"/>
              </w:rPr>
            </w:pPr>
            <w:r>
              <w:rPr>
                <w:rFonts w:ascii="Arial" w:cs="Arial" w:eastAsia="Arial" w:hAnsi="Arial"/>
                <w:sz w:val="18"/>
                <w:szCs w:val="18"/>
                <w:color w:val="auto"/>
                <w:w w:val="99"/>
              </w:rPr>
              <w:t>0</w:t>
            </w:r>
          </w:p>
        </w:tc>
        <w:tc>
          <w:tcPr>
            <w:tcW w:w="1020" w:type="dxa"/>
            <w:vAlign w:val="bottom"/>
            <w:gridSpan w:val="2"/>
          </w:tcPr>
          <w:p>
            <w:pPr>
              <w:jc w:val="right"/>
              <w:ind w:right="49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3.48%</w:t>
            </w:r>
          </w:p>
        </w:tc>
        <w:tc>
          <w:tcPr>
            <w:tcW w:w="1580" w:type="dxa"/>
            <w:vAlign w:val="bottom"/>
            <w:gridSpan w:val="2"/>
          </w:tcPr>
          <w:p>
            <w:pPr>
              <w:jc w:val="center"/>
              <w:ind w:left="332"/>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9"/>
                <w:szCs w:val="19"/>
                <w:color w:val="auto"/>
              </w:rPr>
            </w:pPr>
          </w:p>
        </w:tc>
      </w:tr>
      <w:tr>
        <w:trPr>
          <w:trHeight w:val="464"/>
        </w:trPr>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2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0"/>
              </w:rPr>
              <w:t>Market Condition Awards - Binomial Option Pricing Model</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29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5"/>
        </w:trPr>
        <w:tc>
          <w:tcPr>
            <w:tcW w:w="2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192"/>
              <w:spacing w:after="0" w:line="195" w:lineRule="exact"/>
              <w:rPr>
                <w:sz w:val="20"/>
                <w:szCs w:val="20"/>
                <w:color w:val="auto"/>
              </w:rPr>
            </w:pPr>
            <w:r>
              <w:rPr>
                <w:rFonts w:ascii="Arial" w:cs="Arial" w:eastAsia="Arial" w:hAnsi="Arial"/>
                <w:sz w:val="18"/>
                <w:szCs w:val="18"/>
                <w:b w:val="1"/>
                <w:bCs w:val="1"/>
                <w:color w:val="auto"/>
              </w:rPr>
              <w:t>Expected</w:t>
            </w:r>
          </w:p>
        </w:tc>
        <w:tc>
          <w:tcPr>
            <w:tcW w:w="360" w:type="dxa"/>
            <w:vAlign w:val="bottom"/>
          </w:tcPr>
          <w:p>
            <w:pPr>
              <w:spacing w:after="0"/>
              <w:rPr>
                <w:sz w:val="16"/>
                <w:szCs w:val="16"/>
                <w:color w:val="auto"/>
              </w:rPr>
            </w:pPr>
          </w:p>
        </w:tc>
        <w:tc>
          <w:tcPr>
            <w:tcW w:w="12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7"/>
              </w:rPr>
              <w:t>Expected</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Contract Term</w:t>
            </w:r>
          </w:p>
        </w:tc>
        <w:tc>
          <w:tcPr>
            <w:tcW w:w="100" w:type="dxa"/>
            <w:vAlign w:val="bottom"/>
          </w:tcPr>
          <w:p>
            <w:pPr>
              <w:spacing w:after="0"/>
              <w:rPr>
                <w:sz w:val="16"/>
                <w:szCs w:val="16"/>
                <w:color w:val="auto"/>
              </w:rPr>
            </w:pPr>
          </w:p>
        </w:tc>
      </w:tr>
      <w:tr>
        <w:trPr>
          <w:trHeight w:val="216"/>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89"/>
              </w:rPr>
              <w:t>Performance</w:t>
            </w:r>
          </w:p>
        </w:tc>
        <w:tc>
          <w:tcPr>
            <w:tcW w:w="36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b w:val="1"/>
                <w:bCs w:val="1"/>
                <w:color w:val="auto"/>
              </w:rPr>
              <w:t>Volatility</w:t>
            </w:r>
          </w:p>
        </w:tc>
        <w:tc>
          <w:tcPr>
            <w:tcW w:w="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Dividend Yield</w:t>
            </w:r>
          </w:p>
        </w:tc>
        <w:tc>
          <w:tcPr>
            <w:tcW w:w="360" w:type="dxa"/>
            <w:vAlign w:val="bottom"/>
          </w:tcPr>
          <w:p>
            <w:pPr>
              <w:spacing w:after="0"/>
              <w:rPr>
                <w:sz w:val="18"/>
                <w:szCs w:val="18"/>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rPr>
              <w:t>Exercise Price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Risk-Free Interest</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in</w:t>
            </w:r>
          </w:p>
        </w:tc>
        <w:tc>
          <w:tcPr>
            <w:tcW w:w="100" w:type="dxa"/>
            <w:vAlign w:val="bottom"/>
          </w:tcPr>
          <w:p>
            <w:pPr>
              <w:spacing w:after="0"/>
              <w:rPr>
                <w:sz w:val="18"/>
                <w:szCs w:val="18"/>
                <w:color w:val="auto"/>
              </w:rPr>
            </w:pPr>
          </w:p>
        </w:tc>
      </w:tr>
      <w:tr>
        <w:trPr>
          <w:trHeight w:val="228"/>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86"/>
              </w:rPr>
              <w:t>Year</w:t>
            </w:r>
          </w:p>
        </w:tc>
        <w:tc>
          <w:tcPr>
            <w:tcW w:w="16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433"/>
              <w:spacing w:after="0"/>
              <w:rPr>
                <w:sz w:val="20"/>
                <w:szCs w:val="20"/>
                <w:color w:val="auto"/>
              </w:rPr>
            </w:pPr>
            <w:r>
              <w:rPr>
                <w:rFonts w:ascii="Arial" w:cs="Arial" w:eastAsia="Arial" w:hAnsi="Arial"/>
                <w:sz w:val="16"/>
                <w:szCs w:val="16"/>
                <w:b w:val="1"/>
                <w:bCs w:val="1"/>
                <w:color w:val="auto"/>
                <w:w w:val="74"/>
              </w:rPr>
              <w:t>)</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4"/>
              </w:rPr>
              <w:t>Rate (%)</w:t>
            </w:r>
          </w:p>
        </w:tc>
        <w:tc>
          <w:tcPr>
            <w:tcW w:w="3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c>
          <w:tcPr>
            <w:tcW w:w="100" w:type="dxa"/>
            <w:vAlign w:val="bottom"/>
          </w:tcPr>
          <w:p>
            <w:pPr>
              <w:spacing w:after="0"/>
              <w:rPr>
                <w:sz w:val="19"/>
                <w:szCs w:val="19"/>
                <w:color w:val="auto"/>
              </w:rPr>
            </w:pPr>
          </w:p>
        </w:tc>
      </w:tr>
      <w:tr>
        <w:trPr>
          <w:trHeight w:val="245"/>
        </w:trPr>
        <w:tc>
          <w:tcPr>
            <w:tcW w:w="2980" w:type="dxa"/>
            <w:vAlign w:val="bottom"/>
          </w:tcPr>
          <w:p>
            <w:pPr>
              <w:spacing w:after="0"/>
              <w:rPr>
                <w:sz w:val="21"/>
                <w:szCs w:val="21"/>
                <w:color w:val="auto"/>
              </w:rPr>
            </w:pPr>
          </w:p>
        </w:tc>
        <w:tc>
          <w:tcPr>
            <w:tcW w:w="1620" w:type="dxa"/>
            <w:vAlign w:val="bottom"/>
            <w:gridSpan w:val="2"/>
          </w:tcPr>
          <w:p>
            <w:pPr>
              <w:spacing w:after="0"/>
              <w:rPr>
                <w:sz w:val="21"/>
                <w:szCs w:val="21"/>
                <w:color w:val="auto"/>
              </w:rPr>
            </w:pPr>
          </w:p>
        </w:tc>
        <w:tc>
          <w:tcPr>
            <w:tcW w:w="162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8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298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84"/>
              </w:rPr>
              <w:t>2008</w:t>
            </w:r>
          </w:p>
        </w:tc>
        <w:tc>
          <w:tcPr>
            <w:tcW w:w="360" w:type="dxa"/>
            <w:vAlign w:val="bottom"/>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right"/>
              <w:ind w:right="232"/>
              <w:spacing w:after="0"/>
              <w:rPr>
                <w:sz w:val="20"/>
                <w:szCs w:val="20"/>
                <w:color w:val="auto"/>
              </w:rPr>
            </w:pPr>
            <w:r>
              <w:rPr>
                <w:rFonts w:ascii="Arial" w:cs="Arial" w:eastAsia="Arial" w:hAnsi="Arial"/>
                <w:sz w:val="18"/>
                <w:szCs w:val="18"/>
                <w:color w:val="auto"/>
              </w:rPr>
              <w:t>38 - 46</w:t>
            </w:r>
          </w:p>
        </w:tc>
        <w:tc>
          <w:tcPr>
            <w:tcW w:w="360" w:type="dxa"/>
            <w:vAlign w:val="bottom"/>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center"/>
              <w:ind w:left="32"/>
              <w:spacing w:after="0"/>
              <w:rPr>
                <w:sz w:val="20"/>
                <w:szCs w:val="20"/>
                <w:color w:val="auto"/>
              </w:rPr>
            </w:pPr>
            <w:r>
              <w:rPr>
                <w:rFonts w:ascii="Arial" w:cs="Arial" w:eastAsia="Arial" w:hAnsi="Arial"/>
                <w:sz w:val="18"/>
                <w:szCs w:val="18"/>
                <w:color w:val="auto"/>
                <w:w w:val="99"/>
              </w:rPr>
              <w:t>0</w:t>
            </w:r>
          </w:p>
        </w:tc>
        <w:tc>
          <w:tcPr>
            <w:tcW w:w="360" w:type="dxa"/>
            <w:vAlign w:val="bottom"/>
            <w:shd w:val="clear" w:color="auto" w:fill="EAF9E8"/>
          </w:tcPr>
          <w:p>
            <w:pPr>
              <w:spacing w:after="0"/>
              <w:rPr>
                <w:sz w:val="18"/>
                <w:szCs w:val="18"/>
                <w:color w:val="auto"/>
              </w:rPr>
            </w:pPr>
          </w:p>
        </w:tc>
        <w:tc>
          <w:tcPr>
            <w:tcW w:w="660" w:type="dxa"/>
            <w:vAlign w:val="bottom"/>
            <w:tcBorders>
              <w:top w:val="single" w:sz="8" w:color="auto"/>
            </w:tcBorders>
            <w:shd w:val="clear" w:color="auto" w:fill="EAF9E8"/>
          </w:tcPr>
          <w:p>
            <w:pPr>
              <w:jc w:val="right"/>
              <w:ind w:right="49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8.00</w:t>
            </w:r>
          </w:p>
        </w:tc>
        <w:tc>
          <w:tcPr>
            <w:tcW w:w="340" w:type="dxa"/>
            <w:vAlign w:val="bottom"/>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89"/>
              </w:rPr>
              <w:t>2.15% - 4.28%</w:t>
            </w:r>
          </w:p>
        </w:tc>
        <w:tc>
          <w:tcPr>
            <w:tcW w:w="320" w:type="dxa"/>
            <w:vAlign w:val="bottom"/>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center"/>
              <w:ind w:left="32"/>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EAF9E8"/>
          </w:tcPr>
          <w:p>
            <w:pPr>
              <w:spacing w:after="0"/>
              <w:rPr>
                <w:sz w:val="18"/>
                <w:szCs w:val="18"/>
                <w:color w:val="auto"/>
              </w:rPr>
            </w:pPr>
          </w:p>
        </w:tc>
      </w:tr>
      <w:tr>
        <w:trPr>
          <w:trHeight w:val="222"/>
        </w:trPr>
        <w:tc>
          <w:tcPr>
            <w:tcW w:w="2980" w:type="dxa"/>
            <w:vAlign w:val="bottom"/>
          </w:tcPr>
          <w:p>
            <w:pPr>
              <w:jc w:val="center"/>
              <w:spacing w:after="0"/>
              <w:rPr>
                <w:sz w:val="20"/>
                <w:szCs w:val="20"/>
                <w:color w:val="auto"/>
              </w:rPr>
            </w:pPr>
            <w:r>
              <w:rPr>
                <w:rFonts w:ascii="Arial" w:cs="Arial" w:eastAsia="Arial" w:hAnsi="Arial"/>
                <w:sz w:val="18"/>
                <w:szCs w:val="18"/>
                <w:color w:val="auto"/>
                <w:w w:val="84"/>
              </w:rPr>
              <w:t>2008</w:t>
            </w:r>
          </w:p>
        </w:tc>
        <w:tc>
          <w:tcPr>
            <w:tcW w:w="1620" w:type="dxa"/>
            <w:vAlign w:val="bottom"/>
            <w:gridSpan w:val="2"/>
          </w:tcPr>
          <w:p>
            <w:pPr>
              <w:jc w:val="right"/>
              <w:ind w:right="232"/>
              <w:spacing w:after="0"/>
              <w:rPr>
                <w:sz w:val="20"/>
                <w:szCs w:val="20"/>
                <w:color w:val="auto"/>
              </w:rPr>
            </w:pPr>
            <w:r>
              <w:rPr>
                <w:rFonts w:ascii="Arial" w:cs="Arial" w:eastAsia="Arial" w:hAnsi="Arial"/>
                <w:sz w:val="18"/>
                <w:szCs w:val="18"/>
                <w:color w:val="auto"/>
              </w:rPr>
              <w:t>38 - 46</w:t>
            </w:r>
          </w:p>
        </w:tc>
        <w:tc>
          <w:tcPr>
            <w:tcW w:w="1620" w:type="dxa"/>
            <w:vAlign w:val="bottom"/>
            <w:gridSpan w:val="2"/>
          </w:tcPr>
          <w:p>
            <w:pPr>
              <w:jc w:val="center"/>
              <w:ind w:left="392"/>
              <w:spacing w:after="0"/>
              <w:rPr>
                <w:sz w:val="20"/>
                <w:szCs w:val="20"/>
                <w:color w:val="auto"/>
              </w:rPr>
            </w:pPr>
            <w:r>
              <w:rPr>
                <w:rFonts w:ascii="Arial" w:cs="Arial" w:eastAsia="Arial" w:hAnsi="Arial"/>
                <w:sz w:val="18"/>
                <w:szCs w:val="18"/>
                <w:color w:val="auto"/>
                <w:w w:val="99"/>
              </w:rPr>
              <w:t>0</w:t>
            </w:r>
          </w:p>
        </w:tc>
        <w:tc>
          <w:tcPr>
            <w:tcW w:w="1020" w:type="dxa"/>
            <w:vAlign w:val="bottom"/>
            <w:gridSpan w:val="2"/>
          </w:tcPr>
          <w:p>
            <w:pPr>
              <w:jc w:val="right"/>
              <w:ind w:right="49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2.15% - 4.28%</w:t>
            </w:r>
          </w:p>
        </w:tc>
        <w:tc>
          <w:tcPr>
            <w:tcW w:w="1580" w:type="dxa"/>
            <w:vAlign w:val="bottom"/>
            <w:gridSpan w:val="2"/>
          </w:tcPr>
          <w:p>
            <w:pPr>
              <w:jc w:val="center"/>
              <w:ind w:left="352"/>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There can be no assurance that the value realized upon exercise will equal the grant date fair value determined using the option-pricing models. No value will be realized if the options are never exercised.</w:t>
      </w:r>
    </w:p>
    <w:p>
      <w:pPr>
        <w:spacing w:after="0" w:line="145" w:lineRule="exact"/>
        <w:rPr>
          <w:sz w:val="20"/>
          <w:szCs w:val="20"/>
          <w:color w:val="auto"/>
        </w:rPr>
      </w:pPr>
    </w:p>
    <w:p>
      <w:pPr>
        <w:jc w:val="both"/>
        <w:ind w:left="580" w:hanging="572"/>
        <w:spacing w:after="0" w:line="224" w:lineRule="auto"/>
        <w:tabs>
          <w:tab w:leader="none" w:pos="5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Consists of the cash portion of incentive compensation bonus awarded pursuant to our 1998 Annual Incentive Plan in the first quarter of the year following the year in which services are rendered. In recent years prior to 2007, awards under the Annual Incentive Plan were paid 50% in cash and 50% in equity. The full amount of the cash portion of the award is recognized as expense in the performance year. For 2008 and 2007, awards under the Annual Incentive Plan were paid entirely in cash. As a result, non-equity compensation for 2007 was considerably higher than 2006 even though the total value of the compensation was lower than 2006.</w:t>
      </w:r>
    </w:p>
    <w:p>
      <w:pPr>
        <w:spacing w:after="0" w:line="171" w:lineRule="exact"/>
        <w:rPr>
          <w:rFonts w:ascii="Arial" w:cs="Arial" w:eastAsia="Arial" w:hAnsi="Arial"/>
          <w:sz w:val="29"/>
          <w:szCs w:val="29"/>
          <w:color w:val="auto"/>
          <w:vertAlign w:val="superscript"/>
        </w:rPr>
      </w:pPr>
    </w:p>
    <w:p>
      <w:pPr>
        <w:ind w:left="580" w:right="20" w:hanging="572"/>
        <w:spacing w:after="0" w:line="194" w:lineRule="auto"/>
        <w:tabs>
          <w:tab w:leader="none" w:pos="5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Consists of contributions by Ocwen pursuant to Ocwen’s 401(k) Savings Plan for each executive officer, salary adjustments and relocation expenses as detailed below.</w:t>
      </w:r>
    </w:p>
    <w:p>
      <w:pPr>
        <w:spacing w:after="0" w:line="170" w:lineRule="exact"/>
        <w:rPr>
          <w:rFonts w:ascii="Arial" w:cs="Arial" w:eastAsia="Arial" w:hAnsi="Arial"/>
          <w:sz w:val="29"/>
          <w:szCs w:val="29"/>
          <w:color w:val="auto"/>
          <w:vertAlign w:val="superscript"/>
        </w:rPr>
      </w:pPr>
    </w:p>
    <w:p>
      <w:pPr>
        <w:jc w:val="both"/>
        <w:ind w:left="580" w:hanging="572"/>
        <w:spacing w:after="0" w:line="218" w:lineRule="auto"/>
        <w:tabs>
          <w:tab w:leader="none" w:pos="5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Because Mr. Erbey is currently eligible for retirement under the terms of his stock option award for the 2006 performance year, the full grant date fair value was recognized on the date of grant in 2007. The accelerated portion of this award that we recognized as expense in 2007 was $385,523. Because Mr. Erbey will become retirement eligible under the terms of his 2008 service condition stock option award in 2009, we are recognizing the grant date fair value as expense over a one-year period instead of the four-year vesting period.</w:t>
      </w:r>
    </w:p>
    <w:p>
      <w:pPr>
        <w:spacing w:after="0" w:line="61" w:lineRule="exact"/>
        <w:rPr>
          <w:rFonts w:ascii="Arial" w:cs="Arial" w:eastAsia="Arial" w:hAnsi="Arial"/>
          <w:sz w:val="29"/>
          <w:szCs w:val="29"/>
          <w:color w:val="auto"/>
          <w:vertAlign w:val="superscript"/>
        </w:rPr>
      </w:pPr>
    </w:p>
    <w:p>
      <w:pPr>
        <w:ind w:left="580" w:hanging="572"/>
        <w:spacing w:after="0"/>
        <w:tabs>
          <w:tab w:leader="none" w:pos="5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Includes $37,511 in relocation expenses.</w:t>
      </w:r>
    </w:p>
    <w:p>
      <w:pPr>
        <w:spacing w:after="0" w:line="106" w:lineRule="exact"/>
        <w:rPr>
          <w:rFonts w:ascii="Arial" w:cs="Arial" w:eastAsia="Arial" w:hAnsi="Arial"/>
          <w:sz w:val="29"/>
          <w:szCs w:val="29"/>
          <w:color w:val="auto"/>
          <w:vertAlign w:val="superscript"/>
        </w:rPr>
      </w:pPr>
    </w:p>
    <w:p>
      <w:pPr>
        <w:ind w:left="580" w:hanging="572"/>
        <w:spacing w:after="0" w:line="228" w:lineRule="auto"/>
        <w:tabs>
          <w:tab w:leader="none" w:pos="580" w:val="left"/>
        </w:tabs>
        <w:numPr>
          <w:ilvl w:val="0"/>
          <w:numId w:val="25"/>
        </w:numPr>
        <w:rPr>
          <w:rFonts w:ascii="Arial" w:cs="Arial" w:eastAsia="Arial" w:hAnsi="Arial"/>
          <w:sz w:val="26"/>
          <w:szCs w:val="26"/>
          <w:color w:val="auto"/>
          <w:vertAlign w:val="superscript"/>
        </w:rPr>
      </w:pPr>
      <w:r>
        <w:rPr>
          <w:rFonts w:ascii="Arial" w:cs="Arial" w:eastAsia="Arial" w:hAnsi="Arial"/>
          <w:sz w:val="16"/>
          <w:szCs w:val="16"/>
          <w:color w:val="auto"/>
        </w:rPr>
        <w:t>While Mr. Koches served as General Counsel of the company since 2002, he did not become an employee of the company until January 1, 2007.</w:t>
      </w:r>
    </w:p>
    <w:p>
      <w:pPr>
        <w:spacing w:after="0" w:line="107" w:lineRule="exact"/>
        <w:rPr>
          <w:rFonts w:ascii="Arial" w:cs="Arial" w:eastAsia="Arial" w:hAnsi="Arial"/>
          <w:sz w:val="26"/>
          <w:szCs w:val="26"/>
          <w:color w:val="auto"/>
          <w:vertAlign w:val="superscript"/>
        </w:rPr>
      </w:pPr>
    </w:p>
    <w:p>
      <w:pPr>
        <w:ind w:left="580" w:hanging="572"/>
        <w:spacing w:after="0" w:line="205" w:lineRule="auto"/>
        <w:tabs>
          <w:tab w:leader="none" w:pos="5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Includes $76,288 in relocation expenses.</w:t>
      </w:r>
    </w:p>
    <w:p>
      <w:pPr>
        <w:spacing w:after="0" w:line="106" w:lineRule="exact"/>
        <w:rPr>
          <w:rFonts w:ascii="Arial" w:cs="Arial" w:eastAsia="Arial" w:hAnsi="Arial"/>
          <w:sz w:val="29"/>
          <w:szCs w:val="29"/>
          <w:color w:val="auto"/>
          <w:vertAlign w:val="superscript"/>
        </w:rPr>
      </w:pPr>
    </w:p>
    <w:p>
      <w:pPr>
        <w:ind w:left="580" w:hanging="572"/>
        <w:spacing w:after="0" w:line="205" w:lineRule="auto"/>
        <w:tabs>
          <w:tab w:leader="none" w:pos="5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Includes $14,994 in relocation expenses.</w:t>
      </w:r>
    </w:p>
    <w:p>
      <w:pPr>
        <w:spacing w:after="0" w:line="106" w:lineRule="exact"/>
        <w:rPr>
          <w:rFonts w:ascii="Arial" w:cs="Arial" w:eastAsia="Arial" w:hAnsi="Arial"/>
          <w:sz w:val="29"/>
          <w:szCs w:val="29"/>
          <w:color w:val="auto"/>
          <w:vertAlign w:val="superscript"/>
        </w:rPr>
      </w:pPr>
    </w:p>
    <w:p>
      <w:pPr>
        <w:ind w:left="580" w:hanging="572"/>
        <w:spacing w:after="0" w:line="205" w:lineRule="auto"/>
        <w:tabs>
          <w:tab w:leader="none" w:pos="5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Includes $29,625 in relocation expenses.</w:t>
      </w:r>
    </w:p>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no employment agreements with our named executive officers. For more information about the elements of the compensation paid to our named executive officers, see “Compensation Discussion and Analysis”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Grants of Plan Based Awards for 2008</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related to non-equity incentive compensation pursuant to our 1998 Annual Incentive Plan for services rendered in fiscal year 2008 by the individuals named in the Summary Compensation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8"/>
          </w:tcPr>
          <w:p>
            <w:pPr>
              <w:jc w:val="center"/>
              <w:ind w:left="534"/>
              <w:spacing w:after="0"/>
              <w:rPr>
                <w:sz w:val="20"/>
                <w:szCs w:val="20"/>
                <w:color w:val="auto"/>
              </w:rPr>
            </w:pPr>
            <w:r>
              <w:rPr>
                <w:rFonts w:ascii="Arial" w:cs="Arial" w:eastAsia="Arial" w:hAnsi="Arial"/>
                <w:sz w:val="14"/>
                <w:szCs w:val="14"/>
                <w:b w:val="1"/>
                <w:bCs w:val="1"/>
                <w:color w:val="auto"/>
                <w:w w:val="86"/>
              </w:rPr>
              <w:t>Estimated Future Payouts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Under Non-Equity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Estimated Future Payouts Under</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8"/>
          </w:tcPr>
          <w:p>
            <w:pPr>
              <w:jc w:val="center"/>
              <w:ind w:left="554"/>
              <w:spacing w:after="0" w:line="149" w:lineRule="exact"/>
              <w:rPr>
                <w:sz w:val="20"/>
                <w:szCs w:val="20"/>
                <w:color w:val="auto"/>
              </w:rPr>
            </w:pPr>
            <w:r>
              <w:rPr>
                <w:rFonts w:ascii="Arial" w:cs="Arial" w:eastAsia="Arial" w:hAnsi="Arial"/>
                <w:sz w:val="11"/>
                <w:szCs w:val="11"/>
                <w:b w:val="1"/>
                <w:bCs w:val="1"/>
                <w:color w:val="auto"/>
              </w:rPr>
              <w:t xml:space="preserve">Incentive Plan Awards </w:t>
            </w:r>
            <w:r>
              <w:rPr>
                <w:rFonts w:ascii="Arial" w:cs="Arial" w:eastAsia="Arial" w:hAnsi="Arial"/>
                <w:sz w:val="17"/>
                <w:szCs w:val="17"/>
                <w:b w:val="1"/>
                <w:bCs w:val="1"/>
                <w:color w:val="auto"/>
                <w:vertAlign w:val="superscript"/>
              </w:rPr>
              <w:t>(1)</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Equity Incentive Plan Awards</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3"/>
              </w:rPr>
              <w:t>Base Price</w:t>
            </w:r>
          </w:p>
        </w:tc>
        <w:tc>
          <w:tcPr>
            <w:tcW w:w="220" w:type="dxa"/>
            <w:vAlign w:val="bottom"/>
          </w:tcPr>
          <w:p>
            <w:pPr>
              <w:spacing w:after="0"/>
              <w:rPr>
                <w:sz w:val="10"/>
                <w:szCs w:val="10"/>
                <w:color w:val="auto"/>
              </w:rPr>
            </w:pPr>
          </w:p>
        </w:tc>
        <w:tc>
          <w:tcPr>
            <w:tcW w:w="10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3"/>
              </w:rPr>
              <w:t>of Stock</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Grant</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of Option</w:t>
            </w:r>
          </w:p>
        </w:tc>
        <w:tc>
          <w:tcPr>
            <w:tcW w:w="2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and Option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8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Threshold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Target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Maximum</w:t>
            </w: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Threshold</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220" w:type="dxa"/>
            <w:vAlign w:val="bottom"/>
          </w:tcPr>
          <w:p>
            <w:pPr>
              <w:spacing w:after="0"/>
              <w:rPr>
                <w:sz w:val="14"/>
                <w:szCs w:val="14"/>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4"/>
                <w:szCs w:val="14"/>
                <w:color w:val="auto"/>
              </w:rPr>
            </w:pPr>
          </w:p>
        </w:tc>
        <w:tc>
          <w:tcPr>
            <w:tcW w:w="10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6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tcBorders>
              <w:top w:val="single" w:sz="8" w:color="auto"/>
            </w:tcBorders>
            <w:shd w:val="clear" w:color="auto" w:fill="EAF9E8"/>
          </w:tcPr>
          <w:p>
            <w:pPr>
              <w:spacing w:after="0" w:line="142" w:lineRule="exact"/>
              <w:rPr>
                <w:sz w:val="20"/>
                <w:szCs w:val="20"/>
                <w:color w:val="auto"/>
              </w:rPr>
            </w:pPr>
            <w:r>
              <w:rPr>
                <w:rFonts w:ascii="Arial" w:cs="Arial" w:eastAsia="Arial" w:hAnsi="Arial"/>
                <w:sz w:val="14"/>
                <w:szCs w:val="14"/>
                <w:color w:val="auto"/>
              </w:rPr>
              <w:t>William C. Erbey</w:t>
            </w:r>
          </w:p>
        </w:tc>
        <w:tc>
          <w:tcPr>
            <w:tcW w:w="120" w:type="dxa"/>
            <w:vAlign w:val="bottom"/>
            <w:shd w:val="clear" w:color="auto" w:fill="EAF9E8"/>
          </w:tcPr>
          <w:p>
            <w:pPr>
              <w:spacing w:after="0"/>
              <w:rPr>
                <w:sz w:val="12"/>
                <w:szCs w:val="12"/>
                <w:color w:val="auto"/>
              </w:rPr>
            </w:pPr>
          </w:p>
        </w:tc>
        <w:tc>
          <w:tcPr>
            <w:tcW w:w="800" w:type="dxa"/>
            <w:vAlign w:val="bottom"/>
            <w:tcBorders>
              <w:top w:val="single" w:sz="8" w:color="auto"/>
            </w:tcBorders>
            <w:shd w:val="clear" w:color="auto" w:fill="EAF9E8"/>
          </w:tcPr>
          <w:p>
            <w:pPr>
              <w:jc w:val="center"/>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EAF9E8"/>
          </w:tcPr>
          <w:p>
            <w:pPr>
              <w:ind w:left="280"/>
              <w:spacing w:after="0" w:line="142" w:lineRule="exact"/>
              <w:rPr>
                <w:sz w:val="20"/>
                <w:szCs w:val="20"/>
                <w:color w:val="auto"/>
              </w:rPr>
            </w:pPr>
            <w:r>
              <w:rPr>
                <w:rFonts w:ascii="Arial" w:cs="Arial" w:eastAsia="Arial" w:hAnsi="Arial"/>
                <w:sz w:val="14"/>
                <w:szCs w:val="14"/>
                <w:color w:val="auto"/>
                <w:w w:val="82"/>
              </w:rPr>
              <w:t>464,286</w:t>
            </w:r>
          </w:p>
        </w:tc>
        <w:tc>
          <w:tcPr>
            <w:tcW w:w="4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928,571</w:t>
            </w:r>
          </w:p>
        </w:tc>
        <w:tc>
          <w:tcPr>
            <w:tcW w:w="18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1,392,857</w:t>
            </w:r>
          </w:p>
        </w:tc>
        <w:tc>
          <w:tcPr>
            <w:tcW w:w="240" w:type="dxa"/>
            <w:vAlign w:val="bottom"/>
            <w:shd w:val="clear" w:color="auto" w:fill="EAF9E8"/>
          </w:tcPr>
          <w:p>
            <w:pPr>
              <w:spacing w:after="0"/>
              <w:rPr>
                <w:sz w:val="12"/>
                <w:szCs w:val="12"/>
                <w:color w:val="auto"/>
              </w:rPr>
            </w:pPr>
          </w:p>
        </w:tc>
        <w:tc>
          <w:tcPr>
            <w:tcW w:w="1040" w:type="dxa"/>
            <w:vAlign w:val="bottom"/>
            <w:tcBorders>
              <w:top w:val="single" w:sz="8" w:color="auto"/>
            </w:tcBorders>
            <w:shd w:val="clear" w:color="auto" w:fill="EAF9E8"/>
          </w:tcPr>
          <w:p>
            <w:pPr>
              <w:jc w:val="center"/>
              <w:spacing w:after="0" w:line="142"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EAF9E8"/>
          </w:tcPr>
          <w:p>
            <w:pPr>
              <w:spacing w:after="0"/>
              <w:rPr>
                <w:sz w:val="12"/>
                <w:szCs w:val="12"/>
                <w:color w:val="auto"/>
              </w:rPr>
            </w:pPr>
          </w:p>
        </w:tc>
        <w:tc>
          <w:tcPr>
            <w:tcW w:w="820" w:type="dxa"/>
            <w:vAlign w:val="bottom"/>
            <w:tcBorders>
              <w:top w:val="single" w:sz="8" w:color="auto"/>
            </w:tcBorders>
            <w:shd w:val="clear" w:color="auto" w:fill="EAF9E8"/>
          </w:tcPr>
          <w:p>
            <w:pPr>
              <w:jc w:val="center"/>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AF9E8"/>
          </w:tcPr>
          <w:p>
            <w:pPr>
              <w:spacing w:after="0"/>
              <w:rPr>
                <w:sz w:val="12"/>
                <w:szCs w:val="12"/>
                <w:color w:val="auto"/>
              </w:rPr>
            </w:pPr>
          </w:p>
        </w:tc>
        <w:tc>
          <w:tcPr>
            <w:tcW w:w="780" w:type="dxa"/>
            <w:vAlign w:val="bottom"/>
            <w:tcBorders>
              <w:top w:val="single" w:sz="8" w:color="auto"/>
            </w:tcBorders>
            <w:shd w:val="clear" w:color="auto" w:fill="EAF9E8"/>
          </w:tcPr>
          <w:p>
            <w:pPr>
              <w:jc w:val="center"/>
              <w:spacing w:after="0" w:line="142"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EAF9E8"/>
          </w:tcPr>
          <w:p>
            <w:pPr>
              <w:spacing w:after="0"/>
              <w:rPr>
                <w:sz w:val="12"/>
                <w:szCs w:val="12"/>
                <w:color w:val="auto"/>
              </w:rPr>
            </w:pPr>
          </w:p>
        </w:tc>
        <w:tc>
          <w:tcPr>
            <w:tcW w:w="880" w:type="dxa"/>
            <w:vAlign w:val="bottom"/>
            <w:tcBorders>
              <w:top w:val="single" w:sz="8" w:color="auto"/>
            </w:tcBorders>
            <w:shd w:val="clear" w:color="auto" w:fill="EAF9E8"/>
          </w:tcPr>
          <w:p>
            <w:pPr>
              <w:ind w:left="300"/>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1020" w:type="dxa"/>
            <w:vAlign w:val="bottom"/>
            <w:tcBorders>
              <w:top w:val="single" w:sz="8" w:color="auto"/>
            </w:tcBorders>
            <w:shd w:val="clear" w:color="auto" w:fill="EAF9E8"/>
          </w:tcPr>
          <w:p>
            <w:pPr>
              <w:jc w:val="center"/>
              <w:spacing w:after="0" w:line="142"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Ronald M. Faris</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0"/>
              </w:rPr>
              <w:t>320,637</w:t>
            </w:r>
          </w:p>
        </w:tc>
        <w:tc>
          <w:tcPr>
            <w:tcW w:w="3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641,273</w:t>
            </w:r>
          </w:p>
        </w:tc>
        <w:tc>
          <w:tcPr>
            <w:tcW w:w="1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961,910</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88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David J. Gunter</w:t>
            </w: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AF9E8"/>
          </w:tcPr>
          <w:p>
            <w:pPr>
              <w:ind w:left="280"/>
              <w:spacing w:after="0" w:line="149" w:lineRule="exact"/>
              <w:rPr>
                <w:sz w:val="20"/>
                <w:szCs w:val="20"/>
                <w:color w:val="auto"/>
              </w:rPr>
            </w:pPr>
            <w:r>
              <w:rPr>
                <w:rFonts w:ascii="Arial" w:cs="Arial" w:eastAsia="Arial" w:hAnsi="Arial"/>
                <w:sz w:val="14"/>
                <w:szCs w:val="14"/>
                <w:color w:val="auto"/>
                <w:w w:val="90"/>
              </w:rPr>
              <w:t>243,000</w:t>
            </w:r>
          </w:p>
        </w:tc>
        <w:tc>
          <w:tcPr>
            <w:tcW w:w="340" w:type="dxa"/>
            <w:vAlign w:val="bottom"/>
            <w:gridSpan w:val="2"/>
            <w:shd w:val="clear" w:color="auto" w:fill="EAF9E8"/>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486,000</w:t>
            </w:r>
          </w:p>
        </w:tc>
        <w:tc>
          <w:tcPr>
            <w:tcW w:w="180" w:type="dxa"/>
            <w:vAlign w:val="bottom"/>
            <w:shd w:val="clear" w:color="auto" w:fill="EAF9E8"/>
          </w:tcPr>
          <w:p>
            <w:pPr>
              <w:spacing w:after="0"/>
              <w:rPr>
                <w:sz w:val="12"/>
                <w:szCs w:val="12"/>
                <w:color w:val="auto"/>
              </w:rPr>
            </w:pPr>
          </w:p>
        </w:tc>
        <w:tc>
          <w:tcPr>
            <w:tcW w:w="16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729,000</w:t>
            </w:r>
          </w:p>
        </w:tc>
        <w:tc>
          <w:tcPr>
            <w:tcW w:w="104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EAF9E8"/>
          </w:tcPr>
          <w:p>
            <w:pPr>
              <w:spacing w:after="0"/>
              <w:rPr>
                <w:sz w:val="12"/>
                <w:szCs w:val="12"/>
                <w:color w:val="auto"/>
              </w:rPr>
            </w:pPr>
          </w:p>
        </w:tc>
        <w:tc>
          <w:tcPr>
            <w:tcW w:w="8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AF9E8"/>
          </w:tcPr>
          <w:p>
            <w:pPr>
              <w:spacing w:after="0"/>
              <w:rPr>
                <w:sz w:val="12"/>
                <w:szCs w:val="12"/>
                <w:color w:val="auto"/>
              </w:rPr>
            </w:pPr>
          </w:p>
        </w:tc>
        <w:tc>
          <w:tcPr>
            <w:tcW w:w="78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EAF9E8"/>
          </w:tcPr>
          <w:p>
            <w:pPr>
              <w:spacing w:after="0"/>
              <w:rPr>
                <w:sz w:val="12"/>
                <w:szCs w:val="12"/>
                <w:color w:val="auto"/>
              </w:rPr>
            </w:pPr>
          </w:p>
        </w:tc>
        <w:tc>
          <w:tcPr>
            <w:tcW w:w="880" w:type="dxa"/>
            <w:vAlign w:val="bottom"/>
            <w:shd w:val="clear" w:color="auto" w:fill="EAF9E8"/>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10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Paul A. Koches</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0"/>
              </w:rPr>
              <w:t>175,314</w:t>
            </w:r>
          </w:p>
        </w:tc>
        <w:tc>
          <w:tcPr>
            <w:tcW w:w="3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350,627</w:t>
            </w:r>
          </w:p>
        </w:tc>
        <w:tc>
          <w:tcPr>
            <w:tcW w:w="1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525,941</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88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William B. Shepro</w:t>
            </w: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AF9E8"/>
          </w:tcPr>
          <w:p>
            <w:pPr>
              <w:ind w:left="280"/>
              <w:spacing w:after="0" w:line="149" w:lineRule="exact"/>
              <w:rPr>
                <w:sz w:val="20"/>
                <w:szCs w:val="20"/>
                <w:color w:val="auto"/>
              </w:rPr>
            </w:pPr>
            <w:r>
              <w:rPr>
                <w:rFonts w:ascii="Arial" w:cs="Arial" w:eastAsia="Arial" w:hAnsi="Arial"/>
                <w:sz w:val="14"/>
                <w:szCs w:val="14"/>
                <w:color w:val="auto"/>
                <w:w w:val="90"/>
              </w:rPr>
              <w:t>225,739</w:t>
            </w:r>
          </w:p>
        </w:tc>
        <w:tc>
          <w:tcPr>
            <w:tcW w:w="340" w:type="dxa"/>
            <w:vAlign w:val="bottom"/>
            <w:gridSpan w:val="2"/>
            <w:shd w:val="clear" w:color="auto" w:fill="EAF9E8"/>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451,477</w:t>
            </w:r>
          </w:p>
        </w:tc>
        <w:tc>
          <w:tcPr>
            <w:tcW w:w="180" w:type="dxa"/>
            <w:vAlign w:val="bottom"/>
            <w:shd w:val="clear" w:color="auto" w:fill="EAF9E8"/>
          </w:tcPr>
          <w:p>
            <w:pPr>
              <w:spacing w:after="0"/>
              <w:rPr>
                <w:sz w:val="12"/>
                <w:szCs w:val="12"/>
                <w:color w:val="auto"/>
              </w:rPr>
            </w:pPr>
          </w:p>
        </w:tc>
        <w:tc>
          <w:tcPr>
            <w:tcW w:w="16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677,216</w:t>
            </w:r>
          </w:p>
        </w:tc>
        <w:tc>
          <w:tcPr>
            <w:tcW w:w="104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EAF9E8"/>
          </w:tcPr>
          <w:p>
            <w:pPr>
              <w:spacing w:after="0"/>
              <w:rPr>
                <w:sz w:val="12"/>
                <w:szCs w:val="12"/>
                <w:color w:val="auto"/>
              </w:rPr>
            </w:pPr>
          </w:p>
        </w:tc>
        <w:tc>
          <w:tcPr>
            <w:tcW w:w="8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AF9E8"/>
          </w:tcPr>
          <w:p>
            <w:pPr>
              <w:spacing w:after="0"/>
              <w:rPr>
                <w:sz w:val="12"/>
                <w:szCs w:val="12"/>
                <w:color w:val="auto"/>
              </w:rPr>
            </w:pPr>
          </w:p>
        </w:tc>
        <w:tc>
          <w:tcPr>
            <w:tcW w:w="78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EAF9E8"/>
          </w:tcPr>
          <w:p>
            <w:pPr>
              <w:spacing w:after="0"/>
              <w:rPr>
                <w:sz w:val="12"/>
                <w:szCs w:val="12"/>
                <w:color w:val="auto"/>
              </w:rPr>
            </w:pPr>
          </w:p>
        </w:tc>
        <w:tc>
          <w:tcPr>
            <w:tcW w:w="880" w:type="dxa"/>
            <w:vAlign w:val="bottom"/>
            <w:shd w:val="clear" w:color="auto" w:fill="EAF9E8"/>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10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ind w:left="580" w:hanging="572"/>
        <w:spacing w:after="0" w:line="214" w:lineRule="auto"/>
        <w:tabs>
          <w:tab w:leader="none" w:pos="580" w:val="left"/>
        </w:tabs>
        <w:numPr>
          <w:ilvl w:val="0"/>
          <w:numId w:val="26"/>
        </w:numPr>
        <w:rPr>
          <w:rFonts w:ascii="Arial" w:cs="Arial" w:eastAsia="Arial" w:hAnsi="Arial"/>
          <w:sz w:val="21"/>
          <w:szCs w:val="21"/>
          <w:color w:val="auto"/>
          <w:vertAlign w:val="superscript"/>
        </w:rPr>
      </w:pPr>
      <w:r>
        <w:rPr>
          <w:rFonts w:ascii="Arial" w:cs="Arial" w:eastAsia="Arial" w:hAnsi="Arial"/>
          <w:sz w:val="13"/>
          <w:szCs w:val="13"/>
          <w:color w:val="auto"/>
        </w:rPr>
        <w:t>These figures represent the potential non-equity compensation that may have been earned by each respective executive officer in 2008 under the different achievement levels presented on their personal scorecards which are more fully discussed in our Compensation Discussion and Analysis.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in 2008 is set forth in the “Non-Equity Incentive Plan Compensation” column of the Summary Compensation Table above.</w:t>
      </w:r>
    </w:p>
    <w:p>
      <w:pPr>
        <w:spacing w:after="0" w:line="197" w:lineRule="exact"/>
        <w:rPr>
          <w:rFonts w:ascii="Arial" w:cs="Arial" w:eastAsia="Arial" w:hAnsi="Arial"/>
          <w:sz w:val="21"/>
          <w:szCs w:val="21"/>
          <w:color w:val="auto"/>
          <w:vertAlign w:val="superscript"/>
        </w:rPr>
      </w:pPr>
    </w:p>
    <w:p>
      <w:pPr>
        <w:ind w:left="5620" w:hanging="96"/>
        <w:spacing w:after="0"/>
        <w:tabs>
          <w:tab w:leader="none" w:pos="5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provides information regarding outstanding equity awards at December 31, 2008 for the individuals named in the Summary Compensation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Option Awards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Stock Awards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29"/>
        </w:trPr>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Market</w:t>
            </w: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120" w:type="dxa"/>
            <w:vAlign w:val="bottom"/>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20" w:type="dxa"/>
            <w:vAlign w:val="bottom"/>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Shares or</w:t>
            </w: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120" w:type="dxa"/>
            <w:vAlign w:val="bottom"/>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Units of</w:t>
            </w: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Payout Value of</w:t>
            </w:r>
          </w:p>
        </w:tc>
        <w:tc>
          <w:tcPr>
            <w:tcW w:w="120" w:type="dxa"/>
            <w:vAlign w:val="bottom"/>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240" w:type="dxa"/>
            <w:vAlign w:val="bottom"/>
          </w:tcPr>
          <w:p>
            <w:pPr>
              <w:spacing w:after="0"/>
              <w:rPr>
                <w:sz w:val="12"/>
                <w:szCs w:val="12"/>
                <w:color w:val="auto"/>
              </w:rPr>
            </w:pPr>
          </w:p>
        </w:tc>
        <w:tc>
          <w:tcPr>
            <w:tcW w:w="7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Stock That</w:t>
            </w: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That</w:t>
            </w:r>
          </w:p>
        </w:tc>
        <w:tc>
          <w:tcPr>
            <w:tcW w:w="2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Unearned Shares</w:t>
            </w:r>
          </w:p>
        </w:tc>
        <w:tc>
          <w:tcPr>
            <w:tcW w:w="120" w:type="dxa"/>
            <w:vAlign w:val="bottom"/>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That Have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Have Not</w:t>
            </w: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20" w:type="dxa"/>
            <w:vAlign w:val="bottom"/>
          </w:tcPr>
          <w:p>
            <w:pPr>
              <w:spacing w:after="0"/>
              <w:rPr>
                <w:sz w:val="12"/>
                <w:szCs w:val="12"/>
                <w:color w:val="auto"/>
              </w:rPr>
            </w:pPr>
          </w:p>
        </w:tc>
      </w:tr>
      <w:tr>
        <w:trPr>
          <w:trHeight w:val="174"/>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2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Exercise Price</w:t>
            </w:r>
          </w:p>
        </w:tc>
        <w:tc>
          <w:tcPr>
            <w:tcW w:w="2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Not Vested</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Vested</w:t>
            </w:r>
          </w:p>
        </w:tc>
        <w:tc>
          <w:tcPr>
            <w:tcW w:w="3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12"/>
              <w:spacing w:after="0"/>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5"/>
                <w:szCs w:val="15"/>
                <w:color w:val="auto"/>
              </w:rPr>
            </w:pPr>
          </w:p>
        </w:tc>
      </w:tr>
      <w:tr>
        <w:trPr>
          <w:trHeight w:val="230"/>
        </w:trPr>
        <w:tc>
          <w:tcPr>
            <w:tcW w:w="1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69"/>
        </w:trPr>
        <w:tc>
          <w:tcPr>
            <w:tcW w:w="1460" w:type="dxa"/>
            <w:vAlign w:val="bottom"/>
            <w:gridSpan w:val="2"/>
            <w:shd w:val="clear" w:color="auto" w:fill="EAF9E8"/>
          </w:tcPr>
          <w:p>
            <w:pPr>
              <w:spacing w:after="0"/>
              <w:rPr>
                <w:sz w:val="20"/>
                <w:szCs w:val="20"/>
                <w:color w:val="auto"/>
              </w:rPr>
            </w:pPr>
            <w:r>
              <w:rPr>
                <w:rFonts w:ascii="Arial" w:cs="Arial" w:eastAsia="Arial" w:hAnsi="Arial"/>
                <w:sz w:val="14"/>
                <w:szCs w:val="14"/>
                <w:color w:val="auto"/>
              </w:rPr>
              <w:t>William C. Erbey</w:t>
            </w:r>
          </w:p>
        </w:tc>
        <w:tc>
          <w:tcPr>
            <w:tcW w:w="960" w:type="dxa"/>
            <w:vAlign w:val="bottom"/>
            <w:shd w:val="clear" w:color="auto" w:fill="EAF9E8"/>
          </w:tcPr>
          <w:p>
            <w:pPr>
              <w:jc w:val="right"/>
              <w:ind w:right="172"/>
              <w:spacing w:after="0"/>
              <w:rPr>
                <w:sz w:val="20"/>
                <w:szCs w:val="20"/>
                <w:color w:val="auto"/>
              </w:rPr>
            </w:pPr>
            <w:r>
              <w:rPr>
                <w:rFonts w:ascii="Arial" w:cs="Arial" w:eastAsia="Arial" w:hAnsi="Arial"/>
                <w:sz w:val="14"/>
                <w:szCs w:val="14"/>
                <w:color w:val="auto"/>
              </w:rPr>
              <w:t>14,143</w:t>
            </w:r>
          </w:p>
        </w:tc>
        <w:tc>
          <w:tcPr>
            <w:tcW w:w="220" w:type="dxa"/>
            <w:vAlign w:val="bottom"/>
            <w:shd w:val="clear" w:color="auto" w:fill="EAF9E8"/>
          </w:tcPr>
          <w:p>
            <w:pPr>
              <w:spacing w:after="0"/>
              <w:rPr>
                <w:sz w:val="14"/>
                <w:szCs w:val="1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4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EAF9E8"/>
          </w:tcPr>
          <w:p>
            <w:pPr>
              <w:ind w:lef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12.31250</w:t>
            </w:r>
          </w:p>
        </w:tc>
        <w:tc>
          <w:tcPr>
            <w:tcW w:w="1080" w:type="dxa"/>
            <w:vAlign w:val="bottom"/>
            <w:gridSpan w:val="2"/>
            <w:shd w:val="clear" w:color="auto" w:fill="EAF9E8"/>
          </w:tcPr>
          <w:p>
            <w:pPr>
              <w:ind w:left="460"/>
              <w:spacing w:after="0"/>
              <w:rPr>
                <w:sz w:val="20"/>
                <w:szCs w:val="20"/>
                <w:color w:val="auto"/>
              </w:rPr>
            </w:pPr>
            <w:r>
              <w:rPr>
                <w:rFonts w:ascii="Arial" w:cs="Arial" w:eastAsia="Arial" w:hAnsi="Arial"/>
                <w:sz w:val="14"/>
                <w:szCs w:val="14"/>
                <w:color w:val="auto"/>
              </w:rPr>
              <w:t>01/31/09</w:t>
            </w:r>
          </w:p>
        </w:tc>
        <w:tc>
          <w:tcPr>
            <w:tcW w:w="1060" w:type="dxa"/>
            <w:vAlign w:val="bottom"/>
            <w:gridSpan w:val="2"/>
            <w:shd w:val="clear" w:color="auto" w:fill="EAF9E8"/>
          </w:tcPr>
          <w:p>
            <w:pPr>
              <w:jc w:val="right"/>
              <w:ind w:right="32"/>
              <w:spacing w:after="0"/>
              <w:rPr>
                <w:sz w:val="20"/>
                <w:szCs w:val="20"/>
                <w:color w:val="auto"/>
              </w:rPr>
            </w:pPr>
            <w:r>
              <w:rPr>
                <w:rFonts w:ascii="Arial" w:cs="Arial" w:eastAsia="Arial" w:hAnsi="Arial"/>
                <w:sz w:val="14"/>
                <w:szCs w:val="14"/>
                <w:color w:val="auto"/>
              </w:rPr>
              <w:t>7,034</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64,572</w:t>
            </w:r>
          </w:p>
        </w:tc>
        <w:tc>
          <w:tcPr>
            <w:tcW w:w="34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w w:val="88"/>
              </w:rPr>
              <w:t>(7)</w:t>
            </w: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7,034</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64,572</w:t>
            </w:r>
          </w:p>
        </w:tc>
        <w:tc>
          <w:tcPr>
            <w:tcW w:w="120" w:type="dxa"/>
            <w:vAlign w:val="bottom"/>
            <w:shd w:val="clear" w:color="auto" w:fill="EAF9E8"/>
          </w:tcPr>
          <w:p>
            <w:pPr>
              <w:spacing w:after="0"/>
              <w:rPr>
                <w:sz w:val="14"/>
                <w:szCs w:val="14"/>
                <w:color w:val="auto"/>
              </w:rPr>
            </w:pPr>
          </w:p>
        </w:tc>
      </w:tr>
      <w:tr>
        <w:trPr>
          <w:trHeight w:val="176"/>
        </w:trPr>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color w:val="auto"/>
              </w:rPr>
              <w:t>34,549</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6.25000</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01/31/10</w:t>
            </w:r>
          </w:p>
        </w:tc>
        <w:tc>
          <w:tcPr>
            <w:tcW w:w="1060" w:type="dxa"/>
            <w:vAlign w:val="bottom"/>
            <w:gridSpan w:val="2"/>
          </w:tcPr>
          <w:p>
            <w:pPr>
              <w:jc w:val="right"/>
              <w:ind w:right="32"/>
              <w:spacing w:after="0"/>
              <w:rPr>
                <w:sz w:val="20"/>
                <w:szCs w:val="20"/>
                <w:color w:val="auto"/>
              </w:rPr>
            </w:pPr>
            <w:r>
              <w:rPr>
                <w:rFonts w:ascii="Arial" w:cs="Arial" w:eastAsia="Arial" w:hAnsi="Arial"/>
                <w:sz w:val="14"/>
                <w:szCs w:val="14"/>
                <w:color w:val="auto"/>
              </w:rPr>
              <w:t>5,646</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51,830</w:t>
            </w:r>
          </w:p>
        </w:tc>
        <w:tc>
          <w:tcPr>
            <w:tcW w:w="340" w:type="dxa"/>
            <w:vAlign w:val="bottom"/>
          </w:tcPr>
          <w:p>
            <w:pPr>
              <w:jc w:val="right"/>
              <w:ind w:right="144"/>
              <w:spacing w:after="0"/>
              <w:rPr>
                <w:sz w:val="20"/>
                <w:szCs w:val="20"/>
                <w:color w:val="auto"/>
              </w:rPr>
            </w:pPr>
            <w:r>
              <w:rPr>
                <w:rFonts w:ascii="Arial" w:cs="Arial" w:eastAsia="Arial" w:hAnsi="Arial"/>
                <w:sz w:val="11"/>
                <w:szCs w:val="11"/>
                <w:color w:val="auto"/>
                <w:w w:val="88"/>
              </w:rPr>
              <w:t>(8)</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5,646</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51,830</w:t>
            </w:r>
          </w:p>
        </w:tc>
        <w:tc>
          <w:tcPr>
            <w:tcW w:w="120" w:type="dxa"/>
            <w:vAlign w:val="bottom"/>
          </w:tcPr>
          <w:p>
            <w:pPr>
              <w:spacing w:after="0"/>
              <w:rPr>
                <w:sz w:val="15"/>
                <w:szCs w:val="15"/>
                <w:color w:val="auto"/>
              </w:rPr>
            </w:pPr>
          </w:p>
        </w:tc>
      </w:tr>
      <w:tr>
        <w:trPr>
          <w:trHeight w:val="149"/>
        </w:trPr>
        <w:tc>
          <w:tcPr>
            <w:tcW w:w="1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72"/>
              <w:spacing w:after="0" w:line="149" w:lineRule="exact"/>
              <w:rPr>
                <w:sz w:val="20"/>
                <w:szCs w:val="20"/>
                <w:color w:val="auto"/>
              </w:rPr>
            </w:pPr>
            <w:r>
              <w:rPr>
                <w:rFonts w:ascii="Arial" w:cs="Arial" w:eastAsia="Arial" w:hAnsi="Arial"/>
                <w:sz w:val="14"/>
                <w:szCs w:val="14"/>
                <w:color w:val="auto"/>
              </w:rPr>
              <w:t>158,030</w:t>
            </w:r>
          </w:p>
        </w:tc>
        <w:tc>
          <w:tcPr>
            <w:tcW w:w="220" w:type="dxa"/>
            <w:vAlign w:val="bottom"/>
            <w:shd w:val="clear" w:color="auto" w:fill="EAF9E8"/>
          </w:tcPr>
          <w:p>
            <w:pPr>
              <w:spacing w:after="0"/>
              <w:rPr>
                <w:sz w:val="12"/>
                <w:szCs w:val="12"/>
                <w:color w:val="auto"/>
              </w:rPr>
            </w:pPr>
          </w:p>
        </w:tc>
        <w:tc>
          <w:tcPr>
            <w:tcW w:w="5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EAF9E8"/>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4.08625</w:t>
            </w:r>
          </w:p>
        </w:tc>
        <w:tc>
          <w:tcPr>
            <w:tcW w:w="1080" w:type="dxa"/>
            <w:vAlign w:val="bottom"/>
            <w:gridSpan w:val="2"/>
            <w:shd w:val="clear" w:color="auto" w:fill="EAF9E8"/>
          </w:tcPr>
          <w:p>
            <w:pPr>
              <w:ind w:left="480"/>
              <w:spacing w:after="0" w:line="149" w:lineRule="exact"/>
              <w:rPr>
                <w:sz w:val="20"/>
                <w:szCs w:val="20"/>
                <w:color w:val="auto"/>
              </w:rPr>
            </w:pPr>
            <w:r>
              <w:rPr>
                <w:rFonts w:ascii="Arial" w:cs="Arial" w:eastAsia="Arial" w:hAnsi="Arial"/>
                <w:sz w:val="14"/>
                <w:szCs w:val="14"/>
                <w:color w:val="auto"/>
              </w:rPr>
              <w:t>01/31/11</w:t>
            </w: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2"/>
                <w:szCs w:val="12"/>
                <w:color w:val="auto"/>
              </w:rPr>
            </w:pPr>
          </w:p>
        </w:tc>
        <w:tc>
          <w:tcPr>
            <w:tcW w:w="8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39,507</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7.40000</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01/31/11</w:t>
            </w: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1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72"/>
              <w:spacing w:after="0" w:line="149" w:lineRule="exact"/>
              <w:rPr>
                <w:sz w:val="20"/>
                <w:szCs w:val="20"/>
                <w:color w:val="auto"/>
              </w:rPr>
            </w:pPr>
            <w:r>
              <w:rPr>
                <w:rFonts w:ascii="Arial" w:cs="Arial" w:eastAsia="Arial" w:hAnsi="Arial"/>
                <w:sz w:val="14"/>
                <w:szCs w:val="14"/>
                <w:color w:val="auto"/>
              </w:rPr>
              <w:t>84,885</w:t>
            </w:r>
          </w:p>
        </w:tc>
        <w:tc>
          <w:tcPr>
            <w:tcW w:w="220" w:type="dxa"/>
            <w:vAlign w:val="bottom"/>
            <w:shd w:val="clear" w:color="auto" w:fill="EAF9E8"/>
          </w:tcPr>
          <w:p>
            <w:pPr>
              <w:spacing w:after="0"/>
              <w:rPr>
                <w:sz w:val="12"/>
                <w:szCs w:val="12"/>
                <w:color w:val="auto"/>
              </w:rPr>
            </w:pPr>
          </w:p>
        </w:tc>
        <w:tc>
          <w:tcPr>
            <w:tcW w:w="5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EAF9E8"/>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5.78900</w:t>
            </w:r>
          </w:p>
        </w:tc>
        <w:tc>
          <w:tcPr>
            <w:tcW w:w="1080" w:type="dxa"/>
            <w:vAlign w:val="bottom"/>
            <w:gridSpan w:val="2"/>
            <w:shd w:val="clear" w:color="auto" w:fill="EAF9E8"/>
          </w:tcPr>
          <w:p>
            <w:pPr>
              <w:ind w:left="460"/>
              <w:spacing w:after="0" w:line="149" w:lineRule="exact"/>
              <w:rPr>
                <w:sz w:val="20"/>
                <w:szCs w:val="20"/>
                <w:color w:val="auto"/>
              </w:rPr>
            </w:pPr>
            <w:r>
              <w:rPr>
                <w:rFonts w:ascii="Arial" w:cs="Arial" w:eastAsia="Arial" w:hAnsi="Arial"/>
                <w:sz w:val="14"/>
                <w:szCs w:val="14"/>
                <w:color w:val="auto"/>
              </w:rPr>
              <w:t>01/31/12</w:t>
            </w: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2"/>
                <w:szCs w:val="12"/>
                <w:color w:val="auto"/>
              </w:rPr>
            </w:pPr>
          </w:p>
        </w:tc>
        <w:tc>
          <w:tcPr>
            <w:tcW w:w="8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56,590</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7.00000</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01/31/12</w:t>
            </w: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1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72"/>
              <w:spacing w:after="0" w:line="149" w:lineRule="exact"/>
              <w:rPr>
                <w:sz w:val="20"/>
                <w:szCs w:val="20"/>
                <w:color w:val="auto"/>
              </w:rPr>
            </w:pPr>
            <w:r>
              <w:rPr>
                <w:rFonts w:ascii="Arial" w:cs="Arial" w:eastAsia="Arial" w:hAnsi="Arial"/>
                <w:sz w:val="14"/>
                <w:szCs w:val="14"/>
                <w:color w:val="auto"/>
              </w:rPr>
              <w:t>33,875</w:t>
            </w:r>
          </w:p>
        </w:tc>
        <w:tc>
          <w:tcPr>
            <w:tcW w:w="220" w:type="dxa"/>
            <w:vAlign w:val="bottom"/>
            <w:shd w:val="clear" w:color="auto" w:fill="EAF9E8"/>
          </w:tcPr>
          <w:p>
            <w:pPr>
              <w:spacing w:after="0"/>
              <w:rPr>
                <w:sz w:val="12"/>
                <w:szCs w:val="12"/>
                <w:color w:val="auto"/>
              </w:rPr>
            </w:pPr>
          </w:p>
        </w:tc>
        <w:tc>
          <w:tcPr>
            <w:tcW w:w="5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EAF9E8"/>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1.87000</w:t>
            </w:r>
          </w:p>
        </w:tc>
        <w:tc>
          <w:tcPr>
            <w:tcW w:w="1080" w:type="dxa"/>
            <w:vAlign w:val="bottom"/>
            <w:gridSpan w:val="2"/>
            <w:shd w:val="clear" w:color="auto" w:fill="EAF9E8"/>
          </w:tcPr>
          <w:p>
            <w:pPr>
              <w:ind w:left="460"/>
              <w:spacing w:after="0" w:line="149" w:lineRule="exact"/>
              <w:rPr>
                <w:sz w:val="20"/>
                <w:szCs w:val="20"/>
                <w:color w:val="auto"/>
              </w:rPr>
            </w:pPr>
            <w:r>
              <w:rPr>
                <w:rFonts w:ascii="Arial" w:cs="Arial" w:eastAsia="Arial" w:hAnsi="Arial"/>
                <w:sz w:val="14"/>
                <w:szCs w:val="14"/>
                <w:color w:val="auto"/>
              </w:rPr>
              <w:t>01/31/13</w:t>
            </w: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2"/>
                <w:szCs w:val="12"/>
                <w:color w:val="auto"/>
              </w:rPr>
            </w:pPr>
          </w:p>
        </w:tc>
        <w:tc>
          <w:tcPr>
            <w:tcW w:w="8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50,813</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2.81000</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01/31/13</w:t>
            </w: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1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72"/>
              <w:spacing w:after="0" w:line="149" w:lineRule="exact"/>
              <w:rPr>
                <w:sz w:val="20"/>
                <w:szCs w:val="20"/>
                <w:color w:val="auto"/>
              </w:rPr>
            </w:pPr>
            <w:r>
              <w:rPr>
                <w:rFonts w:ascii="Arial" w:cs="Arial" w:eastAsia="Arial" w:hAnsi="Arial"/>
                <w:sz w:val="14"/>
                <w:szCs w:val="14"/>
                <w:color w:val="auto"/>
              </w:rPr>
              <w:t>12,736</w:t>
            </w:r>
          </w:p>
        </w:tc>
        <w:tc>
          <w:tcPr>
            <w:tcW w:w="220" w:type="dxa"/>
            <w:vAlign w:val="bottom"/>
            <w:shd w:val="clear" w:color="auto" w:fill="EAF9E8"/>
          </w:tcPr>
          <w:p>
            <w:pPr>
              <w:spacing w:after="0"/>
              <w:rPr>
                <w:sz w:val="12"/>
                <w:szCs w:val="12"/>
                <w:color w:val="auto"/>
              </w:rPr>
            </w:pPr>
          </w:p>
        </w:tc>
        <w:tc>
          <w:tcPr>
            <w:tcW w:w="5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EAF9E8"/>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6.18000</w:t>
            </w:r>
          </w:p>
        </w:tc>
        <w:tc>
          <w:tcPr>
            <w:tcW w:w="1080" w:type="dxa"/>
            <w:vAlign w:val="bottom"/>
            <w:gridSpan w:val="2"/>
            <w:shd w:val="clear" w:color="auto" w:fill="EAF9E8"/>
          </w:tcPr>
          <w:p>
            <w:pPr>
              <w:ind w:left="460"/>
              <w:spacing w:after="0" w:line="149" w:lineRule="exact"/>
              <w:rPr>
                <w:sz w:val="20"/>
                <w:szCs w:val="20"/>
                <w:color w:val="auto"/>
              </w:rPr>
            </w:pPr>
            <w:r>
              <w:rPr>
                <w:rFonts w:ascii="Arial" w:cs="Arial" w:eastAsia="Arial" w:hAnsi="Arial"/>
                <w:sz w:val="14"/>
                <w:szCs w:val="14"/>
                <w:color w:val="auto"/>
              </w:rPr>
              <w:t>01/31/14</w:t>
            </w: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2"/>
                <w:szCs w:val="12"/>
                <w:color w:val="auto"/>
              </w:rPr>
            </w:pPr>
          </w:p>
        </w:tc>
        <w:tc>
          <w:tcPr>
            <w:tcW w:w="8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50,943</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10.73000</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01/31/14</w:t>
            </w: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76"/>
        </w:trPr>
        <w:tc>
          <w:tcPr>
            <w:tcW w:w="122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960" w:type="dxa"/>
            <w:vAlign w:val="bottom"/>
            <w:shd w:val="clear" w:color="auto" w:fill="EAF9E8"/>
          </w:tcPr>
          <w:p>
            <w:pPr>
              <w:jc w:val="right"/>
              <w:ind w:right="172"/>
              <w:spacing w:after="0"/>
              <w:rPr>
                <w:sz w:val="20"/>
                <w:szCs w:val="20"/>
                <w:color w:val="auto"/>
              </w:rPr>
            </w:pPr>
            <w:r>
              <w:rPr>
                <w:rFonts w:ascii="Arial" w:cs="Arial" w:eastAsia="Arial" w:hAnsi="Arial"/>
                <w:sz w:val="14"/>
                <w:szCs w:val="14"/>
                <w:color w:val="auto"/>
              </w:rPr>
              <w:t>38,298</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9,574</w:t>
            </w:r>
          </w:p>
        </w:tc>
        <w:tc>
          <w:tcPr>
            <w:tcW w:w="36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rPr>
              <w:t>(1)</w:t>
            </w:r>
          </w:p>
        </w:tc>
        <w:tc>
          <w:tcPr>
            <w:tcW w:w="1060" w:type="dxa"/>
            <w:vAlign w:val="bottom"/>
            <w:gridSpan w:val="2"/>
            <w:shd w:val="clear" w:color="auto" w:fill="EAF9E8"/>
          </w:tcPr>
          <w:p>
            <w:pPr>
              <w:jc w:val="right"/>
              <w:ind w:right="32"/>
              <w:spacing w:after="0"/>
              <w:rPr>
                <w:sz w:val="20"/>
                <w:szCs w:val="20"/>
                <w:color w:val="auto"/>
              </w:rPr>
            </w:pPr>
            <w:r>
              <w:rPr>
                <w:rFonts w:ascii="Arial" w:cs="Arial" w:eastAsia="Arial" w:hAnsi="Arial"/>
                <w:sz w:val="14"/>
                <w:szCs w:val="14"/>
                <w:color w:val="auto"/>
              </w:rPr>
              <w:t>9,574</w:t>
            </w:r>
          </w:p>
        </w:tc>
        <w:tc>
          <w:tcPr>
            <w:tcW w:w="380" w:type="dxa"/>
            <w:vAlign w:val="bottom"/>
            <w:gridSpan w:val="2"/>
            <w:shd w:val="clear" w:color="auto" w:fill="EAF9E8"/>
          </w:tcPr>
          <w:p>
            <w:pPr>
              <w:ind w:lef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8.04000</w:t>
            </w:r>
          </w:p>
        </w:tc>
        <w:tc>
          <w:tcPr>
            <w:tcW w:w="1080" w:type="dxa"/>
            <w:vAlign w:val="bottom"/>
            <w:gridSpan w:val="2"/>
            <w:shd w:val="clear" w:color="auto" w:fill="EAF9E8"/>
          </w:tcPr>
          <w:p>
            <w:pPr>
              <w:ind w:left="460"/>
              <w:spacing w:after="0"/>
              <w:rPr>
                <w:sz w:val="20"/>
                <w:szCs w:val="20"/>
                <w:color w:val="auto"/>
              </w:rPr>
            </w:pPr>
            <w:r>
              <w:rPr>
                <w:rFonts w:ascii="Arial" w:cs="Arial" w:eastAsia="Arial" w:hAnsi="Arial"/>
                <w:sz w:val="14"/>
                <w:szCs w:val="14"/>
                <w:color w:val="auto"/>
              </w:rPr>
              <w:t>01/31/15</w:t>
            </w:r>
          </w:p>
        </w:tc>
        <w:tc>
          <w:tcPr>
            <w:tcW w:w="220" w:type="dxa"/>
            <w:vAlign w:val="bottom"/>
            <w:shd w:val="clear" w:color="auto" w:fill="EAF9E8"/>
          </w:tcPr>
          <w:p>
            <w:pPr>
              <w:spacing w:after="0"/>
              <w:rPr>
                <w:sz w:val="15"/>
                <w:szCs w:val="15"/>
                <w:color w:val="auto"/>
              </w:rPr>
            </w:pPr>
          </w:p>
        </w:tc>
        <w:tc>
          <w:tcPr>
            <w:tcW w:w="84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60" w:type="dxa"/>
            <w:vAlign w:val="bottom"/>
            <w:shd w:val="clear" w:color="auto" w:fill="EAF9E8"/>
          </w:tcPr>
          <w:p>
            <w:pPr>
              <w:spacing w:after="0"/>
              <w:rPr>
                <w:sz w:val="15"/>
                <w:szCs w:val="15"/>
                <w:color w:val="auto"/>
              </w:rPr>
            </w:pPr>
          </w:p>
        </w:tc>
        <w:tc>
          <w:tcPr>
            <w:tcW w:w="68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5"/>
                <w:szCs w:val="15"/>
                <w:color w:val="auto"/>
              </w:rPr>
            </w:pP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5"/>
                <w:szCs w:val="15"/>
                <w:color w:val="auto"/>
              </w:rPr>
            </w:pPr>
          </w:p>
        </w:tc>
      </w:tr>
      <w:tr>
        <w:trPr>
          <w:trHeight w:val="176"/>
        </w:trPr>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color w:val="auto"/>
              </w:rPr>
              <w:t>41,883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27,922</w:t>
            </w:r>
          </w:p>
        </w:tc>
        <w:tc>
          <w:tcPr>
            <w:tcW w:w="360" w:type="dxa"/>
            <w:vAlign w:val="bottom"/>
          </w:tcPr>
          <w:p>
            <w:pPr>
              <w:jc w:val="right"/>
              <w:ind w:right="144"/>
              <w:spacing w:after="0"/>
              <w:rPr>
                <w:sz w:val="20"/>
                <w:szCs w:val="20"/>
                <w:color w:val="auto"/>
              </w:rPr>
            </w:pPr>
            <w:r>
              <w:rPr>
                <w:rFonts w:ascii="Arial" w:cs="Arial" w:eastAsia="Arial" w:hAnsi="Arial"/>
                <w:sz w:val="11"/>
                <w:szCs w:val="11"/>
                <w:color w:val="auto"/>
              </w:rPr>
              <w:t>(2)</w:t>
            </w:r>
          </w:p>
        </w:tc>
        <w:tc>
          <w:tcPr>
            <w:tcW w:w="1060" w:type="dxa"/>
            <w:vAlign w:val="bottom"/>
            <w:gridSpan w:val="2"/>
          </w:tcPr>
          <w:p>
            <w:pPr>
              <w:jc w:val="right"/>
              <w:ind w:right="32"/>
              <w:spacing w:after="0"/>
              <w:rPr>
                <w:sz w:val="20"/>
                <w:szCs w:val="20"/>
                <w:color w:val="auto"/>
              </w:rPr>
            </w:pPr>
            <w:r>
              <w:rPr>
                <w:rFonts w:ascii="Arial" w:cs="Arial" w:eastAsia="Arial" w:hAnsi="Arial"/>
                <w:sz w:val="14"/>
                <w:szCs w:val="14"/>
                <w:color w:val="auto"/>
              </w:rPr>
              <w:t>27,922</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9.64000</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01/31/16</w:t>
            </w:r>
          </w:p>
        </w:tc>
        <w:tc>
          <w:tcPr>
            <w:tcW w:w="22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6"/>
        </w:trPr>
        <w:tc>
          <w:tcPr>
            <w:tcW w:w="122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960" w:type="dxa"/>
            <w:vAlign w:val="bottom"/>
            <w:shd w:val="clear" w:color="auto" w:fill="EAF9E8"/>
          </w:tcPr>
          <w:p>
            <w:pPr>
              <w:jc w:val="right"/>
              <w:ind w:right="172"/>
              <w:spacing w:after="0"/>
              <w:rPr>
                <w:sz w:val="20"/>
                <w:szCs w:val="20"/>
                <w:color w:val="auto"/>
              </w:rPr>
            </w:pPr>
            <w:r>
              <w:rPr>
                <w:rFonts w:ascii="Arial" w:cs="Arial" w:eastAsia="Arial" w:hAnsi="Arial"/>
                <w:sz w:val="14"/>
                <w:szCs w:val="14"/>
                <w:color w:val="auto"/>
              </w:rPr>
              <w:t>61,692</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41,129</w:t>
            </w:r>
          </w:p>
        </w:tc>
        <w:tc>
          <w:tcPr>
            <w:tcW w:w="36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rPr>
              <w:t>(3)</w:t>
            </w:r>
          </w:p>
        </w:tc>
        <w:tc>
          <w:tcPr>
            <w:tcW w:w="1060" w:type="dxa"/>
            <w:vAlign w:val="bottom"/>
            <w:gridSpan w:val="2"/>
            <w:shd w:val="clear" w:color="auto" w:fill="EAF9E8"/>
          </w:tcPr>
          <w:p>
            <w:pPr>
              <w:jc w:val="right"/>
              <w:ind w:right="32"/>
              <w:spacing w:after="0"/>
              <w:rPr>
                <w:sz w:val="20"/>
                <w:szCs w:val="20"/>
                <w:color w:val="auto"/>
              </w:rPr>
            </w:pPr>
            <w:r>
              <w:rPr>
                <w:rFonts w:ascii="Arial" w:cs="Arial" w:eastAsia="Arial" w:hAnsi="Arial"/>
                <w:sz w:val="14"/>
                <w:szCs w:val="14"/>
                <w:color w:val="auto"/>
              </w:rPr>
              <w:t>41,129</w:t>
            </w:r>
          </w:p>
        </w:tc>
        <w:tc>
          <w:tcPr>
            <w:tcW w:w="380" w:type="dxa"/>
            <w:vAlign w:val="bottom"/>
            <w:gridSpan w:val="2"/>
            <w:shd w:val="clear" w:color="auto" w:fill="EAF9E8"/>
          </w:tcPr>
          <w:p>
            <w:pPr>
              <w:ind w:lef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11.88000</w:t>
            </w:r>
          </w:p>
        </w:tc>
        <w:tc>
          <w:tcPr>
            <w:tcW w:w="1080" w:type="dxa"/>
            <w:vAlign w:val="bottom"/>
            <w:gridSpan w:val="2"/>
            <w:shd w:val="clear" w:color="auto" w:fill="EAF9E8"/>
          </w:tcPr>
          <w:p>
            <w:pPr>
              <w:ind w:left="460"/>
              <w:spacing w:after="0"/>
              <w:rPr>
                <w:sz w:val="20"/>
                <w:szCs w:val="20"/>
                <w:color w:val="auto"/>
              </w:rPr>
            </w:pPr>
            <w:r>
              <w:rPr>
                <w:rFonts w:ascii="Arial" w:cs="Arial" w:eastAsia="Arial" w:hAnsi="Arial"/>
                <w:sz w:val="14"/>
                <w:szCs w:val="14"/>
                <w:color w:val="auto"/>
              </w:rPr>
              <w:t>05/10/17</w:t>
            </w:r>
          </w:p>
        </w:tc>
        <w:tc>
          <w:tcPr>
            <w:tcW w:w="220" w:type="dxa"/>
            <w:vAlign w:val="bottom"/>
            <w:shd w:val="clear" w:color="auto" w:fill="EAF9E8"/>
          </w:tcPr>
          <w:p>
            <w:pPr>
              <w:spacing w:after="0"/>
              <w:rPr>
                <w:sz w:val="15"/>
                <w:szCs w:val="15"/>
                <w:color w:val="auto"/>
              </w:rPr>
            </w:pPr>
          </w:p>
        </w:tc>
        <w:tc>
          <w:tcPr>
            <w:tcW w:w="84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60" w:type="dxa"/>
            <w:vAlign w:val="bottom"/>
            <w:shd w:val="clear" w:color="auto" w:fill="EAF9E8"/>
          </w:tcPr>
          <w:p>
            <w:pPr>
              <w:spacing w:after="0"/>
              <w:rPr>
                <w:sz w:val="15"/>
                <w:szCs w:val="15"/>
                <w:color w:val="auto"/>
              </w:rPr>
            </w:pPr>
          </w:p>
        </w:tc>
        <w:tc>
          <w:tcPr>
            <w:tcW w:w="68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5"/>
                <w:szCs w:val="15"/>
                <w:color w:val="auto"/>
              </w:rPr>
            </w:pP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5"/>
                <w:szCs w:val="15"/>
                <w:color w:val="auto"/>
              </w:rPr>
            </w:pPr>
          </w:p>
        </w:tc>
      </w:tr>
      <w:tr>
        <w:trPr>
          <w:trHeight w:val="176"/>
        </w:trPr>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tcPr>
          <w:p>
            <w:pPr>
              <w:jc w:val="right"/>
              <w:ind w:right="144"/>
              <w:spacing w:after="0"/>
              <w:rPr>
                <w:sz w:val="20"/>
                <w:szCs w:val="20"/>
                <w:color w:val="auto"/>
              </w:rPr>
            </w:pPr>
            <w:r>
              <w:rPr>
                <w:rFonts w:ascii="Arial" w:cs="Arial" w:eastAsia="Arial" w:hAnsi="Arial"/>
                <w:sz w:val="11"/>
                <w:szCs w:val="11"/>
                <w:color w:val="auto"/>
              </w:rPr>
              <w:t>(4)</w:t>
            </w:r>
          </w:p>
        </w:tc>
        <w:tc>
          <w:tcPr>
            <w:tcW w:w="1060" w:type="dxa"/>
            <w:vAlign w:val="bottom"/>
            <w:gridSpan w:val="2"/>
          </w:tcPr>
          <w:p>
            <w:pPr>
              <w:jc w:val="right"/>
              <w:ind w:right="32"/>
              <w:spacing w:after="0"/>
              <w:rPr>
                <w:sz w:val="20"/>
                <w:szCs w:val="20"/>
                <w:color w:val="auto"/>
              </w:rPr>
            </w:pPr>
            <w:r>
              <w:rPr>
                <w:rFonts w:ascii="Arial" w:cs="Arial" w:eastAsia="Arial" w:hAnsi="Arial"/>
                <w:sz w:val="14"/>
                <w:szCs w:val="14"/>
                <w:color w:val="auto"/>
              </w:rPr>
              <w:t>600,000</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8.00000</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07/14/18</w:t>
            </w:r>
          </w:p>
        </w:tc>
        <w:tc>
          <w:tcPr>
            <w:tcW w:w="22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6"/>
        </w:trPr>
        <w:tc>
          <w:tcPr>
            <w:tcW w:w="122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960" w:type="dxa"/>
            <w:vAlign w:val="bottom"/>
            <w:shd w:val="clear" w:color="auto" w:fill="EAF9E8"/>
          </w:tcPr>
          <w:p>
            <w:pPr>
              <w:jc w:val="right"/>
              <w:ind w:right="172"/>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1,200,000</w:t>
            </w:r>
          </w:p>
        </w:tc>
        <w:tc>
          <w:tcPr>
            <w:tcW w:w="36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rPr>
              <w:t>(5)</w:t>
            </w:r>
          </w:p>
        </w:tc>
        <w:tc>
          <w:tcPr>
            <w:tcW w:w="1060" w:type="dxa"/>
            <w:vAlign w:val="bottom"/>
            <w:gridSpan w:val="2"/>
            <w:shd w:val="clear" w:color="auto" w:fill="EAF9E8"/>
          </w:tcPr>
          <w:p>
            <w:pPr>
              <w:jc w:val="right"/>
              <w:ind w:right="32"/>
              <w:spacing w:after="0"/>
              <w:rPr>
                <w:sz w:val="20"/>
                <w:szCs w:val="20"/>
                <w:color w:val="auto"/>
              </w:rPr>
            </w:pPr>
            <w:r>
              <w:rPr>
                <w:rFonts w:ascii="Arial" w:cs="Arial" w:eastAsia="Arial" w:hAnsi="Arial"/>
                <w:sz w:val="14"/>
                <w:szCs w:val="14"/>
                <w:color w:val="auto"/>
              </w:rPr>
              <w:t>1,200,000</w:t>
            </w:r>
          </w:p>
        </w:tc>
        <w:tc>
          <w:tcPr>
            <w:tcW w:w="380" w:type="dxa"/>
            <w:vAlign w:val="bottom"/>
            <w:gridSpan w:val="2"/>
            <w:shd w:val="clear" w:color="auto" w:fill="EAF9E8"/>
          </w:tcPr>
          <w:p>
            <w:pPr>
              <w:ind w:lef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8.00000</w:t>
            </w:r>
          </w:p>
        </w:tc>
        <w:tc>
          <w:tcPr>
            <w:tcW w:w="1080" w:type="dxa"/>
            <w:vAlign w:val="bottom"/>
            <w:gridSpan w:val="2"/>
            <w:shd w:val="clear" w:color="auto" w:fill="EAF9E8"/>
          </w:tcPr>
          <w:p>
            <w:pPr>
              <w:ind w:left="460"/>
              <w:spacing w:after="0"/>
              <w:rPr>
                <w:sz w:val="20"/>
                <w:szCs w:val="20"/>
                <w:color w:val="auto"/>
              </w:rPr>
            </w:pPr>
            <w:r>
              <w:rPr>
                <w:rFonts w:ascii="Arial" w:cs="Arial" w:eastAsia="Arial" w:hAnsi="Arial"/>
                <w:sz w:val="14"/>
                <w:szCs w:val="14"/>
                <w:color w:val="auto"/>
              </w:rPr>
              <w:t>07/14/18</w:t>
            </w:r>
          </w:p>
        </w:tc>
        <w:tc>
          <w:tcPr>
            <w:tcW w:w="220" w:type="dxa"/>
            <w:vAlign w:val="bottom"/>
            <w:shd w:val="clear" w:color="auto" w:fill="EAF9E8"/>
          </w:tcPr>
          <w:p>
            <w:pPr>
              <w:spacing w:after="0"/>
              <w:rPr>
                <w:sz w:val="15"/>
                <w:szCs w:val="15"/>
                <w:color w:val="auto"/>
              </w:rPr>
            </w:pPr>
          </w:p>
        </w:tc>
        <w:tc>
          <w:tcPr>
            <w:tcW w:w="84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60" w:type="dxa"/>
            <w:vAlign w:val="bottom"/>
            <w:shd w:val="clear" w:color="auto" w:fill="EAF9E8"/>
          </w:tcPr>
          <w:p>
            <w:pPr>
              <w:spacing w:after="0"/>
              <w:rPr>
                <w:sz w:val="15"/>
                <w:szCs w:val="15"/>
                <w:color w:val="auto"/>
              </w:rPr>
            </w:pPr>
          </w:p>
        </w:tc>
        <w:tc>
          <w:tcPr>
            <w:tcW w:w="68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5"/>
                <w:szCs w:val="15"/>
                <w:color w:val="auto"/>
              </w:rPr>
            </w:pP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5"/>
                <w:szCs w:val="15"/>
                <w:color w:val="auto"/>
              </w:rPr>
            </w:pPr>
          </w:p>
        </w:tc>
      </w:tr>
      <w:tr>
        <w:trPr>
          <w:trHeight w:val="189"/>
        </w:trPr>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tcPr>
          <w:p>
            <w:pPr>
              <w:jc w:val="right"/>
              <w:ind w:right="144"/>
              <w:spacing w:after="0"/>
              <w:rPr>
                <w:sz w:val="20"/>
                <w:szCs w:val="20"/>
                <w:color w:val="auto"/>
              </w:rPr>
            </w:pPr>
            <w:r>
              <w:rPr>
                <w:rFonts w:ascii="Arial" w:cs="Arial" w:eastAsia="Arial" w:hAnsi="Arial"/>
                <w:sz w:val="11"/>
                <w:szCs w:val="11"/>
                <w:color w:val="auto"/>
              </w:rPr>
              <w:t>(6)</w:t>
            </w:r>
          </w:p>
        </w:tc>
        <w:tc>
          <w:tcPr>
            <w:tcW w:w="1060" w:type="dxa"/>
            <w:vAlign w:val="bottom"/>
            <w:gridSpan w:val="2"/>
          </w:tcPr>
          <w:p>
            <w:pPr>
              <w:jc w:val="right"/>
              <w:ind w:right="32"/>
              <w:spacing w:after="0"/>
              <w:rPr>
                <w:sz w:val="20"/>
                <w:szCs w:val="20"/>
                <w:color w:val="auto"/>
              </w:rPr>
            </w:pPr>
            <w:r>
              <w:rPr>
                <w:rFonts w:ascii="Arial" w:cs="Arial" w:eastAsia="Arial" w:hAnsi="Arial"/>
                <w:sz w:val="14"/>
                <w:szCs w:val="14"/>
                <w:color w:val="auto"/>
              </w:rPr>
              <w:t>600,000</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8.00000</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07/14/18</w:t>
            </w:r>
          </w:p>
        </w:tc>
        <w:tc>
          <w:tcPr>
            <w:tcW w:w="220" w:type="dxa"/>
            <w:vAlign w:val="bottom"/>
          </w:tcPr>
          <w:p>
            <w:pPr>
              <w:spacing w:after="0"/>
              <w:rPr>
                <w:sz w:val="16"/>
                <w:szCs w:val="16"/>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r>
      <w:tr>
        <w:trPr>
          <w:trHeight w:val="136"/>
        </w:trPr>
        <w:tc>
          <w:tcPr>
            <w:tcW w:w="1460" w:type="dxa"/>
            <w:vAlign w:val="bottom"/>
            <w:gridSpan w:val="2"/>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c>
          <w:tcPr>
            <w:tcW w:w="1060" w:type="dxa"/>
            <w:vAlign w:val="bottom"/>
            <w:gridSpan w:val="2"/>
          </w:tcPr>
          <w:p>
            <w:pPr>
              <w:spacing w:after="0"/>
              <w:rPr>
                <w:sz w:val="11"/>
                <w:szCs w:val="11"/>
                <w:color w:val="auto"/>
              </w:rPr>
            </w:pPr>
          </w:p>
        </w:tc>
        <w:tc>
          <w:tcPr>
            <w:tcW w:w="300" w:type="dxa"/>
            <w:vAlign w:val="bottom"/>
            <w:gridSpan w:val="2"/>
          </w:tcPr>
          <w:p>
            <w:pPr>
              <w:spacing w:after="0"/>
              <w:rPr>
                <w:sz w:val="11"/>
                <w:szCs w:val="11"/>
                <w:color w:val="auto"/>
              </w:rPr>
            </w:pPr>
          </w:p>
        </w:tc>
        <w:tc>
          <w:tcPr>
            <w:tcW w:w="6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6"/>
        </w:trPr>
        <w:tc>
          <w:tcPr>
            <w:tcW w:w="1460" w:type="dxa"/>
            <w:vAlign w:val="bottom"/>
            <w:gridSpan w:val="2"/>
            <w:shd w:val="clear" w:color="auto" w:fill="EAF9E8"/>
          </w:tcPr>
          <w:p>
            <w:pPr>
              <w:spacing w:after="0"/>
              <w:rPr>
                <w:sz w:val="20"/>
                <w:szCs w:val="20"/>
                <w:color w:val="auto"/>
              </w:rPr>
            </w:pPr>
            <w:r>
              <w:rPr>
                <w:rFonts w:ascii="Arial" w:cs="Arial" w:eastAsia="Arial" w:hAnsi="Arial"/>
                <w:sz w:val="14"/>
                <w:szCs w:val="14"/>
                <w:color w:val="auto"/>
              </w:rPr>
              <w:t>Ronald M. Faris</w:t>
            </w:r>
          </w:p>
        </w:tc>
        <w:tc>
          <w:tcPr>
            <w:tcW w:w="960" w:type="dxa"/>
            <w:vAlign w:val="bottom"/>
            <w:shd w:val="clear" w:color="auto" w:fill="EAF9E8"/>
          </w:tcPr>
          <w:p>
            <w:pPr>
              <w:jc w:val="right"/>
              <w:ind w:right="172"/>
              <w:spacing w:after="0"/>
              <w:rPr>
                <w:sz w:val="20"/>
                <w:szCs w:val="20"/>
                <w:color w:val="auto"/>
              </w:rPr>
            </w:pPr>
            <w:r>
              <w:rPr>
                <w:rFonts w:ascii="Arial" w:cs="Arial" w:eastAsia="Arial" w:hAnsi="Arial"/>
                <w:sz w:val="14"/>
                <w:szCs w:val="14"/>
                <w:color w:val="auto"/>
              </w:rPr>
              <w:t>11,524</w:t>
            </w:r>
          </w:p>
        </w:tc>
        <w:tc>
          <w:tcPr>
            <w:tcW w:w="220" w:type="dxa"/>
            <w:vAlign w:val="bottom"/>
            <w:shd w:val="clear" w:color="auto" w:fill="EAF9E8"/>
          </w:tcPr>
          <w:p>
            <w:pPr>
              <w:spacing w:after="0"/>
              <w:rPr>
                <w:sz w:val="15"/>
                <w:szCs w:val="15"/>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84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EAF9E8"/>
          </w:tcPr>
          <w:p>
            <w:pPr>
              <w:ind w:lef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12.31250</w:t>
            </w:r>
          </w:p>
        </w:tc>
        <w:tc>
          <w:tcPr>
            <w:tcW w:w="1080" w:type="dxa"/>
            <w:vAlign w:val="bottom"/>
            <w:gridSpan w:val="2"/>
            <w:shd w:val="clear" w:color="auto" w:fill="EAF9E8"/>
          </w:tcPr>
          <w:p>
            <w:pPr>
              <w:ind w:left="460"/>
              <w:spacing w:after="0"/>
              <w:rPr>
                <w:sz w:val="20"/>
                <w:szCs w:val="20"/>
                <w:color w:val="auto"/>
              </w:rPr>
            </w:pPr>
            <w:r>
              <w:rPr>
                <w:rFonts w:ascii="Arial" w:cs="Arial" w:eastAsia="Arial" w:hAnsi="Arial"/>
                <w:sz w:val="14"/>
                <w:szCs w:val="14"/>
                <w:color w:val="auto"/>
              </w:rPr>
              <w:t>01/31/09</w:t>
            </w:r>
          </w:p>
        </w:tc>
        <w:tc>
          <w:tcPr>
            <w:tcW w:w="1060" w:type="dxa"/>
            <w:vAlign w:val="bottom"/>
            <w:gridSpan w:val="2"/>
            <w:shd w:val="clear" w:color="auto" w:fill="EAF9E8"/>
          </w:tcPr>
          <w:p>
            <w:pPr>
              <w:jc w:val="right"/>
              <w:ind w:right="32"/>
              <w:spacing w:after="0"/>
              <w:rPr>
                <w:sz w:val="20"/>
                <w:szCs w:val="20"/>
                <w:color w:val="auto"/>
              </w:rPr>
            </w:pPr>
            <w:r>
              <w:rPr>
                <w:rFonts w:ascii="Arial" w:cs="Arial" w:eastAsia="Arial" w:hAnsi="Arial"/>
                <w:sz w:val="14"/>
                <w:szCs w:val="14"/>
                <w:color w:val="auto"/>
              </w:rPr>
              <w:t>5,806</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53,299</w:t>
            </w:r>
          </w:p>
        </w:tc>
        <w:tc>
          <w:tcPr>
            <w:tcW w:w="34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w w:val="88"/>
              </w:rPr>
              <w:t>(7)</w:t>
            </w: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5,806</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53,299</w:t>
            </w:r>
          </w:p>
        </w:tc>
        <w:tc>
          <w:tcPr>
            <w:tcW w:w="120" w:type="dxa"/>
            <w:vAlign w:val="bottom"/>
            <w:shd w:val="clear" w:color="auto" w:fill="EAF9E8"/>
          </w:tcPr>
          <w:p>
            <w:pPr>
              <w:spacing w:after="0"/>
              <w:rPr>
                <w:sz w:val="15"/>
                <w:szCs w:val="15"/>
                <w:color w:val="auto"/>
              </w:rPr>
            </w:pPr>
          </w:p>
        </w:tc>
      </w:tr>
      <w:tr>
        <w:trPr>
          <w:trHeight w:val="176"/>
        </w:trPr>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color w:val="auto"/>
              </w:rPr>
              <w:t>30,184</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6.25000</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01/31/10</w:t>
            </w:r>
          </w:p>
        </w:tc>
        <w:tc>
          <w:tcPr>
            <w:tcW w:w="1060" w:type="dxa"/>
            <w:vAlign w:val="bottom"/>
            <w:gridSpan w:val="2"/>
          </w:tcPr>
          <w:p>
            <w:pPr>
              <w:jc w:val="right"/>
              <w:ind w:right="32"/>
              <w:spacing w:after="0"/>
              <w:rPr>
                <w:sz w:val="20"/>
                <w:szCs w:val="20"/>
                <w:color w:val="auto"/>
              </w:rPr>
            </w:pPr>
            <w:r>
              <w:rPr>
                <w:rFonts w:ascii="Arial" w:cs="Arial" w:eastAsia="Arial" w:hAnsi="Arial"/>
                <w:sz w:val="14"/>
                <w:szCs w:val="14"/>
                <w:color w:val="auto"/>
              </w:rPr>
              <w:t>4,832</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44,358</w:t>
            </w:r>
          </w:p>
        </w:tc>
        <w:tc>
          <w:tcPr>
            <w:tcW w:w="340" w:type="dxa"/>
            <w:vAlign w:val="bottom"/>
          </w:tcPr>
          <w:p>
            <w:pPr>
              <w:jc w:val="right"/>
              <w:ind w:right="144"/>
              <w:spacing w:after="0"/>
              <w:rPr>
                <w:sz w:val="20"/>
                <w:szCs w:val="20"/>
                <w:color w:val="auto"/>
              </w:rPr>
            </w:pPr>
            <w:r>
              <w:rPr>
                <w:rFonts w:ascii="Arial" w:cs="Arial" w:eastAsia="Arial" w:hAnsi="Arial"/>
                <w:sz w:val="11"/>
                <w:szCs w:val="11"/>
                <w:color w:val="auto"/>
                <w:w w:val="88"/>
              </w:rPr>
              <w:t>(9)</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4,832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44,358</w:t>
            </w:r>
          </w:p>
        </w:tc>
        <w:tc>
          <w:tcPr>
            <w:tcW w:w="120" w:type="dxa"/>
            <w:vAlign w:val="bottom"/>
          </w:tcPr>
          <w:p>
            <w:pPr>
              <w:spacing w:after="0"/>
              <w:rPr>
                <w:sz w:val="15"/>
                <w:szCs w:val="15"/>
                <w:color w:val="auto"/>
              </w:rPr>
            </w:pPr>
          </w:p>
        </w:tc>
      </w:tr>
      <w:tr>
        <w:trPr>
          <w:trHeight w:val="149"/>
        </w:trPr>
        <w:tc>
          <w:tcPr>
            <w:tcW w:w="1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72"/>
              <w:spacing w:after="0" w:line="149" w:lineRule="exact"/>
              <w:rPr>
                <w:sz w:val="20"/>
                <w:szCs w:val="20"/>
                <w:color w:val="auto"/>
              </w:rPr>
            </w:pPr>
            <w:r>
              <w:rPr>
                <w:rFonts w:ascii="Arial" w:cs="Arial" w:eastAsia="Arial" w:hAnsi="Arial"/>
                <w:sz w:val="14"/>
                <w:szCs w:val="14"/>
                <w:color w:val="auto"/>
              </w:rPr>
              <w:t>121,927</w:t>
            </w:r>
          </w:p>
        </w:tc>
        <w:tc>
          <w:tcPr>
            <w:tcW w:w="220" w:type="dxa"/>
            <w:vAlign w:val="bottom"/>
            <w:shd w:val="clear" w:color="auto" w:fill="EAF9E8"/>
          </w:tcPr>
          <w:p>
            <w:pPr>
              <w:spacing w:after="0"/>
              <w:rPr>
                <w:sz w:val="12"/>
                <w:szCs w:val="12"/>
                <w:color w:val="auto"/>
              </w:rPr>
            </w:pPr>
          </w:p>
        </w:tc>
        <w:tc>
          <w:tcPr>
            <w:tcW w:w="5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EAF9E8"/>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4.08625</w:t>
            </w:r>
          </w:p>
        </w:tc>
        <w:tc>
          <w:tcPr>
            <w:tcW w:w="1080" w:type="dxa"/>
            <w:vAlign w:val="bottom"/>
            <w:gridSpan w:val="2"/>
            <w:shd w:val="clear" w:color="auto" w:fill="EAF9E8"/>
          </w:tcPr>
          <w:p>
            <w:pPr>
              <w:ind w:left="480"/>
              <w:spacing w:after="0" w:line="149" w:lineRule="exact"/>
              <w:rPr>
                <w:sz w:val="20"/>
                <w:szCs w:val="20"/>
                <w:color w:val="auto"/>
              </w:rPr>
            </w:pPr>
            <w:r>
              <w:rPr>
                <w:rFonts w:ascii="Arial" w:cs="Arial" w:eastAsia="Arial" w:hAnsi="Arial"/>
                <w:sz w:val="14"/>
                <w:szCs w:val="14"/>
                <w:color w:val="auto"/>
              </w:rPr>
              <w:t>01/31/11</w:t>
            </w: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2"/>
                <w:szCs w:val="12"/>
                <w:color w:val="auto"/>
              </w:rPr>
            </w:pPr>
          </w:p>
        </w:tc>
        <w:tc>
          <w:tcPr>
            <w:tcW w:w="8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30,482</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7.40000</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01/31/11</w:t>
            </w: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1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72"/>
              <w:spacing w:after="0" w:line="149" w:lineRule="exact"/>
              <w:rPr>
                <w:sz w:val="20"/>
                <w:szCs w:val="20"/>
                <w:color w:val="auto"/>
              </w:rPr>
            </w:pPr>
            <w:r>
              <w:rPr>
                <w:rFonts w:ascii="Arial" w:cs="Arial" w:eastAsia="Arial" w:hAnsi="Arial"/>
                <w:sz w:val="14"/>
                <w:szCs w:val="14"/>
                <w:color w:val="auto"/>
              </w:rPr>
              <w:t>200,000</w:t>
            </w:r>
          </w:p>
        </w:tc>
        <w:tc>
          <w:tcPr>
            <w:tcW w:w="220" w:type="dxa"/>
            <w:vAlign w:val="bottom"/>
            <w:shd w:val="clear" w:color="auto" w:fill="EAF9E8"/>
          </w:tcPr>
          <w:p>
            <w:pPr>
              <w:spacing w:after="0"/>
              <w:rPr>
                <w:sz w:val="12"/>
                <w:szCs w:val="12"/>
                <w:color w:val="auto"/>
              </w:rPr>
            </w:pPr>
          </w:p>
        </w:tc>
        <w:tc>
          <w:tcPr>
            <w:tcW w:w="5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EAF9E8"/>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12.55000</w:t>
            </w:r>
          </w:p>
        </w:tc>
        <w:tc>
          <w:tcPr>
            <w:tcW w:w="1080" w:type="dxa"/>
            <w:vAlign w:val="bottom"/>
            <w:gridSpan w:val="2"/>
            <w:shd w:val="clear" w:color="auto" w:fill="EAF9E8"/>
          </w:tcPr>
          <w:p>
            <w:pPr>
              <w:ind w:left="480"/>
              <w:spacing w:after="0" w:line="149" w:lineRule="exact"/>
              <w:rPr>
                <w:sz w:val="20"/>
                <w:szCs w:val="20"/>
                <w:color w:val="auto"/>
              </w:rPr>
            </w:pPr>
            <w:r>
              <w:rPr>
                <w:rFonts w:ascii="Arial" w:cs="Arial" w:eastAsia="Arial" w:hAnsi="Arial"/>
                <w:sz w:val="14"/>
                <w:szCs w:val="14"/>
                <w:color w:val="auto"/>
              </w:rPr>
              <w:t>10/31/11</w:t>
            </w: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2"/>
                <w:szCs w:val="12"/>
                <w:color w:val="auto"/>
              </w:rPr>
            </w:pPr>
          </w:p>
        </w:tc>
        <w:tc>
          <w:tcPr>
            <w:tcW w:w="8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71,989</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5.78900</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01/31/12</w:t>
            </w: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1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72"/>
              <w:spacing w:after="0" w:line="149" w:lineRule="exact"/>
              <w:rPr>
                <w:sz w:val="20"/>
                <w:szCs w:val="20"/>
                <w:color w:val="auto"/>
              </w:rPr>
            </w:pPr>
            <w:r>
              <w:rPr>
                <w:rFonts w:ascii="Arial" w:cs="Arial" w:eastAsia="Arial" w:hAnsi="Arial"/>
                <w:sz w:val="14"/>
                <w:szCs w:val="14"/>
                <w:color w:val="auto"/>
              </w:rPr>
              <w:t>47,992</w:t>
            </w:r>
          </w:p>
        </w:tc>
        <w:tc>
          <w:tcPr>
            <w:tcW w:w="220" w:type="dxa"/>
            <w:vAlign w:val="bottom"/>
            <w:shd w:val="clear" w:color="auto" w:fill="EAF9E8"/>
          </w:tcPr>
          <w:p>
            <w:pPr>
              <w:spacing w:after="0"/>
              <w:rPr>
                <w:sz w:val="12"/>
                <w:szCs w:val="12"/>
                <w:color w:val="auto"/>
              </w:rPr>
            </w:pPr>
          </w:p>
        </w:tc>
        <w:tc>
          <w:tcPr>
            <w:tcW w:w="5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EAF9E8"/>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7.00000</w:t>
            </w:r>
          </w:p>
        </w:tc>
        <w:tc>
          <w:tcPr>
            <w:tcW w:w="1080" w:type="dxa"/>
            <w:vAlign w:val="bottom"/>
            <w:gridSpan w:val="2"/>
            <w:shd w:val="clear" w:color="auto" w:fill="EAF9E8"/>
          </w:tcPr>
          <w:p>
            <w:pPr>
              <w:ind w:left="460"/>
              <w:spacing w:after="0" w:line="149" w:lineRule="exact"/>
              <w:rPr>
                <w:sz w:val="20"/>
                <w:szCs w:val="20"/>
                <w:color w:val="auto"/>
              </w:rPr>
            </w:pPr>
            <w:r>
              <w:rPr>
                <w:rFonts w:ascii="Arial" w:cs="Arial" w:eastAsia="Arial" w:hAnsi="Arial"/>
                <w:sz w:val="14"/>
                <w:szCs w:val="14"/>
                <w:color w:val="auto"/>
              </w:rPr>
              <w:t>01/31/12</w:t>
            </w: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2"/>
                <w:szCs w:val="12"/>
                <w:color w:val="auto"/>
              </w:rPr>
            </w:pPr>
          </w:p>
        </w:tc>
        <w:tc>
          <w:tcPr>
            <w:tcW w:w="8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31,781</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1.87000</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01/31/13</w:t>
            </w: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1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72"/>
              <w:spacing w:after="0" w:line="149" w:lineRule="exact"/>
              <w:rPr>
                <w:sz w:val="20"/>
                <w:szCs w:val="20"/>
                <w:color w:val="auto"/>
              </w:rPr>
            </w:pPr>
            <w:r>
              <w:rPr>
                <w:rFonts w:ascii="Arial" w:cs="Arial" w:eastAsia="Arial" w:hAnsi="Arial"/>
                <w:sz w:val="14"/>
                <w:szCs w:val="14"/>
                <w:color w:val="auto"/>
              </w:rPr>
              <w:t>47,672</w:t>
            </w:r>
          </w:p>
        </w:tc>
        <w:tc>
          <w:tcPr>
            <w:tcW w:w="220" w:type="dxa"/>
            <w:vAlign w:val="bottom"/>
            <w:shd w:val="clear" w:color="auto" w:fill="EAF9E8"/>
          </w:tcPr>
          <w:p>
            <w:pPr>
              <w:spacing w:after="0"/>
              <w:rPr>
                <w:sz w:val="12"/>
                <w:szCs w:val="12"/>
                <w:color w:val="auto"/>
              </w:rPr>
            </w:pPr>
          </w:p>
        </w:tc>
        <w:tc>
          <w:tcPr>
            <w:tcW w:w="5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EAF9E8"/>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2.81000</w:t>
            </w:r>
          </w:p>
        </w:tc>
        <w:tc>
          <w:tcPr>
            <w:tcW w:w="1080" w:type="dxa"/>
            <w:vAlign w:val="bottom"/>
            <w:gridSpan w:val="2"/>
            <w:shd w:val="clear" w:color="auto" w:fill="EAF9E8"/>
          </w:tcPr>
          <w:p>
            <w:pPr>
              <w:ind w:left="460"/>
              <w:spacing w:after="0" w:line="149" w:lineRule="exact"/>
              <w:rPr>
                <w:sz w:val="20"/>
                <w:szCs w:val="20"/>
                <w:color w:val="auto"/>
              </w:rPr>
            </w:pPr>
            <w:r>
              <w:rPr>
                <w:rFonts w:ascii="Arial" w:cs="Arial" w:eastAsia="Arial" w:hAnsi="Arial"/>
                <w:sz w:val="14"/>
                <w:szCs w:val="14"/>
                <w:color w:val="auto"/>
              </w:rPr>
              <w:t>01/31/13</w:t>
            </w: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2"/>
                <w:szCs w:val="12"/>
                <w:color w:val="auto"/>
              </w:rPr>
            </w:pPr>
          </w:p>
        </w:tc>
        <w:tc>
          <w:tcPr>
            <w:tcW w:w="8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13,390</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6.18000</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01/31/14</w:t>
            </w: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1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72"/>
              <w:spacing w:after="0" w:line="149" w:lineRule="exact"/>
              <w:rPr>
                <w:sz w:val="20"/>
                <w:szCs w:val="20"/>
                <w:color w:val="auto"/>
              </w:rPr>
            </w:pPr>
            <w:r>
              <w:rPr>
                <w:rFonts w:ascii="Arial" w:cs="Arial" w:eastAsia="Arial" w:hAnsi="Arial"/>
                <w:sz w:val="14"/>
                <w:szCs w:val="14"/>
                <w:color w:val="auto"/>
              </w:rPr>
              <w:t>53,560</w:t>
            </w:r>
          </w:p>
        </w:tc>
        <w:tc>
          <w:tcPr>
            <w:tcW w:w="220" w:type="dxa"/>
            <w:vAlign w:val="bottom"/>
            <w:shd w:val="clear" w:color="auto" w:fill="EAF9E8"/>
          </w:tcPr>
          <w:p>
            <w:pPr>
              <w:spacing w:after="0"/>
              <w:rPr>
                <w:sz w:val="12"/>
                <w:szCs w:val="12"/>
                <w:color w:val="auto"/>
              </w:rPr>
            </w:pPr>
          </w:p>
        </w:tc>
        <w:tc>
          <w:tcPr>
            <w:tcW w:w="5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EAF9E8"/>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10.73000</w:t>
            </w:r>
          </w:p>
        </w:tc>
        <w:tc>
          <w:tcPr>
            <w:tcW w:w="1080" w:type="dxa"/>
            <w:vAlign w:val="bottom"/>
            <w:gridSpan w:val="2"/>
            <w:shd w:val="clear" w:color="auto" w:fill="EAF9E8"/>
          </w:tcPr>
          <w:p>
            <w:pPr>
              <w:ind w:left="460"/>
              <w:spacing w:after="0" w:line="149" w:lineRule="exact"/>
              <w:rPr>
                <w:sz w:val="20"/>
                <w:szCs w:val="20"/>
                <w:color w:val="auto"/>
              </w:rPr>
            </w:pPr>
            <w:r>
              <w:rPr>
                <w:rFonts w:ascii="Arial" w:cs="Arial" w:eastAsia="Arial" w:hAnsi="Arial"/>
                <w:sz w:val="14"/>
                <w:szCs w:val="14"/>
                <w:color w:val="auto"/>
              </w:rPr>
              <w:t>01/31/14</w:t>
            </w:r>
          </w:p>
        </w:tc>
        <w:tc>
          <w:tcPr>
            <w:tcW w:w="22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2"/>
                <w:szCs w:val="12"/>
                <w:color w:val="auto"/>
              </w:rPr>
            </w:pPr>
          </w:p>
        </w:tc>
        <w:tc>
          <w:tcPr>
            <w:tcW w:w="8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r>
      <w:tr>
        <w:trPr>
          <w:trHeight w:val="176"/>
        </w:trPr>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color w:val="auto"/>
              </w:rPr>
              <w:t>29,840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7,461</w:t>
            </w:r>
          </w:p>
        </w:tc>
        <w:tc>
          <w:tcPr>
            <w:tcW w:w="360" w:type="dxa"/>
            <w:vAlign w:val="bottom"/>
          </w:tcPr>
          <w:p>
            <w:pPr>
              <w:jc w:val="right"/>
              <w:ind w:right="144"/>
              <w:spacing w:after="0"/>
              <w:rPr>
                <w:sz w:val="20"/>
                <w:szCs w:val="20"/>
                <w:color w:val="auto"/>
              </w:rPr>
            </w:pPr>
            <w:r>
              <w:rPr>
                <w:rFonts w:ascii="Arial" w:cs="Arial" w:eastAsia="Arial" w:hAnsi="Arial"/>
                <w:sz w:val="11"/>
                <w:szCs w:val="11"/>
                <w:color w:val="auto"/>
              </w:rPr>
              <w:t>(1)</w:t>
            </w:r>
          </w:p>
        </w:tc>
        <w:tc>
          <w:tcPr>
            <w:tcW w:w="1060" w:type="dxa"/>
            <w:vAlign w:val="bottom"/>
            <w:gridSpan w:val="2"/>
          </w:tcPr>
          <w:p>
            <w:pPr>
              <w:jc w:val="right"/>
              <w:ind w:right="32"/>
              <w:spacing w:after="0"/>
              <w:rPr>
                <w:sz w:val="20"/>
                <w:szCs w:val="20"/>
                <w:color w:val="auto"/>
              </w:rPr>
            </w:pPr>
            <w:r>
              <w:rPr>
                <w:rFonts w:ascii="Arial" w:cs="Arial" w:eastAsia="Arial" w:hAnsi="Arial"/>
                <w:sz w:val="14"/>
                <w:szCs w:val="14"/>
                <w:color w:val="auto"/>
              </w:rPr>
              <w:t>7,461</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8.04000</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01/31/15</w:t>
            </w:r>
          </w:p>
        </w:tc>
        <w:tc>
          <w:tcPr>
            <w:tcW w:w="22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6"/>
        </w:trPr>
        <w:tc>
          <w:tcPr>
            <w:tcW w:w="122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960" w:type="dxa"/>
            <w:vAlign w:val="bottom"/>
            <w:shd w:val="clear" w:color="auto" w:fill="EAF9E8"/>
          </w:tcPr>
          <w:p>
            <w:pPr>
              <w:jc w:val="right"/>
              <w:ind w:right="172"/>
              <w:spacing w:after="0"/>
              <w:rPr>
                <w:sz w:val="20"/>
                <w:szCs w:val="20"/>
                <w:color w:val="auto"/>
              </w:rPr>
            </w:pPr>
            <w:r>
              <w:rPr>
                <w:rFonts w:ascii="Arial" w:cs="Arial" w:eastAsia="Arial" w:hAnsi="Arial"/>
                <w:sz w:val="14"/>
                <w:szCs w:val="14"/>
                <w:color w:val="auto"/>
              </w:rPr>
              <w:t>36,303</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24,201</w:t>
            </w:r>
          </w:p>
        </w:tc>
        <w:tc>
          <w:tcPr>
            <w:tcW w:w="36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rPr>
              <w:t>(2)</w:t>
            </w:r>
          </w:p>
        </w:tc>
        <w:tc>
          <w:tcPr>
            <w:tcW w:w="1060" w:type="dxa"/>
            <w:vAlign w:val="bottom"/>
            <w:gridSpan w:val="2"/>
            <w:shd w:val="clear" w:color="auto" w:fill="EAF9E8"/>
          </w:tcPr>
          <w:p>
            <w:pPr>
              <w:jc w:val="right"/>
              <w:ind w:right="32"/>
              <w:spacing w:after="0"/>
              <w:rPr>
                <w:sz w:val="20"/>
                <w:szCs w:val="20"/>
                <w:color w:val="auto"/>
              </w:rPr>
            </w:pPr>
            <w:r>
              <w:rPr>
                <w:rFonts w:ascii="Arial" w:cs="Arial" w:eastAsia="Arial" w:hAnsi="Arial"/>
                <w:sz w:val="14"/>
                <w:szCs w:val="14"/>
                <w:color w:val="auto"/>
              </w:rPr>
              <w:t>24,201</w:t>
            </w:r>
          </w:p>
        </w:tc>
        <w:tc>
          <w:tcPr>
            <w:tcW w:w="380" w:type="dxa"/>
            <w:vAlign w:val="bottom"/>
            <w:gridSpan w:val="2"/>
            <w:shd w:val="clear" w:color="auto" w:fill="EAF9E8"/>
          </w:tcPr>
          <w:p>
            <w:pPr>
              <w:ind w:lef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9.64000</w:t>
            </w:r>
          </w:p>
        </w:tc>
        <w:tc>
          <w:tcPr>
            <w:tcW w:w="1080" w:type="dxa"/>
            <w:vAlign w:val="bottom"/>
            <w:gridSpan w:val="2"/>
            <w:shd w:val="clear" w:color="auto" w:fill="EAF9E8"/>
          </w:tcPr>
          <w:p>
            <w:pPr>
              <w:ind w:left="460"/>
              <w:spacing w:after="0"/>
              <w:rPr>
                <w:sz w:val="20"/>
                <w:szCs w:val="20"/>
                <w:color w:val="auto"/>
              </w:rPr>
            </w:pPr>
            <w:r>
              <w:rPr>
                <w:rFonts w:ascii="Arial" w:cs="Arial" w:eastAsia="Arial" w:hAnsi="Arial"/>
                <w:sz w:val="14"/>
                <w:szCs w:val="14"/>
                <w:color w:val="auto"/>
              </w:rPr>
              <w:t>01/31/16</w:t>
            </w:r>
          </w:p>
        </w:tc>
        <w:tc>
          <w:tcPr>
            <w:tcW w:w="220" w:type="dxa"/>
            <w:vAlign w:val="bottom"/>
            <w:shd w:val="clear" w:color="auto" w:fill="EAF9E8"/>
          </w:tcPr>
          <w:p>
            <w:pPr>
              <w:spacing w:after="0"/>
              <w:rPr>
                <w:sz w:val="15"/>
                <w:szCs w:val="15"/>
                <w:color w:val="auto"/>
              </w:rPr>
            </w:pPr>
          </w:p>
        </w:tc>
        <w:tc>
          <w:tcPr>
            <w:tcW w:w="84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60" w:type="dxa"/>
            <w:vAlign w:val="bottom"/>
            <w:shd w:val="clear" w:color="auto" w:fill="EAF9E8"/>
          </w:tcPr>
          <w:p>
            <w:pPr>
              <w:spacing w:after="0"/>
              <w:rPr>
                <w:sz w:val="15"/>
                <w:szCs w:val="15"/>
                <w:color w:val="auto"/>
              </w:rPr>
            </w:pPr>
          </w:p>
        </w:tc>
        <w:tc>
          <w:tcPr>
            <w:tcW w:w="68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5"/>
                <w:szCs w:val="15"/>
                <w:color w:val="auto"/>
              </w:rPr>
            </w:pP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5"/>
                <w:szCs w:val="15"/>
                <w:color w:val="auto"/>
              </w:rPr>
            </w:pPr>
          </w:p>
        </w:tc>
      </w:tr>
      <w:tr>
        <w:trPr>
          <w:trHeight w:val="176"/>
        </w:trPr>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color w:val="auto"/>
              </w:rPr>
              <w:t>50,916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33,945</w:t>
            </w:r>
          </w:p>
        </w:tc>
        <w:tc>
          <w:tcPr>
            <w:tcW w:w="360" w:type="dxa"/>
            <w:vAlign w:val="bottom"/>
          </w:tcPr>
          <w:p>
            <w:pPr>
              <w:jc w:val="right"/>
              <w:ind w:right="144"/>
              <w:spacing w:after="0"/>
              <w:rPr>
                <w:sz w:val="20"/>
                <w:szCs w:val="20"/>
                <w:color w:val="auto"/>
              </w:rPr>
            </w:pPr>
            <w:r>
              <w:rPr>
                <w:rFonts w:ascii="Arial" w:cs="Arial" w:eastAsia="Arial" w:hAnsi="Arial"/>
                <w:sz w:val="11"/>
                <w:szCs w:val="11"/>
                <w:color w:val="auto"/>
              </w:rPr>
              <w:t>(3)</w:t>
            </w:r>
          </w:p>
        </w:tc>
        <w:tc>
          <w:tcPr>
            <w:tcW w:w="1060" w:type="dxa"/>
            <w:vAlign w:val="bottom"/>
            <w:gridSpan w:val="2"/>
          </w:tcPr>
          <w:p>
            <w:pPr>
              <w:jc w:val="right"/>
              <w:ind w:right="32"/>
              <w:spacing w:after="0"/>
              <w:rPr>
                <w:sz w:val="20"/>
                <w:szCs w:val="20"/>
                <w:color w:val="auto"/>
              </w:rPr>
            </w:pPr>
            <w:r>
              <w:rPr>
                <w:rFonts w:ascii="Arial" w:cs="Arial" w:eastAsia="Arial" w:hAnsi="Arial"/>
                <w:sz w:val="14"/>
                <w:szCs w:val="14"/>
                <w:color w:val="auto"/>
              </w:rPr>
              <w:t>33,945</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11.88000</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05/10/17</w:t>
            </w:r>
          </w:p>
        </w:tc>
        <w:tc>
          <w:tcPr>
            <w:tcW w:w="22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6"/>
        </w:trPr>
        <w:tc>
          <w:tcPr>
            <w:tcW w:w="122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960" w:type="dxa"/>
            <w:vAlign w:val="bottom"/>
            <w:shd w:val="clear" w:color="auto" w:fill="EAF9E8"/>
          </w:tcPr>
          <w:p>
            <w:pPr>
              <w:jc w:val="right"/>
              <w:ind w:right="172"/>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310,000</w:t>
            </w:r>
          </w:p>
        </w:tc>
        <w:tc>
          <w:tcPr>
            <w:tcW w:w="36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rPr>
              <w:t>(4)</w:t>
            </w:r>
          </w:p>
        </w:tc>
        <w:tc>
          <w:tcPr>
            <w:tcW w:w="1060" w:type="dxa"/>
            <w:vAlign w:val="bottom"/>
            <w:gridSpan w:val="2"/>
            <w:shd w:val="clear" w:color="auto" w:fill="EAF9E8"/>
          </w:tcPr>
          <w:p>
            <w:pPr>
              <w:jc w:val="right"/>
              <w:ind w:right="32"/>
              <w:spacing w:after="0"/>
              <w:rPr>
                <w:sz w:val="20"/>
                <w:szCs w:val="20"/>
                <w:color w:val="auto"/>
              </w:rPr>
            </w:pPr>
            <w:r>
              <w:rPr>
                <w:rFonts w:ascii="Arial" w:cs="Arial" w:eastAsia="Arial" w:hAnsi="Arial"/>
                <w:sz w:val="14"/>
                <w:szCs w:val="14"/>
                <w:color w:val="auto"/>
              </w:rPr>
              <w:t>310,000</w:t>
            </w:r>
          </w:p>
        </w:tc>
        <w:tc>
          <w:tcPr>
            <w:tcW w:w="380" w:type="dxa"/>
            <w:vAlign w:val="bottom"/>
            <w:gridSpan w:val="2"/>
            <w:shd w:val="clear" w:color="auto" w:fill="EAF9E8"/>
          </w:tcPr>
          <w:p>
            <w:pPr>
              <w:ind w:lef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8.00000</w:t>
            </w:r>
          </w:p>
        </w:tc>
        <w:tc>
          <w:tcPr>
            <w:tcW w:w="1080" w:type="dxa"/>
            <w:vAlign w:val="bottom"/>
            <w:gridSpan w:val="2"/>
            <w:shd w:val="clear" w:color="auto" w:fill="EAF9E8"/>
          </w:tcPr>
          <w:p>
            <w:pPr>
              <w:ind w:left="460"/>
              <w:spacing w:after="0"/>
              <w:rPr>
                <w:sz w:val="20"/>
                <w:szCs w:val="20"/>
                <w:color w:val="auto"/>
              </w:rPr>
            </w:pPr>
            <w:r>
              <w:rPr>
                <w:rFonts w:ascii="Arial" w:cs="Arial" w:eastAsia="Arial" w:hAnsi="Arial"/>
                <w:sz w:val="14"/>
                <w:szCs w:val="14"/>
                <w:color w:val="auto"/>
              </w:rPr>
              <w:t>07/14/18</w:t>
            </w:r>
          </w:p>
        </w:tc>
        <w:tc>
          <w:tcPr>
            <w:tcW w:w="220" w:type="dxa"/>
            <w:vAlign w:val="bottom"/>
            <w:shd w:val="clear" w:color="auto" w:fill="EAF9E8"/>
          </w:tcPr>
          <w:p>
            <w:pPr>
              <w:spacing w:after="0"/>
              <w:rPr>
                <w:sz w:val="15"/>
                <w:szCs w:val="15"/>
                <w:color w:val="auto"/>
              </w:rPr>
            </w:pPr>
          </w:p>
        </w:tc>
        <w:tc>
          <w:tcPr>
            <w:tcW w:w="84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60" w:type="dxa"/>
            <w:vAlign w:val="bottom"/>
            <w:shd w:val="clear" w:color="auto" w:fill="EAF9E8"/>
          </w:tcPr>
          <w:p>
            <w:pPr>
              <w:spacing w:after="0"/>
              <w:rPr>
                <w:sz w:val="15"/>
                <w:szCs w:val="15"/>
                <w:color w:val="auto"/>
              </w:rPr>
            </w:pPr>
          </w:p>
        </w:tc>
        <w:tc>
          <w:tcPr>
            <w:tcW w:w="68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5"/>
                <w:szCs w:val="15"/>
                <w:color w:val="auto"/>
              </w:rPr>
            </w:pP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5"/>
                <w:szCs w:val="15"/>
                <w:color w:val="auto"/>
              </w:rPr>
            </w:pPr>
          </w:p>
        </w:tc>
      </w:tr>
      <w:tr>
        <w:trPr>
          <w:trHeight w:val="176"/>
        </w:trPr>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620,000</w:t>
            </w:r>
          </w:p>
        </w:tc>
        <w:tc>
          <w:tcPr>
            <w:tcW w:w="360" w:type="dxa"/>
            <w:vAlign w:val="bottom"/>
          </w:tcPr>
          <w:p>
            <w:pPr>
              <w:jc w:val="right"/>
              <w:ind w:right="144"/>
              <w:spacing w:after="0"/>
              <w:rPr>
                <w:sz w:val="20"/>
                <w:szCs w:val="20"/>
                <w:color w:val="auto"/>
              </w:rPr>
            </w:pPr>
            <w:r>
              <w:rPr>
                <w:rFonts w:ascii="Arial" w:cs="Arial" w:eastAsia="Arial" w:hAnsi="Arial"/>
                <w:sz w:val="11"/>
                <w:szCs w:val="11"/>
                <w:color w:val="auto"/>
              </w:rPr>
              <w:t>(5)</w:t>
            </w:r>
          </w:p>
        </w:tc>
        <w:tc>
          <w:tcPr>
            <w:tcW w:w="1060" w:type="dxa"/>
            <w:vAlign w:val="bottom"/>
            <w:gridSpan w:val="2"/>
          </w:tcPr>
          <w:p>
            <w:pPr>
              <w:jc w:val="right"/>
              <w:ind w:right="32"/>
              <w:spacing w:after="0"/>
              <w:rPr>
                <w:sz w:val="20"/>
                <w:szCs w:val="20"/>
                <w:color w:val="auto"/>
              </w:rPr>
            </w:pPr>
            <w:r>
              <w:rPr>
                <w:rFonts w:ascii="Arial" w:cs="Arial" w:eastAsia="Arial" w:hAnsi="Arial"/>
                <w:sz w:val="14"/>
                <w:szCs w:val="14"/>
                <w:color w:val="auto"/>
              </w:rPr>
              <w:t>620,000</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8.00000</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07/14/18</w:t>
            </w:r>
          </w:p>
        </w:tc>
        <w:tc>
          <w:tcPr>
            <w:tcW w:w="22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6"/>
        </w:trPr>
        <w:tc>
          <w:tcPr>
            <w:tcW w:w="122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960" w:type="dxa"/>
            <w:vAlign w:val="bottom"/>
            <w:shd w:val="clear" w:color="auto" w:fill="EAF9E8"/>
          </w:tcPr>
          <w:p>
            <w:pPr>
              <w:jc w:val="right"/>
              <w:ind w:right="172"/>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310,000</w:t>
            </w:r>
          </w:p>
        </w:tc>
        <w:tc>
          <w:tcPr>
            <w:tcW w:w="36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rPr>
              <w:t>(6)</w:t>
            </w:r>
          </w:p>
        </w:tc>
        <w:tc>
          <w:tcPr>
            <w:tcW w:w="1060" w:type="dxa"/>
            <w:vAlign w:val="bottom"/>
            <w:gridSpan w:val="2"/>
            <w:shd w:val="clear" w:color="auto" w:fill="EAF9E8"/>
          </w:tcPr>
          <w:p>
            <w:pPr>
              <w:jc w:val="right"/>
              <w:ind w:right="32"/>
              <w:spacing w:after="0"/>
              <w:rPr>
                <w:sz w:val="20"/>
                <w:szCs w:val="20"/>
                <w:color w:val="auto"/>
              </w:rPr>
            </w:pPr>
            <w:r>
              <w:rPr>
                <w:rFonts w:ascii="Arial" w:cs="Arial" w:eastAsia="Arial" w:hAnsi="Arial"/>
                <w:sz w:val="14"/>
                <w:szCs w:val="14"/>
                <w:color w:val="auto"/>
              </w:rPr>
              <w:t>310,000</w:t>
            </w:r>
          </w:p>
        </w:tc>
        <w:tc>
          <w:tcPr>
            <w:tcW w:w="380" w:type="dxa"/>
            <w:vAlign w:val="bottom"/>
            <w:gridSpan w:val="2"/>
            <w:shd w:val="clear" w:color="auto" w:fill="EAF9E8"/>
          </w:tcPr>
          <w:p>
            <w:pPr>
              <w:ind w:lef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8.00000</w:t>
            </w:r>
          </w:p>
        </w:tc>
        <w:tc>
          <w:tcPr>
            <w:tcW w:w="1080" w:type="dxa"/>
            <w:vAlign w:val="bottom"/>
            <w:gridSpan w:val="2"/>
            <w:shd w:val="clear" w:color="auto" w:fill="EAF9E8"/>
          </w:tcPr>
          <w:p>
            <w:pPr>
              <w:ind w:left="460"/>
              <w:spacing w:after="0"/>
              <w:rPr>
                <w:sz w:val="20"/>
                <w:szCs w:val="20"/>
                <w:color w:val="auto"/>
              </w:rPr>
            </w:pPr>
            <w:r>
              <w:rPr>
                <w:rFonts w:ascii="Arial" w:cs="Arial" w:eastAsia="Arial" w:hAnsi="Arial"/>
                <w:sz w:val="14"/>
                <w:szCs w:val="14"/>
                <w:color w:val="auto"/>
              </w:rPr>
              <w:t>07/14/18</w:t>
            </w:r>
          </w:p>
        </w:tc>
        <w:tc>
          <w:tcPr>
            <w:tcW w:w="220" w:type="dxa"/>
            <w:vAlign w:val="bottom"/>
            <w:shd w:val="clear" w:color="auto" w:fill="EAF9E8"/>
          </w:tcPr>
          <w:p>
            <w:pPr>
              <w:spacing w:after="0"/>
              <w:rPr>
                <w:sz w:val="15"/>
                <w:szCs w:val="15"/>
                <w:color w:val="auto"/>
              </w:rPr>
            </w:pPr>
          </w:p>
        </w:tc>
        <w:tc>
          <w:tcPr>
            <w:tcW w:w="84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60" w:type="dxa"/>
            <w:vAlign w:val="bottom"/>
            <w:shd w:val="clear" w:color="auto" w:fill="EAF9E8"/>
          </w:tcPr>
          <w:p>
            <w:pPr>
              <w:spacing w:after="0"/>
              <w:rPr>
                <w:sz w:val="15"/>
                <w:szCs w:val="15"/>
                <w:color w:val="auto"/>
              </w:rPr>
            </w:pPr>
          </w:p>
        </w:tc>
        <w:tc>
          <w:tcPr>
            <w:tcW w:w="68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5"/>
                <w:szCs w:val="15"/>
                <w:color w:val="auto"/>
              </w:rPr>
            </w:pP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5"/>
                <w:szCs w:val="15"/>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4"/>
        </w:trPr>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Stock Awards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29"/>
        </w:trPr>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2"/>
              </w:rPr>
              <w:t>Market</w:t>
            </w:r>
          </w:p>
        </w:tc>
        <w:tc>
          <w:tcPr>
            <w:tcW w:w="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12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Value of</w:t>
            </w:r>
          </w:p>
        </w:tc>
        <w:tc>
          <w:tcPr>
            <w:tcW w:w="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2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Shares or</w:t>
            </w:r>
          </w:p>
        </w:tc>
        <w:tc>
          <w:tcPr>
            <w:tcW w:w="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12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Units of</w:t>
            </w:r>
          </w:p>
        </w:tc>
        <w:tc>
          <w:tcPr>
            <w:tcW w:w="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Payout Value of</w:t>
            </w:r>
          </w:p>
        </w:tc>
        <w:tc>
          <w:tcPr>
            <w:tcW w:w="12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12"/>
                <w:szCs w:val="12"/>
                <w:color w:val="auto"/>
              </w:rPr>
            </w:pPr>
          </w:p>
        </w:tc>
        <w:tc>
          <w:tcPr>
            <w:tcW w:w="840" w:type="dxa"/>
            <w:vAlign w:val="bottom"/>
            <w:gridSpan w:val="2"/>
          </w:tcPr>
          <w:p>
            <w:pPr>
              <w:jc w:val="right"/>
              <w:ind w:right="144"/>
              <w:spacing w:after="0" w:line="149" w:lineRule="exact"/>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2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That</w:t>
            </w:r>
          </w:p>
        </w:tc>
        <w:tc>
          <w:tcPr>
            <w:tcW w:w="2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Unearned Shares</w:t>
            </w:r>
          </w:p>
        </w:tc>
        <w:tc>
          <w:tcPr>
            <w:tcW w:w="12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Unexercis-</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Option</w:t>
            </w:r>
          </w:p>
        </w:tc>
        <w:tc>
          <w:tcPr>
            <w:tcW w:w="8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Have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Have Not</w:t>
            </w:r>
          </w:p>
        </w:tc>
        <w:tc>
          <w:tcPr>
            <w:tcW w:w="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20" w:type="dxa"/>
            <w:vAlign w:val="bottom"/>
          </w:tcPr>
          <w:p>
            <w:pPr>
              <w:spacing w:after="0"/>
              <w:rPr>
                <w:sz w:val="12"/>
                <w:szCs w:val="12"/>
                <w:color w:val="auto"/>
              </w:rPr>
            </w:pPr>
          </w:p>
        </w:tc>
      </w:tr>
      <w:tr>
        <w:trPr>
          <w:trHeight w:val="174"/>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4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able</w:t>
            </w:r>
          </w:p>
        </w:tc>
        <w:tc>
          <w:tcPr>
            <w:tcW w:w="2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Not Vested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82"/>
              </w:rPr>
              <w:t>Vested</w:t>
            </w:r>
          </w:p>
        </w:tc>
        <w:tc>
          <w:tcPr>
            <w:tcW w:w="3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12"/>
              <w:spacing w:after="0"/>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5"/>
                <w:szCs w:val="15"/>
                <w:color w:val="auto"/>
              </w:rPr>
            </w:pPr>
          </w:p>
        </w:tc>
      </w:tr>
      <w:tr>
        <w:trPr>
          <w:trHeight w:val="230"/>
        </w:trPr>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69"/>
        </w:trPr>
        <w:tc>
          <w:tcPr>
            <w:tcW w:w="1460" w:type="dxa"/>
            <w:vAlign w:val="bottom"/>
            <w:gridSpan w:val="2"/>
            <w:shd w:val="clear" w:color="auto" w:fill="EAF9E8"/>
          </w:tcPr>
          <w:p>
            <w:pPr>
              <w:spacing w:after="0"/>
              <w:rPr>
                <w:sz w:val="20"/>
                <w:szCs w:val="20"/>
                <w:color w:val="auto"/>
              </w:rPr>
            </w:pPr>
            <w:r>
              <w:rPr>
                <w:rFonts w:ascii="Arial" w:cs="Arial" w:eastAsia="Arial" w:hAnsi="Arial"/>
                <w:sz w:val="14"/>
                <w:szCs w:val="14"/>
                <w:color w:val="auto"/>
              </w:rPr>
              <w:t>David J. Gunter</w:t>
            </w:r>
          </w:p>
        </w:tc>
        <w:tc>
          <w:tcPr>
            <w:tcW w:w="960" w:type="dxa"/>
            <w:vAlign w:val="bottom"/>
            <w:shd w:val="clear" w:color="auto" w:fill="EAF9E8"/>
          </w:tcPr>
          <w:p>
            <w:pPr>
              <w:jc w:val="right"/>
              <w:ind w:right="152"/>
              <w:spacing w:after="0"/>
              <w:rPr>
                <w:sz w:val="20"/>
                <w:szCs w:val="20"/>
                <w:color w:val="auto"/>
              </w:rPr>
            </w:pPr>
            <w:r>
              <w:rPr>
                <w:rFonts w:ascii="Arial" w:cs="Arial" w:eastAsia="Arial" w:hAnsi="Arial"/>
                <w:sz w:val="14"/>
                <w:szCs w:val="14"/>
                <w:color w:val="auto"/>
              </w:rPr>
              <w:t>10,116</w:t>
            </w: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6,745</w:t>
            </w:r>
          </w:p>
        </w:tc>
        <w:tc>
          <w:tcPr>
            <w:tcW w:w="34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w w:val="88"/>
              </w:rPr>
              <w:t>(3)</w:t>
            </w:r>
          </w:p>
        </w:tc>
        <w:tc>
          <w:tcPr>
            <w:tcW w:w="1080" w:type="dxa"/>
            <w:vAlign w:val="bottom"/>
            <w:gridSpan w:val="2"/>
            <w:shd w:val="clear" w:color="auto" w:fill="EAF9E8"/>
          </w:tcPr>
          <w:p>
            <w:pPr>
              <w:jc w:val="right"/>
              <w:ind w:right="52"/>
              <w:spacing w:after="0"/>
              <w:rPr>
                <w:sz w:val="20"/>
                <w:szCs w:val="20"/>
                <w:color w:val="auto"/>
              </w:rPr>
            </w:pPr>
            <w:r>
              <w:rPr>
                <w:rFonts w:ascii="Arial" w:cs="Arial" w:eastAsia="Arial" w:hAnsi="Arial"/>
                <w:sz w:val="14"/>
                <w:szCs w:val="14"/>
                <w:color w:val="auto"/>
              </w:rPr>
              <w:t>6,745</w:t>
            </w:r>
          </w:p>
        </w:tc>
        <w:tc>
          <w:tcPr>
            <w:tcW w:w="36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11.88000</w:t>
            </w:r>
          </w:p>
        </w:tc>
        <w:tc>
          <w:tcPr>
            <w:tcW w:w="860" w:type="dxa"/>
            <w:vAlign w:val="bottom"/>
            <w:shd w:val="clear" w:color="auto" w:fill="EAF9E8"/>
          </w:tcPr>
          <w:p>
            <w:pPr>
              <w:ind w:left="240"/>
              <w:spacing w:after="0"/>
              <w:rPr>
                <w:sz w:val="20"/>
                <w:szCs w:val="20"/>
                <w:color w:val="auto"/>
              </w:rPr>
            </w:pPr>
            <w:r>
              <w:rPr>
                <w:rFonts w:ascii="Arial" w:cs="Arial" w:eastAsia="Arial" w:hAnsi="Arial"/>
                <w:sz w:val="14"/>
                <w:szCs w:val="14"/>
                <w:color w:val="auto"/>
              </w:rPr>
              <w:t>05/10/17</w:t>
            </w:r>
          </w:p>
        </w:tc>
        <w:tc>
          <w:tcPr>
            <w:tcW w:w="1080" w:type="dxa"/>
            <w:vAlign w:val="bottom"/>
            <w:gridSpan w:val="2"/>
            <w:shd w:val="clear" w:color="auto" w:fill="EAF9E8"/>
          </w:tcPr>
          <w:p>
            <w:pPr>
              <w:jc w:val="right"/>
              <w:ind w:right="32"/>
              <w:spacing w:after="0"/>
              <w:rPr>
                <w:sz w:val="20"/>
                <w:szCs w:val="20"/>
                <w:color w:val="auto"/>
              </w:rPr>
            </w:pPr>
            <w:r>
              <w:rPr>
                <w:rFonts w:ascii="Arial" w:cs="Arial" w:eastAsia="Arial" w:hAnsi="Arial"/>
                <w:sz w:val="14"/>
                <w:szCs w:val="14"/>
                <w:color w:val="auto"/>
              </w:rPr>
              <w:t>1,153</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10,585</w:t>
            </w:r>
          </w:p>
        </w:tc>
        <w:tc>
          <w:tcPr>
            <w:tcW w:w="380" w:type="dxa"/>
            <w:vAlign w:val="bottom"/>
            <w:shd w:val="clear" w:color="auto" w:fill="EAF9E8"/>
          </w:tcPr>
          <w:p>
            <w:pPr>
              <w:ind w:left="40"/>
              <w:spacing w:after="0"/>
              <w:rPr>
                <w:sz w:val="20"/>
                <w:szCs w:val="20"/>
                <w:color w:val="auto"/>
              </w:rPr>
            </w:pPr>
            <w:r>
              <w:rPr>
                <w:rFonts w:ascii="Arial" w:cs="Arial" w:eastAsia="Arial" w:hAnsi="Arial"/>
                <w:sz w:val="11"/>
                <w:szCs w:val="11"/>
                <w:color w:val="auto"/>
              </w:rPr>
              <w:t>(7)</w:t>
            </w: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1,153</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10,585</w:t>
            </w:r>
          </w:p>
        </w:tc>
        <w:tc>
          <w:tcPr>
            <w:tcW w:w="120" w:type="dxa"/>
            <w:vAlign w:val="bottom"/>
            <w:shd w:val="clear" w:color="auto" w:fill="EAF9E8"/>
          </w:tcPr>
          <w:p>
            <w:pPr>
              <w:spacing w:after="0"/>
              <w:rPr>
                <w:sz w:val="14"/>
                <w:szCs w:val="14"/>
                <w:color w:val="auto"/>
              </w:rPr>
            </w:pPr>
          </w:p>
        </w:tc>
      </w:tr>
      <w:tr>
        <w:trPr>
          <w:trHeight w:val="176"/>
        </w:trPr>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155,000</w:t>
            </w:r>
          </w:p>
        </w:tc>
        <w:tc>
          <w:tcPr>
            <w:tcW w:w="340" w:type="dxa"/>
            <w:vAlign w:val="bottom"/>
          </w:tcPr>
          <w:p>
            <w:pPr>
              <w:jc w:val="right"/>
              <w:ind w:right="144"/>
              <w:spacing w:after="0"/>
              <w:rPr>
                <w:sz w:val="20"/>
                <w:szCs w:val="20"/>
                <w:color w:val="auto"/>
              </w:rPr>
            </w:pPr>
            <w:r>
              <w:rPr>
                <w:rFonts w:ascii="Arial" w:cs="Arial" w:eastAsia="Arial" w:hAnsi="Arial"/>
                <w:sz w:val="11"/>
                <w:szCs w:val="11"/>
                <w:color w:val="auto"/>
                <w:w w:val="88"/>
              </w:rPr>
              <w:t>(4)</w:t>
            </w:r>
          </w:p>
        </w:tc>
        <w:tc>
          <w:tcPr>
            <w:tcW w:w="1080" w:type="dxa"/>
            <w:vAlign w:val="bottom"/>
            <w:gridSpan w:val="2"/>
          </w:tcPr>
          <w:p>
            <w:pPr>
              <w:jc w:val="right"/>
              <w:ind w:right="52"/>
              <w:spacing w:after="0"/>
              <w:rPr>
                <w:sz w:val="20"/>
                <w:szCs w:val="20"/>
                <w:color w:val="auto"/>
              </w:rPr>
            </w:pPr>
            <w:r>
              <w:rPr>
                <w:rFonts w:ascii="Arial" w:cs="Arial" w:eastAsia="Arial" w:hAnsi="Arial"/>
                <w:sz w:val="14"/>
                <w:szCs w:val="14"/>
                <w:color w:val="auto"/>
              </w:rPr>
              <w:t>155,000</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8.00000</w:t>
            </w:r>
          </w:p>
        </w:tc>
        <w:tc>
          <w:tcPr>
            <w:tcW w:w="860" w:type="dxa"/>
            <w:vAlign w:val="bottom"/>
          </w:tcPr>
          <w:p>
            <w:pPr>
              <w:ind w:left="240"/>
              <w:spacing w:after="0"/>
              <w:rPr>
                <w:sz w:val="20"/>
                <w:szCs w:val="20"/>
                <w:color w:val="auto"/>
              </w:rPr>
            </w:pPr>
            <w:r>
              <w:rPr>
                <w:rFonts w:ascii="Arial" w:cs="Arial" w:eastAsia="Arial" w:hAnsi="Arial"/>
                <w:sz w:val="14"/>
                <w:szCs w:val="14"/>
                <w:color w:val="auto"/>
              </w:rPr>
              <w:t>07/14/18</w:t>
            </w:r>
          </w:p>
        </w:tc>
        <w:tc>
          <w:tcPr>
            <w:tcW w:w="22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6"/>
        </w:trPr>
        <w:tc>
          <w:tcPr>
            <w:tcW w:w="124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960" w:type="dxa"/>
            <w:vAlign w:val="bottom"/>
            <w:shd w:val="clear" w:color="auto" w:fill="EAF9E8"/>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310,000</w:t>
            </w:r>
          </w:p>
        </w:tc>
        <w:tc>
          <w:tcPr>
            <w:tcW w:w="34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w w:val="88"/>
              </w:rPr>
              <w:t>(5)</w:t>
            </w:r>
          </w:p>
        </w:tc>
        <w:tc>
          <w:tcPr>
            <w:tcW w:w="1080" w:type="dxa"/>
            <w:vAlign w:val="bottom"/>
            <w:gridSpan w:val="2"/>
            <w:shd w:val="clear" w:color="auto" w:fill="EAF9E8"/>
          </w:tcPr>
          <w:p>
            <w:pPr>
              <w:jc w:val="right"/>
              <w:ind w:right="52"/>
              <w:spacing w:after="0"/>
              <w:rPr>
                <w:sz w:val="20"/>
                <w:szCs w:val="20"/>
                <w:color w:val="auto"/>
              </w:rPr>
            </w:pPr>
            <w:r>
              <w:rPr>
                <w:rFonts w:ascii="Arial" w:cs="Arial" w:eastAsia="Arial" w:hAnsi="Arial"/>
                <w:sz w:val="14"/>
                <w:szCs w:val="14"/>
                <w:color w:val="auto"/>
              </w:rPr>
              <w:t>310,000</w:t>
            </w:r>
          </w:p>
        </w:tc>
        <w:tc>
          <w:tcPr>
            <w:tcW w:w="36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8.00000</w:t>
            </w:r>
          </w:p>
        </w:tc>
        <w:tc>
          <w:tcPr>
            <w:tcW w:w="860" w:type="dxa"/>
            <w:vAlign w:val="bottom"/>
            <w:shd w:val="clear" w:color="auto" w:fill="EAF9E8"/>
          </w:tcPr>
          <w:p>
            <w:pPr>
              <w:ind w:left="240"/>
              <w:spacing w:after="0"/>
              <w:rPr>
                <w:sz w:val="20"/>
                <w:szCs w:val="20"/>
                <w:color w:val="auto"/>
              </w:rPr>
            </w:pPr>
            <w:r>
              <w:rPr>
                <w:rFonts w:ascii="Arial" w:cs="Arial" w:eastAsia="Arial" w:hAnsi="Arial"/>
                <w:sz w:val="14"/>
                <w:szCs w:val="14"/>
                <w:color w:val="auto"/>
              </w:rPr>
              <w:t>07/14/18</w:t>
            </w:r>
          </w:p>
        </w:tc>
        <w:tc>
          <w:tcPr>
            <w:tcW w:w="220" w:type="dxa"/>
            <w:vAlign w:val="bottom"/>
            <w:shd w:val="clear" w:color="auto" w:fill="EAF9E8"/>
          </w:tcPr>
          <w:p>
            <w:pPr>
              <w:spacing w:after="0"/>
              <w:rPr>
                <w:sz w:val="15"/>
                <w:szCs w:val="15"/>
                <w:color w:val="auto"/>
              </w:rPr>
            </w:pPr>
          </w:p>
        </w:tc>
        <w:tc>
          <w:tcPr>
            <w:tcW w:w="86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AF9E8"/>
          </w:tcPr>
          <w:p>
            <w:pPr>
              <w:spacing w:after="0"/>
              <w:rPr>
                <w:sz w:val="15"/>
                <w:szCs w:val="15"/>
                <w:color w:val="auto"/>
              </w:rPr>
            </w:pP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5"/>
                <w:szCs w:val="15"/>
                <w:color w:val="auto"/>
              </w:rPr>
            </w:pPr>
          </w:p>
        </w:tc>
      </w:tr>
      <w:tr>
        <w:trPr>
          <w:trHeight w:val="189"/>
        </w:trPr>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155,000</w:t>
            </w:r>
          </w:p>
        </w:tc>
        <w:tc>
          <w:tcPr>
            <w:tcW w:w="340" w:type="dxa"/>
            <w:vAlign w:val="bottom"/>
          </w:tcPr>
          <w:p>
            <w:pPr>
              <w:jc w:val="right"/>
              <w:ind w:right="144"/>
              <w:spacing w:after="0"/>
              <w:rPr>
                <w:sz w:val="20"/>
                <w:szCs w:val="20"/>
                <w:color w:val="auto"/>
              </w:rPr>
            </w:pPr>
            <w:r>
              <w:rPr>
                <w:rFonts w:ascii="Arial" w:cs="Arial" w:eastAsia="Arial" w:hAnsi="Arial"/>
                <w:sz w:val="11"/>
                <w:szCs w:val="11"/>
                <w:color w:val="auto"/>
                <w:w w:val="88"/>
              </w:rPr>
              <w:t>(6)</w:t>
            </w:r>
          </w:p>
        </w:tc>
        <w:tc>
          <w:tcPr>
            <w:tcW w:w="1080" w:type="dxa"/>
            <w:vAlign w:val="bottom"/>
            <w:gridSpan w:val="2"/>
          </w:tcPr>
          <w:p>
            <w:pPr>
              <w:jc w:val="right"/>
              <w:ind w:right="52"/>
              <w:spacing w:after="0"/>
              <w:rPr>
                <w:sz w:val="20"/>
                <w:szCs w:val="20"/>
                <w:color w:val="auto"/>
              </w:rPr>
            </w:pPr>
            <w:r>
              <w:rPr>
                <w:rFonts w:ascii="Arial" w:cs="Arial" w:eastAsia="Arial" w:hAnsi="Arial"/>
                <w:sz w:val="14"/>
                <w:szCs w:val="14"/>
                <w:color w:val="auto"/>
              </w:rPr>
              <w:t>155,000</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8.00000</w:t>
            </w:r>
          </w:p>
        </w:tc>
        <w:tc>
          <w:tcPr>
            <w:tcW w:w="860" w:type="dxa"/>
            <w:vAlign w:val="bottom"/>
          </w:tcPr>
          <w:p>
            <w:pPr>
              <w:ind w:left="240"/>
              <w:spacing w:after="0"/>
              <w:rPr>
                <w:sz w:val="20"/>
                <w:szCs w:val="20"/>
                <w:color w:val="auto"/>
              </w:rPr>
            </w:pPr>
            <w:r>
              <w:rPr>
                <w:rFonts w:ascii="Arial" w:cs="Arial" w:eastAsia="Arial" w:hAnsi="Arial"/>
                <w:sz w:val="14"/>
                <w:szCs w:val="14"/>
                <w:color w:val="auto"/>
              </w:rPr>
              <w:t>07/14/18</w:t>
            </w:r>
          </w:p>
        </w:tc>
        <w:tc>
          <w:tcPr>
            <w:tcW w:w="22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r>
      <w:tr>
        <w:trPr>
          <w:trHeight w:val="136"/>
        </w:trPr>
        <w:tc>
          <w:tcPr>
            <w:tcW w:w="1460" w:type="dxa"/>
            <w:vAlign w:val="bottom"/>
            <w:gridSpan w:val="2"/>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c>
          <w:tcPr>
            <w:tcW w:w="360" w:type="dxa"/>
            <w:vAlign w:val="bottom"/>
            <w:gridSpan w:val="2"/>
          </w:tcPr>
          <w:p>
            <w:pPr>
              <w:spacing w:after="0"/>
              <w:rPr>
                <w:sz w:val="11"/>
                <w:szCs w:val="11"/>
                <w:color w:val="auto"/>
              </w:rPr>
            </w:pPr>
          </w:p>
        </w:tc>
        <w:tc>
          <w:tcPr>
            <w:tcW w:w="92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6"/>
        </w:trPr>
        <w:tc>
          <w:tcPr>
            <w:tcW w:w="1460" w:type="dxa"/>
            <w:vAlign w:val="bottom"/>
            <w:gridSpan w:val="2"/>
            <w:shd w:val="clear" w:color="auto" w:fill="EAF9E8"/>
          </w:tcPr>
          <w:p>
            <w:pPr>
              <w:spacing w:after="0"/>
              <w:rPr>
                <w:sz w:val="20"/>
                <w:szCs w:val="20"/>
                <w:color w:val="auto"/>
              </w:rPr>
            </w:pPr>
            <w:r>
              <w:rPr>
                <w:rFonts w:ascii="Arial" w:cs="Arial" w:eastAsia="Arial" w:hAnsi="Arial"/>
                <w:sz w:val="14"/>
                <w:szCs w:val="14"/>
                <w:color w:val="auto"/>
              </w:rPr>
              <w:t>Paul A. Koches</w:t>
            </w:r>
          </w:p>
        </w:tc>
        <w:tc>
          <w:tcPr>
            <w:tcW w:w="960" w:type="dxa"/>
            <w:vAlign w:val="bottom"/>
            <w:shd w:val="clear" w:color="auto" w:fill="EAF9E8"/>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155,000</w:t>
            </w:r>
          </w:p>
        </w:tc>
        <w:tc>
          <w:tcPr>
            <w:tcW w:w="34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w w:val="88"/>
              </w:rPr>
              <w:t>(4)</w:t>
            </w:r>
          </w:p>
        </w:tc>
        <w:tc>
          <w:tcPr>
            <w:tcW w:w="1080" w:type="dxa"/>
            <w:vAlign w:val="bottom"/>
            <w:gridSpan w:val="2"/>
            <w:shd w:val="clear" w:color="auto" w:fill="EAF9E8"/>
          </w:tcPr>
          <w:p>
            <w:pPr>
              <w:jc w:val="right"/>
              <w:ind w:right="52"/>
              <w:spacing w:after="0"/>
              <w:rPr>
                <w:sz w:val="20"/>
                <w:szCs w:val="20"/>
                <w:color w:val="auto"/>
              </w:rPr>
            </w:pPr>
            <w:r>
              <w:rPr>
                <w:rFonts w:ascii="Arial" w:cs="Arial" w:eastAsia="Arial" w:hAnsi="Arial"/>
                <w:sz w:val="14"/>
                <w:szCs w:val="14"/>
                <w:color w:val="auto"/>
              </w:rPr>
              <w:t>155,000</w:t>
            </w:r>
          </w:p>
        </w:tc>
        <w:tc>
          <w:tcPr>
            <w:tcW w:w="36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8.00000</w:t>
            </w:r>
          </w:p>
        </w:tc>
        <w:tc>
          <w:tcPr>
            <w:tcW w:w="860" w:type="dxa"/>
            <w:vAlign w:val="bottom"/>
            <w:shd w:val="clear" w:color="auto" w:fill="EAF9E8"/>
          </w:tcPr>
          <w:p>
            <w:pPr>
              <w:ind w:left="240"/>
              <w:spacing w:after="0"/>
              <w:rPr>
                <w:sz w:val="20"/>
                <w:szCs w:val="20"/>
                <w:color w:val="auto"/>
              </w:rPr>
            </w:pPr>
            <w:r>
              <w:rPr>
                <w:rFonts w:ascii="Arial" w:cs="Arial" w:eastAsia="Arial" w:hAnsi="Arial"/>
                <w:sz w:val="14"/>
                <w:szCs w:val="14"/>
                <w:color w:val="auto"/>
              </w:rPr>
              <w:t>07/14/18</w:t>
            </w:r>
          </w:p>
        </w:tc>
        <w:tc>
          <w:tcPr>
            <w:tcW w:w="220" w:type="dxa"/>
            <w:vAlign w:val="bottom"/>
            <w:shd w:val="clear" w:color="auto" w:fill="EAF9E8"/>
          </w:tcPr>
          <w:p>
            <w:pPr>
              <w:spacing w:after="0"/>
              <w:rPr>
                <w:sz w:val="15"/>
                <w:szCs w:val="15"/>
                <w:color w:val="auto"/>
              </w:rPr>
            </w:pPr>
          </w:p>
        </w:tc>
        <w:tc>
          <w:tcPr>
            <w:tcW w:w="86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AF9E8"/>
          </w:tcPr>
          <w:p>
            <w:pPr>
              <w:spacing w:after="0"/>
              <w:rPr>
                <w:sz w:val="15"/>
                <w:szCs w:val="15"/>
                <w:color w:val="auto"/>
              </w:rPr>
            </w:pP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310,000</w:t>
            </w:r>
          </w:p>
        </w:tc>
        <w:tc>
          <w:tcPr>
            <w:tcW w:w="340" w:type="dxa"/>
            <w:vAlign w:val="bottom"/>
          </w:tcPr>
          <w:p>
            <w:pPr>
              <w:jc w:val="right"/>
              <w:ind w:right="144"/>
              <w:spacing w:after="0"/>
              <w:rPr>
                <w:sz w:val="20"/>
                <w:szCs w:val="20"/>
                <w:color w:val="auto"/>
              </w:rPr>
            </w:pPr>
            <w:r>
              <w:rPr>
                <w:rFonts w:ascii="Arial" w:cs="Arial" w:eastAsia="Arial" w:hAnsi="Arial"/>
                <w:sz w:val="11"/>
                <w:szCs w:val="11"/>
                <w:color w:val="auto"/>
                <w:w w:val="88"/>
              </w:rPr>
              <w:t>(5)</w:t>
            </w:r>
          </w:p>
        </w:tc>
        <w:tc>
          <w:tcPr>
            <w:tcW w:w="1080" w:type="dxa"/>
            <w:vAlign w:val="bottom"/>
            <w:gridSpan w:val="2"/>
          </w:tcPr>
          <w:p>
            <w:pPr>
              <w:jc w:val="right"/>
              <w:ind w:right="52"/>
              <w:spacing w:after="0"/>
              <w:rPr>
                <w:sz w:val="20"/>
                <w:szCs w:val="20"/>
                <w:color w:val="auto"/>
              </w:rPr>
            </w:pPr>
            <w:r>
              <w:rPr>
                <w:rFonts w:ascii="Arial" w:cs="Arial" w:eastAsia="Arial" w:hAnsi="Arial"/>
                <w:sz w:val="14"/>
                <w:szCs w:val="14"/>
                <w:color w:val="auto"/>
              </w:rPr>
              <w:t>310,000</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8.00000</w:t>
            </w:r>
          </w:p>
        </w:tc>
        <w:tc>
          <w:tcPr>
            <w:tcW w:w="860" w:type="dxa"/>
            <w:vAlign w:val="bottom"/>
          </w:tcPr>
          <w:p>
            <w:pPr>
              <w:ind w:left="240"/>
              <w:spacing w:after="0"/>
              <w:rPr>
                <w:sz w:val="20"/>
                <w:szCs w:val="20"/>
                <w:color w:val="auto"/>
              </w:rPr>
            </w:pPr>
            <w:r>
              <w:rPr>
                <w:rFonts w:ascii="Arial" w:cs="Arial" w:eastAsia="Arial" w:hAnsi="Arial"/>
                <w:sz w:val="14"/>
                <w:szCs w:val="14"/>
                <w:color w:val="auto"/>
              </w:rPr>
              <w:t>07/14/18</w:t>
            </w:r>
          </w:p>
        </w:tc>
        <w:tc>
          <w:tcPr>
            <w:tcW w:w="22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6"/>
        </w:trPr>
        <w:tc>
          <w:tcPr>
            <w:tcW w:w="124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960" w:type="dxa"/>
            <w:vAlign w:val="bottom"/>
            <w:shd w:val="clear" w:color="auto" w:fill="EAF9E8"/>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155,000</w:t>
            </w:r>
          </w:p>
        </w:tc>
        <w:tc>
          <w:tcPr>
            <w:tcW w:w="34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w w:val="88"/>
              </w:rPr>
              <w:t>(6)</w:t>
            </w:r>
          </w:p>
        </w:tc>
        <w:tc>
          <w:tcPr>
            <w:tcW w:w="1080" w:type="dxa"/>
            <w:vAlign w:val="bottom"/>
            <w:gridSpan w:val="2"/>
            <w:shd w:val="clear" w:color="auto" w:fill="EAF9E8"/>
          </w:tcPr>
          <w:p>
            <w:pPr>
              <w:jc w:val="right"/>
              <w:ind w:right="52"/>
              <w:spacing w:after="0"/>
              <w:rPr>
                <w:sz w:val="20"/>
                <w:szCs w:val="20"/>
                <w:color w:val="auto"/>
              </w:rPr>
            </w:pPr>
            <w:r>
              <w:rPr>
                <w:rFonts w:ascii="Arial" w:cs="Arial" w:eastAsia="Arial" w:hAnsi="Arial"/>
                <w:sz w:val="14"/>
                <w:szCs w:val="14"/>
                <w:color w:val="auto"/>
              </w:rPr>
              <w:t>155,000</w:t>
            </w:r>
          </w:p>
        </w:tc>
        <w:tc>
          <w:tcPr>
            <w:tcW w:w="36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8.00000</w:t>
            </w:r>
          </w:p>
        </w:tc>
        <w:tc>
          <w:tcPr>
            <w:tcW w:w="860" w:type="dxa"/>
            <w:vAlign w:val="bottom"/>
            <w:shd w:val="clear" w:color="auto" w:fill="EAF9E8"/>
          </w:tcPr>
          <w:p>
            <w:pPr>
              <w:ind w:left="240"/>
              <w:spacing w:after="0"/>
              <w:rPr>
                <w:sz w:val="20"/>
                <w:szCs w:val="20"/>
                <w:color w:val="auto"/>
              </w:rPr>
            </w:pPr>
            <w:r>
              <w:rPr>
                <w:rFonts w:ascii="Arial" w:cs="Arial" w:eastAsia="Arial" w:hAnsi="Arial"/>
                <w:sz w:val="14"/>
                <w:szCs w:val="14"/>
                <w:color w:val="auto"/>
              </w:rPr>
              <w:t>07/14/18</w:t>
            </w:r>
          </w:p>
        </w:tc>
        <w:tc>
          <w:tcPr>
            <w:tcW w:w="220" w:type="dxa"/>
            <w:vAlign w:val="bottom"/>
            <w:shd w:val="clear" w:color="auto" w:fill="EAF9E8"/>
          </w:tcPr>
          <w:p>
            <w:pPr>
              <w:spacing w:after="0"/>
              <w:rPr>
                <w:sz w:val="15"/>
                <w:szCs w:val="15"/>
                <w:color w:val="auto"/>
              </w:rPr>
            </w:pPr>
          </w:p>
        </w:tc>
        <w:tc>
          <w:tcPr>
            <w:tcW w:w="86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AF9E8"/>
          </w:tcPr>
          <w:p>
            <w:pPr>
              <w:spacing w:after="0"/>
              <w:rPr>
                <w:sz w:val="15"/>
                <w:szCs w:val="15"/>
                <w:color w:val="auto"/>
              </w:rPr>
            </w:pP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5"/>
                <w:szCs w:val="15"/>
                <w:color w:val="auto"/>
              </w:rPr>
            </w:pPr>
          </w:p>
        </w:tc>
      </w:tr>
      <w:tr>
        <w:trPr>
          <w:trHeight w:val="324"/>
        </w:trPr>
        <w:tc>
          <w:tcPr>
            <w:tcW w:w="1460" w:type="dxa"/>
            <w:vAlign w:val="bottom"/>
            <w:gridSpan w:val="2"/>
          </w:tcPr>
          <w:p>
            <w:pPr>
              <w:spacing w:after="0"/>
              <w:rPr>
                <w:sz w:val="20"/>
                <w:szCs w:val="20"/>
                <w:color w:val="auto"/>
              </w:rPr>
            </w:pPr>
            <w:r>
              <w:rPr>
                <w:rFonts w:ascii="Arial" w:cs="Arial" w:eastAsia="Arial" w:hAnsi="Arial"/>
                <w:sz w:val="14"/>
                <w:szCs w:val="14"/>
                <w:color w:val="auto"/>
              </w:rPr>
              <w:t>William B. Shepro</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2,632</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6.25000</w:t>
            </w:r>
          </w:p>
        </w:tc>
        <w:tc>
          <w:tcPr>
            <w:tcW w:w="860" w:type="dxa"/>
            <w:vAlign w:val="bottom"/>
          </w:tcPr>
          <w:p>
            <w:pPr>
              <w:ind w:left="240"/>
              <w:spacing w:after="0"/>
              <w:rPr>
                <w:sz w:val="20"/>
                <w:szCs w:val="20"/>
                <w:color w:val="auto"/>
              </w:rPr>
            </w:pPr>
            <w:r>
              <w:rPr>
                <w:rFonts w:ascii="Arial" w:cs="Arial" w:eastAsia="Arial" w:hAnsi="Arial"/>
                <w:sz w:val="14"/>
                <w:szCs w:val="14"/>
                <w:color w:val="auto"/>
              </w:rPr>
              <w:t>03/07/10</w:t>
            </w:r>
          </w:p>
        </w:tc>
        <w:tc>
          <w:tcPr>
            <w:tcW w:w="1080" w:type="dxa"/>
            <w:vAlign w:val="bottom"/>
            <w:gridSpan w:val="2"/>
          </w:tcPr>
          <w:p>
            <w:pPr>
              <w:jc w:val="right"/>
              <w:ind w:right="32"/>
              <w:spacing w:after="0"/>
              <w:rPr>
                <w:sz w:val="20"/>
                <w:szCs w:val="20"/>
                <w:color w:val="auto"/>
              </w:rPr>
            </w:pPr>
            <w:r>
              <w:rPr>
                <w:rFonts w:ascii="Arial" w:cs="Arial" w:eastAsia="Arial" w:hAnsi="Arial"/>
                <w:sz w:val="14"/>
                <w:szCs w:val="14"/>
                <w:color w:val="auto"/>
              </w:rPr>
              <w:t>1,942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17,828</w:t>
            </w:r>
          </w:p>
        </w:tc>
        <w:tc>
          <w:tcPr>
            <w:tcW w:w="380" w:type="dxa"/>
            <w:vAlign w:val="bottom"/>
          </w:tcPr>
          <w:p>
            <w:pPr>
              <w:ind w:left="40"/>
              <w:spacing w:after="0"/>
              <w:rPr>
                <w:sz w:val="20"/>
                <w:szCs w:val="20"/>
                <w:color w:val="auto"/>
              </w:rPr>
            </w:pPr>
            <w:r>
              <w:rPr>
                <w:rFonts w:ascii="Arial" w:cs="Arial" w:eastAsia="Arial" w:hAnsi="Arial"/>
                <w:sz w:val="11"/>
                <w:szCs w:val="11"/>
                <w:color w:val="auto"/>
              </w:rPr>
              <w:t>(7)</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1,942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17,828</w:t>
            </w:r>
          </w:p>
        </w:tc>
        <w:tc>
          <w:tcPr>
            <w:tcW w:w="120" w:type="dxa"/>
            <w:vAlign w:val="bottom"/>
          </w:tcPr>
          <w:p>
            <w:pPr>
              <w:spacing w:after="0"/>
              <w:rPr>
                <w:sz w:val="24"/>
                <w:szCs w:val="24"/>
                <w:color w:val="auto"/>
              </w:rPr>
            </w:pPr>
          </w:p>
        </w:tc>
      </w:tr>
      <w:tr>
        <w:trPr>
          <w:trHeight w:val="176"/>
        </w:trPr>
        <w:tc>
          <w:tcPr>
            <w:tcW w:w="124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960" w:type="dxa"/>
            <w:vAlign w:val="bottom"/>
            <w:shd w:val="clear" w:color="auto" w:fill="EAF9E8"/>
          </w:tcPr>
          <w:p>
            <w:pPr>
              <w:jc w:val="right"/>
              <w:ind w:right="152"/>
              <w:spacing w:after="0"/>
              <w:rPr>
                <w:sz w:val="20"/>
                <w:szCs w:val="20"/>
                <w:color w:val="auto"/>
              </w:rPr>
            </w:pPr>
            <w:r>
              <w:rPr>
                <w:rFonts w:ascii="Arial" w:cs="Arial" w:eastAsia="Arial" w:hAnsi="Arial"/>
                <w:sz w:val="14"/>
                <w:szCs w:val="14"/>
                <w:color w:val="auto"/>
              </w:rPr>
              <w:t>24,309</w:t>
            </w:r>
          </w:p>
        </w:tc>
        <w:tc>
          <w:tcPr>
            <w:tcW w:w="240" w:type="dxa"/>
            <w:vAlign w:val="bottom"/>
            <w:shd w:val="clear" w:color="auto" w:fill="EAF9E8"/>
          </w:tcPr>
          <w:p>
            <w:pPr>
              <w:spacing w:after="0"/>
              <w:rPr>
                <w:sz w:val="15"/>
                <w:szCs w:val="15"/>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84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4.08625</w:t>
            </w:r>
          </w:p>
        </w:tc>
        <w:tc>
          <w:tcPr>
            <w:tcW w:w="860" w:type="dxa"/>
            <w:vAlign w:val="bottom"/>
            <w:shd w:val="clear" w:color="auto" w:fill="EAF9E8"/>
          </w:tcPr>
          <w:p>
            <w:pPr>
              <w:ind w:left="260"/>
              <w:spacing w:after="0"/>
              <w:rPr>
                <w:sz w:val="20"/>
                <w:szCs w:val="20"/>
                <w:color w:val="auto"/>
              </w:rPr>
            </w:pPr>
            <w:r>
              <w:rPr>
                <w:rFonts w:ascii="Arial" w:cs="Arial" w:eastAsia="Arial" w:hAnsi="Arial"/>
                <w:sz w:val="14"/>
                <w:szCs w:val="14"/>
                <w:color w:val="auto"/>
              </w:rPr>
              <w:t>01/31/11</w:t>
            </w:r>
          </w:p>
        </w:tc>
        <w:tc>
          <w:tcPr>
            <w:tcW w:w="1080" w:type="dxa"/>
            <w:vAlign w:val="bottom"/>
            <w:gridSpan w:val="2"/>
            <w:shd w:val="clear" w:color="auto" w:fill="EAF9E8"/>
          </w:tcPr>
          <w:p>
            <w:pPr>
              <w:jc w:val="right"/>
              <w:ind w:right="32"/>
              <w:spacing w:after="0"/>
              <w:rPr>
                <w:sz w:val="20"/>
                <w:szCs w:val="20"/>
                <w:color w:val="auto"/>
              </w:rPr>
            </w:pPr>
            <w:r>
              <w:rPr>
                <w:rFonts w:ascii="Arial" w:cs="Arial" w:eastAsia="Arial" w:hAnsi="Arial"/>
                <w:sz w:val="14"/>
                <w:szCs w:val="14"/>
                <w:color w:val="auto"/>
              </w:rPr>
              <w:t>3,341</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30,670</w:t>
            </w:r>
          </w:p>
        </w:tc>
        <w:tc>
          <w:tcPr>
            <w:tcW w:w="380" w:type="dxa"/>
            <w:vAlign w:val="bottom"/>
            <w:shd w:val="clear" w:color="auto" w:fill="EAF9E8"/>
          </w:tcPr>
          <w:p>
            <w:pPr>
              <w:ind w:left="40"/>
              <w:spacing w:after="0"/>
              <w:rPr>
                <w:sz w:val="20"/>
                <w:szCs w:val="20"/>
                <w:color w:val="auto"/>
              </w:rPr>
            </w:pPr>
            <w:r>
              <w:rPr>
                <w:rFonts w:ascii="Arial" w:cs="Arial" w:eastAsia="Arial" w:hAnsi="Arial"/>
                <w:sz w:val="11"/>
                <w:szCs w:val="11"/>
                <w:color w:val="auto"/>
              </w:rPr>
              <w:t>(10)</w:t>
            </w: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3,341</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30,670</w:t>
            </w:r>
          </w:p>
        </w:tc>
        <w:tc>
          <w:tcPr>
            <w:tcW w:w="120" w:type="dxa"/>
            <w:vAlign w:val="bottom"/>
            <w:shd w:val="clear" w:color="auto" w:fill="EAF9E8"/>
          </w:tcPr>
          <w:p>
            <w:pPr>
              <w:spacing w:after="0"/>
              <w:rPr>
                <w:sz w:val="15"/>
                <w:szCs w:val="15"/>
                <w:color w:val="auto"/>
              </w:rPr>
            </w:pPr>
          </w:p>
        </w:tc>
      </w:tr>
      <w:tr>
        <w:trPr>
          <w:trHeight w:val="149"/>
        </w:trPr>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9,827</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7.40000</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01/31/11</w:t>
            </w:r>
          </w:p>
        </w:tc>
        <w:tc>
          <w:tcPr>
            <w:tcW w:w="22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12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52"/>
              <w:spacing w:after="0" w:line="149" w:lineRule="exact"/>
              <w:rPr>
                <w:sz w:val="20"/>
                <w:szCs w:val="20"/>
                <w:color w:val="auto"/>
              </w:rPr>
            </w:pPr>
            <w:r>
              <w:rPr>
                <w:rFonts w:ascii="Arial" w:cs="Arial" w:eastAsia="Arial" w:hAnsi="Arial"/>
                <w:sz w:val="14"/>
                <w:szCs w:val="14"/>
                <w:color w:val="auto"/>
              </w:rPr>
              <w:t>40,000</w:t>
            </w:r>
          </w:p>
        </w:tc>
        <w:tc>
          <w:tcPr>
            <w:tcW w:w="240" w:type="dxa"/>
            <w:vAlign w:val="bottom"/>
            <w:shd w:val="clear" w:color="auto" w:fill="EAF9E8"/>
          </w:tcPr>
          <w:p>
            <w:pPr>
              <w:spacing w:after="0"/>
              <w:rPr>
                <w:sz w:val="12"/>
                <w:szCs w:val="12"/>
                <w:color w:val="auto"/>
              </w:rPr>
            </w:pPr>
          </w:p>
        </w:tc>
        <w:tc>
          <w:tcPr>
            <w:tcW w:w="5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EAF9E8"/>
          </w:tcPr>
          <w:p>
            <w:pPr>
              <w:ind w:lef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12.55000</w:t>
            </w:r>
          </w:p>
        </w:tc>
        <w:tc>
          <w:tcPr>
            <w:tcW w:w="860" w:type="dxa"/>
            <w:vAlign w:val="bottom"/>
            <w:shd w:val="clear" w:color="auto" w:fill="EAF9E8"/>
          </w:tcPr>
          <w:p>
            <w:pPr>
              <w:ind w:left="260"/>
              <w:spacing w:after="0" w:line="149" w:lineRule="exact"/>
              <w:rPr>
                <w:sz w:val="20"/>
                <w:szCs w:val="20"/>
                <w:color w:val="auto"/>
              </w:rPr>
            </w:pPr>
            <w:r>
              <w:rPr>
                <w:rFonts w:ascii="Arial" w:cs="Arial" w:eastAsia="Arial" w:hAnsi="Arial"/>
                <w:sz w:val="14"/>
                <w:szCs w:val="14"/>
                <w:color w:val="auto"/>
              </w:rPr>
              <w:t>10/31/11</w:t>
            </w:r>
          </w:p>
        </w:tc>
        <w:tc>
          <w:tcPr>
            <w:tcW w:w="220" w:type="dxa"/>
            <w:vAlign w:val="bottom"/>
            <w:shd w:val="clear" w:color="auto" w:fill="EAF9E8"/>
          </w:tcPr>
          <w:p>
            <w:pPr>
              <w:spacing w:after="0"/>
              <w:rPr>
                <w:sz w:val="12"/>
                <w:szCs w:val="12"/>
                <w:color w:val="auto"/>
              </w:rPr>
            </w:pPr>
          </w:p>
        </w:tc>
        <w:tc>
          <w:tcPr>
            <w:tcW w:w="86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AF9E8"/>
          </w:tcPr>
          <w:p>
            <w:pPr>
              <w:spacing w:after="0"/>
              <w:rPr>
                <w:sz w:val="12"/>
                <w:szCs w:val="12"/>
                <w:color w:val="auto"/>
              </w:rPr>
            </w:pPr>
          </w:p>
        </w:tc>
        <w:tc>
          <w:tcPr>
            <w:tcW w:w="8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14,596</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5.78900</w:t>
            </w:r>
          </w:p>
        </w:tc>
        <w:tc>
          <w:tcPr>
            <w:tcW w:w="860" w:type="dxa"/>
            <w:vAlign w:val="bottom"/>
          </w:tcPr>
          <w:p>
            <w:pPr>
              <w:ind w:left="240"/>
              <w:spacing w:after="0" w:line="149" w:lineRule="exact"/>
              <w:rPr>
                <w:sz w:val="20"/>
                <w:szCs w:val="20"/>
                <w:color w:val="auto"/>
              </w:rPr>
            </w:pPr>
            <w:r>
              <w:rPr>
                <w:rFonts w:ascii="Arial" w:cs="Arial" w:eastAsia="Arial" w:hAnsi="Arial"/>
                <w:sz w:val="14"/>
                <w:szCs w:val="14"/>
                <w:color w:val="auto"/>
              </w:rPr>
              <w:t>01/31/12</w:t>
            </w:r>
          </w:p>
        </w:tc>
        <w:tc>
          <w:tcPr>
            <w:tcW w:w="22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12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52"/>
              <w:spacing w:after="0" w:line="149" w:lineRule="exact"/>
              <w:rPr>
                <w:sz w:val="20"/>
                <w:szCs w:val="20"/>
                <w:color w:val="auto"/>
              </w:rPr>
            </w:pPr>
            <w:r>
              <w:rPr>
                <w:rFonts w:ascii="Arial" w:cs="Arial" w:eastAsia="Arial" w:hAnsi="Arial"/>
                <w:sz w:val="14"/>
                <w:szCs w:val="14"/>
                <w:color w:val="auto"/>
              </w:rPr>
              <w:t>19,730</w:t>
            </w:r>
          </w:p>
        </w:tc>
        <w:tc>
          <w:tcPr>
            <w:tcW w:w="240" w:type="dxa"/>
            <w:vAlign w:val="bottom"/>
            <w:shd w:val="clear" w:color="auto" w:fill="EAF9E8"/>
          </w:tcPr>
          <w:p>
            <w:pPr>
              <w:spacing w:after="0"/>
              <w:rPr>
                <w:sz w:val="12"/>
                <w:szCs w:val="12"/>
                <w:color w:val="auto"/>
              </w:rPr>
            </w:pPr>
          </w:p>
        </w:tc>
        <w:tc>
          <w:tcPr>
            <w:tcW w:w="5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EAF9E8"/>
          </w:tcPr>
          <w:p>
            <w:pPr>
              <w:ind w:lef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7.00000</w:t>
            </w:r>
          </w:p>
        </w:tc>
        <w:tc>
          <w:tcPr>
            <w:tcW w:w="860" w:type="dxa"/>
            <w:vAlign w:val="bottom"/>
            <w:shd w:val="clear" w:color="auto" w:fill="EAF9E8"/>
          </w:tcPr>
          <w:p>
            <w:pPr>
              <w:ind w:left="240"/>
              <w:spacing w:after="0" w:line="149" w:lineRule="exact"/>
              <w:rPr>
                <w:sz w:val="20"/>
                <w:szCs w:val="20"/>
                <w:color w:val="auto"/>
              </w:rPr>
            </w:pPr>
            <w:r>
              <w:rPr>
                <w:rFonts w:ascii="Arial" w:cs="Arial" w:eastAsia="Arial" w:hAnsi="Arial"/>
                <w:sz w:val="14"/>
                <w:szCs w:val="14"/>
                <w:color w:val="auto"/>
              </w:rPr>
              <w:t>01/31/12</w:t>
            </w:r>
          </w:p>
        </w:tc>
        <w:tc>
          <w:tcPr>
            <w:tcW w:w="220" w:type="dxa"/>
            <w:vAlign w:val="bottom"/>
            <w:shd w:val="clear" w:color="auto" w:fill="EAF9E8"/>
          </w:tcPr>
          <w:p>
            <w:pPr>
              <w:spacing w:after="0"/>
              <w:rPr>
                <w:sz w:val="12"/>
                <w:szCs w:val="12"/>
                <w:color w:val="auto"/>
              </w:rPr>
            </w:pPr>
          </w:p>
        </w:tc>
        <w:tc>
          <w:tcPr>
            <w:tcW w:w="86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AF9E8"/>
          </w:tcPr>
          <w:p>
            <w:pPr>
              <w:spacing w:after="0"/>
              <w:rPr>
                <w:sz w:val="12"/>
                <w:szCs w:val="12"/>
                <w:color w:val="auto"/>
              </w:rPr>
            </w:pPr>
          </w:p>
        </w:tc>
        <w:tc>
          <w:tcPr>
            <w:tcW w:w="8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2,035</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1.87000</w:t>
            </w:r>
          </w:p>
        </w:tc>
        <w:tc>
          <w:tcPr>
            <w:tcW w:w="860" w:type="dxa"/>
            <w:vAlign w:val="bottom"/>
          </w:tcPr>
          <w:p>
            <w:pPr>
              <w:ind w:left="240"/>
              <w:spacing w:after="0" w:line="149" w:lineRule="exact"/>
              <w:rPr>
                <w:sz w:val="20"/>
                <w:szCs w:val="20"/>
                <w:color w:val="auto"/>
              </w:rPr>
            </w:pPr>
            <w:r>
              <w:rPr>
                <w:rFonts w:ascii="Arial" w:cs="Arial" w:eastAsia="Arial" w:hAnsi="Arial"/>
                <w:sz w:val="14"/>
                <w:szCs w:val="14"/>
                <w:color w:val="auto"/>
              </w:rPr>
              <w:t>01/31/13</w:t>
            </w:r>
          </w:p>
        </w:tc>
        <w:tc>
          <w:tcPr>
            <w:tcW w:w="22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12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52"/>
              <w:spacing w:after="0" w:line="149" w:lineRule="exact"/>
              <w:rPr>
                <w:sz w:val="20"/>
                <w:szCs w:val="20"/>
                <w:color w:val="auto"/>
              </w:rPr>
            </w:pPr>
            <w:r>
              <w:rPr>
                <w:rFonts w:ascii="Arial" w:cs="Arial" w:eastAsia="Arial" w:hAnsi="Arial"/>
                <w:sz w:val="14"/>
                <w:szCs w:val="14"/>
                <w:color w:val="auto"/>
              </w:rPr>
              <w:t>21,053</w:t>
            </w:r>
          </w:p>
        </w:tc>
        <w:tc>
          <w:tcPr>
            <w:tcW w:w="240" w:type="dxa"/>
            <w:vAlign w:val="bottom"/>
            <w:shd w:val="clear" w:color="auto" w:fill="EAF9E8"/>
          </w:tcPr>
          <w:p>
            <w:pPr>
              <w:spacing w:after="0"/>
              <w:rPr>
                <w:sz w:val="12"/>
                <w:szCs w:val="12"/>
                <w:color w:val="auto"/>
              </w:rPr>
            </w:pPr>
          </w:p>
        </w:tc>
        <w:tc>
          <w:tcPr>
            <w:tcW w:w="5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EAF9E8"/>
          </w:tcPr>
          <w:p>
            <w:pPr>
              <w:ind w:lef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2.81000</w:t>
            </w:r>
          </w:p>
        </w:tc>
        <w:tc>
          <w:tcPr>
            <w:tcW w:w="860" w:type="dxa"/>
            <w:vAlign w:val="bottom"/>
            <w:shd w:val="clear" w:color="auto" w:fill="EAF9E8"/>
          </w:tcPr>
          <w:p>
            <w:pPr>
              <w:ind w:left="240"/>
              <w:spacing w:after="0" w:line="149" w:lineRule="exact"/>
              <w:rPr>
                <w:sz w:val="20"/>
                <w:szCs w:val="20"/>
                <w:color w:val="auto"/>
              </w:rPr>
            </w:pPr>
            <w:r>
              <w:rPr>
                <w:rFonts w:ascii="Arial" w:cs="Arial" w:eastAsia="Arial" w:hAnsi="Arial"/>
                <w:sz w:val="14"/>
                <w:szCs w:val="14"/>
                <w:color w:val="auto"/>
              </w:rPr>
              <w:t>01/31/13</w:t>
            </w:r>
          </w:p>
        </w:tc>
        <w:tc>
          <w:tcPr>
            <w:tcW w:w="220" w:type="dxa"/>
            <w:vAlign w:val="bottom"/>
            <w:shd w:val="clear" w:color="auto" w:fill="EAF9E8"/>
          </w:tcPr>
          <w:p>
            <w:pPr>
              <w:spacing w:after="0"/>
              <w:rPr>
                <w:sz w:val="12"/>
                <w:szCs w:val="12"/>
                <w:color w:val="auto"/>
              </w:rPr>
            </w:pPr>
          </w:p>
        </w:tc>
        <w:tc>
          <w:tcPr>
            <w:tcW w:w="86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AF9E8"/>
          </w:tcPr>
          <w:p>
            <w:pPr>
              <w:spacing w:after="0"/>
              <w:rPr>
                <w:sz w:val="12"/>
                <w:szCs w:val="12"/>
                <w:color w:val="auto"/>
              </w:rPr>
            </w:pPr>
          </w:p>
        </w:tc>
        <w:tc>
          <w:tcPr>
            <w:tcW w:w="8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5,977</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6.18000</w:t>
            </w:r>
          </w:p>
        </w:tc>
        <w:tc>
          <w:tcPr>
            <w:tcW w:w="860" w:type="dxa"/>
            <w:vAlign w:val="bottom"/>
          </w:tcPr>
          <w:p>
            <w:pPr>
              <w:ind w:left="240"/>
              <w:spacing w:after="0" w:line="149" w:lineRule="exact"/>
              <w:rPr>
                <w:sz w:val="20"/>
                <w:szCs w:val="20"/>
                <w:color w:val="auto"/>
              </w:rPr>
            </w:pPr>
            <w:r>
              <w:rPr>
                <w:rFonts w:ascii="Arial" w:cs="Arial" w:eastAsia="Arial" w:hAnsi="Arial"/>
                <w:sz w:val="14"/>
                <w:szCs w:val="14"/>
                <w:color w:val="auto"/>
              </w:rPr>
              <w:t>01/31/14</w:t>
            </w:r>
          </w:p>
        </w:tc>
        <w:tc>
          <w:tcPr>
            <w:tcW w:w="22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12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52"/>
              <w:spacing w:after="0" w:line="149" w:lineRule="exact"/>
              <w:rPr>
                <w:sz w:val="20"/>
                <w:szCs w:val="20"/>
                <w:color w:val="auto"/>
              </w:rPr>
            </w:pPr>
            <w:r>
              <w:rPr>
                <w:rFonts w:ascii="Arial" w:cs="Arial" w:eastAsia="Arial" w:hAnsi="Arial"/>
                <w:sz w:val="14"/>
                <w:szCs w:val="14"/>
                <w:color w:val="auto"/>
              </w:rPr>
              <w:t>23,906</w:t>
            </w:r>
          </w:p>
        </w:tc>
        <w:tc>
          <w:tcPr>
            <w:tcW w:w="240" w:type="dxa"/>
            <w:vAlign w:val="bottom"/>
            <w:shd w:val="clear" w:color="auto" w:fill="EAF9E8"/>
          </w:tcPr>
          <w:p>
            <w:pPr>
              <w:spacing w:after="0"/>
              <w:rPr>
                <w:sz w:val="12"/>
                <w:szCs w:val="12"/>
                <w:color w:val="auto"/>
              </w:rPr>
            </w:pPr>
          </w:p>
        </w:tc>
        <w:tc>
          <w:tcPr>
            <w:tcW w:w="5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8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EAF9E8"/>
          </w:tcPr>
          <w:p>
            <w:pPr>
              <w:ind w:lef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10.73000</w:t>
            </w:r>
          </w:p>
        </w:tc>
        <w:tc>
          <w:tcPr>
            <w:tcW w:w="860" w:type="dxa"/>
            <w:vAlign w:val="bottom"/>
            <w:shd w:val="clear" w:color="auto" w:fill="EAF9E8"/>
          </w:tcPr>
          <w:p>
            <w:pPr>
              <w:ind w:left="240"/>
              <w:spacing w:after="0" w:line="149" w:lineRule="exact"/>
              <w:rPr>
                <w:sz w:val="20"/>
                <w:szCs w:val="20"/>
                <w:color w:val="auto"/>
              </w:rPr>
            </w:pPr>
            <w:r>
              <w:rPr>
                <w:rFonts w:ascii="Arial" w:cs="Arial" w:eastAsia="Arial" w:hAnsi="Arial"/>
                <w:sz w:val="14"/>
                <w:szCs w:val="14"/>
                <w:color w:val="auto"/>
              </w:rPr>
              <w:t>01/31/14</w:t>
            </w:r>
          </w:p>
        </w:tc>
        <w:tc>
          <w:tcPr>
            <w:tcW w:w="220" w:type="dxa"/>
            <w:vAlign w:val="bottom"/>
            <w:shd w:val="clear" w:color="auto" w:fill="EAF9E8"/>
          </w:tcPr>
          <w:p>
            <w:pPr>
              <w:spacing w:after="0"/>
              <w:rPr>
                <w:sz w:val="12"/>
                <w:szCs w:val="12"/>
                <w:color w:val="auto"/>
              </w:rPr>
            </w:pPr>
          </w:p>
        </w:tc>
        <w:tc>
          <w:tcPr>
            <w:tcW w:w="86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AF9E8"/>
          </w:tcPr>
          <w:p>
            <w:pPr>
              <w:spacing w:after="0"/>
              <w:rPr>
                <w:sz w:val="12"/>
                <w:szCs w:val="12"/>
                <w:color w:val="auto"/>
              </w:rPr>
            </w:pPr>
          </w:p>
        </w:tc>
        <w:tc>
          <w:tcPr>
            <w:tcW w:w="8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r>
      <w:tr>
        <w:trPr>
          <w:trHeight w:val="176"/>
        </w:trPr>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28,922</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7,230</w:t>
            </w:r>
          </w:p>
        </w:tc>
        <w:tc>
          <w:tcPr>
            <w:tcW w:w="340" w:type="dxa"/>
            <w:vAlign w:val="bottom"/>
          </w:tcPr>
          <w:p>
            <w:pPr>
              <w:jc w:val="right"/>
              <w:ind w:right="144"/>
              <w:spacing w:after="0"/>
              <w:rPr>
                <w:sz w:val="20"/>
                <w:szCs w:val="20"/>
                <w:color w:val="auto"/>
              </w:rPr>
            </w:pPr>
            <w:r>
              <w:rPr>
                <w:rFonts w:ascii="Arial" w:cs="Arial" w:eastAsia="Arial" w:hAnsi="Arial"/>
                <w:sz w:val="11"/>
                <w:szCs w:val="11"/>
                <w:color w:val="auto"/>
                <w:w w:val="88"/>
              </w:rPr>
              <w:t>(1)</w:t>
            </w:r>
          </w:p>
        </w:tc>
        <w:tc>
          <w:tcPr>
            <w:tcW w:w="1080" w:type="dxa"/>
            <w:vAlign w:val="bottom"/>
            <w:gridSpan w:val="2"/>
          </w:tcPr>
          <w:p>
            <w:pPr>
              <w:jc w:val="right"/>
              <w:ind w:right="52"/>
              <w:spacing w:after="0"/>
              <w:rPr>
                <w:sz w:val="20"/>
                <w:szCs w:val="20"/>
                <w:color w:val="auto"/>
              </w:rPr>
            </w:pPr>
            <w:r>
              <w:rPr>
                <w:rFonts w:ascii="Arial" w:cs="Arial" w:eastAsia="Arial" w:hAnsi="Arial"/>
                <w:sz w:val="14"/>
                <w:szCs w:val="14"/>
                <w:color w:val="auto"/>
              </w:rPr>
              <w:t>7,230</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8.04000</w:t>
            </w:r>
          </w:p>
        </w:tc>
        <w:tc>
          <w:tcPr>
            <w:tcW w:w="860" w:type="dxa"/>
            <w:vAlign w:val="bottom"/>
          </w:tcPr>
          <w:p>
            <w:pPr>
              <w:ind w:left="240"/>
              <w:spacing w:after="0"/>
              <w:rPr>
                <w:sz w:val="20"/>
                <w:szCs w:val="20"/>
                <w:color w:val="auto"/>
              </w:rPr>
            </w:pPr>
            <w:r>
              <w:rPr>
                <w:rFonts w:ascii="Arial" w:cs="Arial" w:eastAsia="Arial" w:hAnsi="Arial"/>
                <w:sz w:val="14"/>
                <w:szCs w:val="14"/>
                <w:color w:val="auto"/>
              </w:rPr>
              <w:t>01/31/15</w:t>
            </w:r>
          </w:p>
        </w:tc>
        <w:tc>
          <w:tcPr>
            <w:tcW w:w="22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6"/>
        </w:trPr>
        <w:tc>
          <w:tcPr>
            <w:tcW w:w="124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960" w:type="dxa"/>
            <w:vAlign w:val="bottom"/>
            <w:shd w:val="clear" w:color="auto" w:fill="EAF9E8"/>
          </w:tcPr>
          <w:p>
            <w:pPr>
              <w:jc w:val="right"/>
              <w:ind w:right="152"/>
              <w:spacing w:after="0"/>
              <w:rPr>
                <w:sz w:val="20"/>
                <w:szCs w:val="20"/>
                <w:color w:val="auto"/>
              </w:rPr>
            </w:pPr>
            <w:r>
              <w:rPr>
                <w:rFonts w:ascii="Arial" w:cs="Arial" w:eastAsia="Arial" w:hAnsi="Arial"/>
                <w:sz w:val="14"/>
                <w:szCs w:val="14"/>
                <w:color w:val="auto"/>
              </w:rPr>
              <w:t>23,812</w:t>
            </w: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15,875</w:t>
            </w:r>
          </w:p>
        </w:tc>
        <w:tc>
          <w:tcPr>
            <w:tcW w:w="34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w w:val="88"/>
              </w:rPr>
              <w:t>(2)</w:t>
            </w:r>
          </w:p>
        </w:tc>
        <w:tc>
          <w:tcPr>
            <w:tcW w:w="1080" w:type="dxa"/>
            <w:vAlign w:val="bottom"/>
            <w:gridSpan w:val="2"/>
            <w:shd w:val="clear" w:color="auto" w:fill="EAF9E8"/>
          </w:tcPr>
          <w:p>
            <w:pPr>
              <w:jc w:val="right"/>
              <w:ind w:right="52"/>
              <w:spacing w:after="0"/>
              <w:rPr>
                <w:sz w:val="20"/>
                <w:szCs w:val="20"/>
                <w:color w:val="auto"/>
              </w:rPr>
            </w:pPr>
            <w:r>
              <w:rPr>
                <w:rFonts w:ascii="Arial" w:cs="Arial" w:eastAsia="Arial" w:hAnsi="Arial"/>
                <w:sz w:val="14"/>
                <w:szCs w:val="14"/>
                <w:color w:val="auto"/>
              </w:rPr>
              <w:t>15,875</w:t>
            </w:r>
          </w:p>
        </w:tc>
        <w:tc>
          <w:tcPr>
            <w:tcW w:w="36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9.64000</w:t>
            </w:r>
          </w:p>
        </w:tc>
        <w:tc>
          <w:tcPr>
            <w:tcW w:w="860" w:type="dxa"/>
            <w:vAlign w:val="bottom"/>
            <w:shd w:val="clear" w:color="auto" w:fill="EAF9E8"/>
          </w:tcPr>
          <w:p>
            <w:pPr>
              <w:ind w:left="240"/>
              <w:spacing w:after="0"/>
              <w:rPr>
                <w:sz w:val="20"/>
                <w:szCs w:val="20"/>
                <w:color w:val="auto"/>
              </w:rPr>
            </w:pPr>
            <w:r>
              <w:rPr>
                <w:rFonts w:ascii="Arial" w:cs="Arial" w:eastAsia="Arial" w:hAnsi="Arial"/>
                <w:sz w:val="14"/>
                <w:szCs w:val="14"/>
                <w:color w:val="auto"/>
              </w:rPr>
              <w:t>01/31/16</w:t>
            </w:r>
          </w:p>
        </w:tc>
        <w:tc>
          <w:tcPr>
            <w:tcW w:w="220" w:type="dxa"/>
            <w:vAlign w:val="bottom"/>
            <w:shd w:val="clear" w:color="auto" w:fill="EAF9E8"/>
          </w:tcPr>
          <w:p>
            <w:pPr>
              <w:spacing w:after="0"/>
              <w:rPr>
                <w:sz w:val="15"/>
                <w:szCs w:val="15"/>
                <w:color w:val="auto"/>
              </w:rPr>
            </w:pPr>
          </w:p>
        </w:tc>
        <w:tc>
          <w:tcPr>
            <w:tcW w:w="86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AF9E8"/>
          </w:tcPr>
          <w:p>
            <w:pPr>
              <w:spacing w:after="0"/>
              <w:rPr>
                <w:sz w:val="15"/>
                <w:szCs w:val="15"/>
                <w:color w:val="auto"/>
              </w:rPr>
            </w:pP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17,025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11,351</w:t>
            </w:r>
          </w:p>
        </w:tc>
        <w:tc>
          <w:tcPr>
            <w:tcW w:w="340" w:type="dxa"/>
            <w:vAlign w:val="bottom"/>
          </w:tcPr>
          <w:p>
            <w:pPr>
              <w:jc w:val="right"/>
              <w:ind w:right="144"/>
              <w:spacing w:after="0"/>
              <w:rPr>
                <w:sz w:val="20"/>
                <w:szCs w:val="20"/>
                <w:color w:val="auto"/>
              </w:rPr>
            </w:pPr>
            <w:r>
              <w:rPr>
                <w:rFonts w:ascii="Arial" w:cs="Arial" w:eastAsia="Arial" w:hAnsi="Arial"/>
                <w:sz w:val="11"/>
                <w:szCs w:val="11"/>
                <w:color w:val="auto"/>
                <w:w w:val="88"/>
              </w:rPr>
              <w:t>(3)</w:t>
            </w:r>
          </w:p>
        </w:tc>
        <w:tc>
          <w:tcPr>
            <w:tcW w:w="1080" w:type="dxa"/>
            <w:vAlign w:val="bottom"/>
            <w:gridSpan w:val="2"/>
          </w:tcPr>
          <w:p>
            <w:pPr>
              <w:jc w:val="right"/>
              <w:ind w:right="52"/>
              <w:spacing w:after="0"/>
              <w:rPr>
                <w:sz w:val="20"/>
                <w:szCs w:val="20"/>
                <w:color w:val="auto"/>
              </w:rPr>
            </w:pPr>
            <w:r>
              <w:rPr>
                <w:rFonts w:ascii="Arial" w:cs="Arial" w:eastAsia="Arial" w:hAnsi="Arial"/>
                <w:sz w:val="14"/>
                <w:szCs w:val="14"/>
                <w:color w:val="auto"/>
              </w:rPr>
              <w:t>11,351</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11.88000</w:t>
            </w:r>
          </w:p>
        </w:tc>
        <w:tc>
          <w:tcPr>
            <w:tcW w:w="860" w:type="dxa"/>
            <w:vAlign w:val="bottom"/>
          </w:tcPr>
          <w:p>
            <w:pPr>
              <w:ind w:left="240"/>
              <w:spacing w:after="0"/>
              <w:rPr>
                <w:sz w:val="20"/>
                <w:szCs w:val="20"/>
                <w:color w:val="auto"/>
              </w:rPr>
            </w:pPr>
            <w:r>
              <w:rPr>
                <w:rFonts w:ascii="Arial" w:cs="Arial" w:eastAsia="Arial" w:hAnsi="Arial"/>
                <w:sz w:val="14"/>
                <w:szCs w:val="14"/>
                <w:color w:val="auto"/>
              </w:rPr>
              <w:t>05/10/17</w:t>
            </w:r>
          </w:p>
        </w:tc>
        <w:tc>
          <w:tcPr>
            <w:tcW w:w="22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6"/>
        </w:trPr>
        <w:tc>
          <w:tcPr>
            <w:tcW w:w="124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960" w:type="dxa"/>
            <w:vAlign w:val="bottom"/>
            <w:shd w:val="clear" w:color="auto" w:fill="EAF9E8"/>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206,250</w:t>
            </w:r>
          </w:p>
        </w:tc>
        <w:tc>
          <w:tcPr>
            <w:tcW w:w="34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w w:val="88"/>
              </w:rPr>
              <w:t>(4)</w:t>
            </w:r>
          </w:p>
        </w:tc>
        <w:tc>
          <w:tcPr>
            <w:tcW w:w="1080" w:type="dxa"/>
            <w:vAlign w:val="bottom"/>
            <w:gridSpan w:val="2"/>
            <w:shd w:val="clear" w:color="auto" w:fill="EAF9E8"/>
          </w:tcPr>
          <w:p>
            <w:pPr>
              <w:jc w:val="right"/>
              <w:ind w:right="52"/>
              <w:spacing w:after="0"/>
              <w:rPr>
                <w:sz w:val="20"/>
                <w:szCs w:val="20"/>
                <w:color w:val="auto"/>
              </w:rPr>
            </w:pPr>
            <w:r>
              <w:rPr>
                <w:rFonts w:ascii="Arial" w:cs="Arial" w:eastAsia="Arial" w:hAnsi="Arial"/>
                <w:sz w:val="14"/>
                <w:szCs w:val="14"/>
                <w:color w:val="auto"/>
              </w:rPr>
              <w:t>206,250</w:t>
            </w:r>
          </w:p>
        </w:tc>
        <w:tc>
          <w:tcPr>
            <w:tcW w:w="36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8.00000</w:t>
            </w:r>
          </w:p>
        </w:tc>
        <w:tc>
          <w:tcPr>
            <w:tcW w:w="860" w:type="dxa"/>
            <w:vAlign w:val="bottom"/>
            <w:shd w:val="clear" w:color="auto" w:fill="EAF9E8"/>
          </w:tcPr>
          <w:p>
            <w:pPr>
              <w:ind w:left="240"/>
              <w:spacing w:after="0"/>
              <w:rPr>
                <w:sz w:val="20"/>
                <w:szCs w:val="20"/>
                <w:color w:val="auto"/>
              </w:rPr>
            </w:pPr>
            <w:r>
              <w:rPr>
                <w:rFonts w:ascii="Arial" w:cs="Arial" w:eastAsia="Arial" w:hAnsi="Arial"/>
                <w:sz w:val="14"/>
                <w:szCs w:val="14"/>
                <w:color w:val="auto"/>
              </w:rPr>
              <w:t>07/14/18</w:t>
            </w:r>
          </w:p>
        </w:tc>
        <w:tc>
          <w:tcPr>
            <w:tcW w:w="220" w:type="dxa"/>
            <w:vAlign w:val="bottom"/>
            <w:shd w:val="clear" w:color="auto" w:fill="EAF9E8"/>
          </w:tcPr>
          <w:p>
            <w:pPr>
              <w:spacing w:after="0"/>
              <w:rPr>
                <w:sz w:val="15"/>
                <w:szCs w:val="15"/>
                <w:color w:val="auto"/>
              </w:rPr>
            </w:pPr>
          </w:p>
        </w:tc>
        <w:tc>
          <w:tcPr>
            <w:tcW w:w="86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AF9E8"/>
          </w:tcPr>
          <w:p>
            <w:pPr>
              <w:spacing w:after="0"/>
              <w:rPr>
                <w:sz w:val="15"/>
                <w:szCs w:val="15"/>
                <w:color w:val="auto"/>
              </w:rPr>
            </w:pP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412,500</w:t>
            </w:r>
          </w:p>
        </w:tc>
        <w:tc>
          <w:tcPr>
            <w:tcW w:w="340" w:type="dxa"/>
            <w:vAlign w:val="bottom"/>
          </w:tcPr>
          <w:p>
            <w:pPr>
              <w:jc w:val="right"/>
              <w:ind w:right="144"/>
              <w:spacing w:after="0"/>
              <w:rPr>
                <w:sz w:val="20"/>
                <w:szCs w:val="20"/>
                <w:color w:val="auto"/>
              </w:rPr>
            </w:pPr>
            <w:r>
              <w:rPr>
                <w:rFonts w:ascii="Arial" w:cs="Arial" w:eastAsia="Arial" w:hAnsi="Arial"/>
                <w:sz w:val="11"/>
                <w:szCs w:val="11"/>
                <w:color w:val="auto"/>
                <w:w w:val="88"/>
              </w:rPr>
              <w:t>(5)</w:t>
            </w:r>
          </w:p>
        </w:tc>
        <w:tc>
          <w:tcPr>
            <w:tcW w:w="1080" w:type="dxa"/>
            <w:vAlign w:val="bottom"/>
            <w:gridSpan w:val="2"/>
          </w:tcPr>
          <w:p>
            <w:pPr>
              <w:jc w:val="right"/>
              <w:ind w:right="52"/>
              <w:spacing w:after="0"/>
              <w:rPr>
                <w:sz w:val="20"/>
                <w:szCs w:val="20"/>
                <w:color w:val="auto"/>
              </w:rPr>
            </w:pPr>
            <w:r>
              <w:rPr>
                <w:rFonts w:ascii="Arial" w:cs="Arial" w:eastAsia="Arial" w:hAnsi="Arial"/>
                <w:sz w:val="14"/>
                <w:szCs w:val="14"/>
                <w:color w:val="auto"/>
              </w:rPr>
              <w:t>412,500</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8.00000</w:t>
            </w:r>
          </w:p>
        </w:tc>
        <w:tc>
          <w:tcPr>
            <w:tcW w:w="860" w:type="dxa"/>
            <w:vAlign w:val="bottom"/>
          </w:tcPr>
          <w:p>
            <w:pPr>
              <w:ind w:left="240"/>
              <w:spacing w:after="0"/>
              <w:rPr>
                <w:sz w:val="20"/>
                <w:szCs w:val="20"/>
                <w:color w:val="auto"/>
              </w:rPr>
            </w:pPr>
            <w:r>
              <w:rPr>
                <w:rFonts w:ascii="Arial" w:cs="Arial" w:eastAsia="Arial" w:hAnsi="Arial"/>
                <w:sz w:val="14"/>
                <w:szCs w:val="14"/>
                <w:color w:val="auto"/>
              </w:rPr>
              <w:t>07/14/18</w:t>
            </w:r>
          </w:p>
        </w:tc>
        <w:tc>
          <w:tcPr>
            <w:tcW w:w="22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6"/>
        </w:trPr>
        <w:tc>
          <w:tcPr>
            <w:tcW w:w="124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960" w:type="dxa"/>
            <w:vAlign w:val="bottom"/>
            <w:shd w:val="clear" w:color="auto" w:fill="EAF9E8"/>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206,250</w:t>
            </w:r>
          </w:p>
        </w:tc>
        <w:tc>
          <w:tcPr>
            <w:tcW w:w="340" w:type="dxa"/>
            <w:vAlign w:val="bottom"/>
            <w:shd w:val="clear" w:color="auto" w:fill="EAF9E8"/>
          </w:tcPr>
          <w:p>
            <w:pPr>
              <w:jc w:val="right"/>
              <w:ind w:right="144"/>
              <w:spacing w:after="0"/>
              <w:rPr>
                <w:sz w:val="20"/>
                <w:szCs w:val="20"/>
                <w:color w:val="auto"/>
              </w:rPr>
            </w:pPr>
            <w:r>
              <w:rPr>
                <w:rFonts w:ascii="Arial" w:cs="Arial" w:eastAsia="Arial" w:hAnsi="Arial"/>
                <w:sz w:val="11"/>
                <w:szCs w:val="11"/>
                <w:color w:val="auto"/>
                <w:w w:val="88"/>
              </w:rPr>
              <w:t>(6)</w:t>
            </w:r>
          </w:p>
        </w:tc>
        <w:tc>
          <w:tcPr>
            <w:tcW w:w="1080" w:type="dxa"/>
            <w:vAlign w:val="bottom"/>
            <w:gridSpan w:val="2"/>
            <w:shd w:val="clear" w:color="auto" w:fill="EAF9E8"/>
          </w:tcPr>
          <w:p>
            <w:pPr>
              <w:jc w:val="right"/>
              <w:ind w:right="52"/>
              <w:spacing w:after="0"/>
              <w:rPr>
                <w:sz w:val="20"/>
                <w:szCs w:val="20"/>
                <w:color w:val="auto"/>
              </w:rPr>
            </w:pPr>
            <w:r>
              <w:rPr>
                <w:rFonts w:ascii="Arial" w:cs="Arial" w:eastAsia="Arial" w:hAnsi="Arial"/>
                <w:sz w:val="14"/>
                <w:szCs w:val="14"/>
                <w:color w:val="auto"/>
              </w:rPr>
              <w:t>206,250</w:t>
            </w:r>
          </w:p>
        </w:tc>
        <w:tc>
          <w:tcPr>
            <w:tcW w:w="36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8.00000</w:t>
            </w:r>
          </w:p>
        </w:tc>
        <w:tc>
          <w:tcPr>
            <w:tcW w:w="860" w:type="dxa"/>
            <w:vAlign w:val="bottom"/>
            <w:shd w:val="clear" w:color="auto" w:fill="EAF9E8"/>
          </w:tcPr>
          <w:p>
            <w:pPr>
              <w:ind w:left="240"/>
              <w:spacing w:after="0"/>
              <w:rPr>
                <w:sz w:val="20"/>
                <w:szCs w:val="20"/>
                <w:color w:val="auto"/>
              </w:rPr>
            </w:pPr>
            <w:r>
              <w:rPr>
                <w:rFonts w:ascii="Arial" w:cs="Arial" w:eastAsia="Arial" w:hAnsi="Arial"/>
                <w:sz w:val="14"/>
                <w:szCs w:val="14"/>
                <w:color w:val="auto"/>
              </w:rPr>
              <w:t>07/14/18</w:t>
            </w:r>
          </w:p>
        </w:tc>
        <w:tc>
          <w:tcPr>
            <w:tcW w:w="220" w:type="dxa"/>
            <w:vAlign w:val="bottom"/>
            <w:shd w:val="clear" w:color="auto" w:fill="EAF9E8"/>
          </w:tcPr>
          <w:p>
            <w:pPr>
              <w:spacing w:after="0"/>
              <w:rPr>
                <w:sz w:val="15"/>
                <w:szCs w:val="15"/>
                <w:color w:val="auto"/>
              </w:rPr>
            </w:pPr>
          </w:p>
        </w:tc>
        <w:tc>
          <w:tcPr>
            <w:tcW w:w="86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AF9E8"/>
          </w:tcPr>
          <w:p>
            <w:pPr>
              <w:spacing w:after="0"/>
              <w:rPr>
                <w:sz w:val="15"/>
                <w:szCs w:val="15"/>
                <w:color w:val="auto"/>
              </w:rPr>
            </w:pPr>
          </w:p>
        </w:tc>
        <w:tc>
          <w:tcPr>
            <w:tcW w:w="8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5"/>
                <w:szCs w:val="15"/>
                <w:color w:val="auto"/>
              </w:rPr>
            </w:pPr>
          </w:p>
        </w:tc>
      </w:tr>
    </w:tbl>
    <w:p>
      <w:pPr>
        <w:spacing w:after="0" w:line="19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Options vested on 1/31/09.</w:t>
      </w:r>
    </w:p>
    <w:p>
      <w:pPr>
        <w:spacing w:after="0" w:line="71"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Options vest in two equal installments on 1/31/09 and 1/31/10.</w:t>
      </w:r>
    </w:p>
    <w:p>
      <w:pPr>
        <w:spacing w:after="0" w:line="71"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Options vest in two equal installments on 12/31/09 and 12/31/10.</w:t>
      </w:r>
    </w:p>
    <w:p>
      <w:pPr>
        <w:spacing w:after="0" w:line="71"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Options vest in four equal installments on 7/14/09, 7/14/10, 7/14/11 and 7/14/12.</w:t>
      </w:r>
    </w:p>
    <w:p>
      <w:pPr>
        <w:spacing w:after="0" w:line="71"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25% vests upon achieving a stock price of $16 and compounded annual gain of 20% over the exercise price with the balance vesting 25% each subsequent year.</w:t>
      </w:r>
    </w:p>
    <w:p>
      <w:pPr>
        <w:spacing w:after="0" w:line="71"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25% vests upon achieving a stock price of $24 and compounded annual gain of 25% over the exercise price with the balance vesting 25% each subsequent year.</w:t>
      </w:r>
    </w:p>
    <w:p>
      <w:pPr>
        <w:spacing w:after="0" w:line="71"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Shares vested on 1/31/09.</w:t>
      </w:r>
    </w:p>
    <w:p>
      <w:pPr>
        <w:spacing w:after="0" w:line="71"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3,175, and 2,471 shares vest on 1/1/09 and 1/1/10 respectively.</w:t>
      </w:r>
    </w:p>
    <w:p>
      <w:pPr>
        <w:spacing w:after="0" w:line="71"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2,690, and 2,142 shares vest on 1/1/09 and 1/1/10 respectively.</w:t>
      </w:r>
    </w:p>
    <w:p>
      <w:pPr>
        <w:spacing w:after="0" w:line="71"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1,936, and 1,405 shares vest on 1/1/09 and 1/1/10 respectively.</w:t>
      </w:r>
    </w:p>
    <w:p>
      <w:pPr>
        <w:spacing w:after="0" w:line="194" w:lineRule="exact"/>
        <w:rPr>
          <w:rFonts w:ascii="Arial" w:cs="Arial" w:eastAsia="Arial" w:hAnsi="Arial"/>
          <w:sz w:val="22"/>
          <w:szCs w:val="22"/>
          <w:color w:val="auto"/>
          <w:vertAlign w:val="superscript"/>
        </w:rPr>
      </w:pPr>
    </w:p>
    <w:p>
      <w:pPr>
        <w:ind w:left="5620" w:hanging="96"/>
        <w:spacing w:after="0"/>
        <w:tabs>
          <w:tab w:leader="none" w:pos="5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2008 for the individuals named in the 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00" w:type="dxa"/>
            <w:vAlign w:val="bottom"/>
            <w:gridSpan w:val="5"/>
          </w:tcPr>
          <w:p>
            <w:pPr>
              <w:ind w:left="900"/>
              <w:spacing w:after="0"/>
              <w:rPr>
                <w:sz w:val="20"/>
                <w:szCs w:val="20"/>
                <w:color w:val="auto"/>
              </w:rPr>
            </w:pPr>
            <w:r>
              <w:rPr>
                <w:rFonts w:ascii="Arial" w:cs="Arial" w:eastAsia="Arial" w:hAnsi="Arial"/>
                <w:sz w:val="18"/>
                <w:szCs w:val="18"/>
                <w:b w:val="1"/>
                <w:bCs w:val="1"/>
                <w:color w:val="auto"/>
              </w:rPr>
              <w:t>Option Awards</w:t>
            </w:r>
          </w:p>
        </w:tc>
        <w:tc>
          <w:tcPr>
            <w:tcW w:w="2860" w:type="dxa"/>
            <w:vAlign w:val="bottom"/>
            <w:gridSpan w:val="4"/>
          </w:tcPr>
          <w:p>
            <w:pPr>
              <w:jc w:val="right"/>
              <w:ind w:right="832"/>
              <w:spacing w:after="0"/>
              <w:rPr>
                <w:sz w:val="20"/>
                <w:szCs w:val="20"/>
                <w:color w:val="auto"/>
              </w:rPr>
            </w:pPr>
            <w:r>
              <w:rPr>
                <w:rFonts w:ascii="Arial" w:cs="Arial" w:eastAsia="Arial" w:hAnsi="Arial"/>
                <w:sz w:val="18"/>
                <w:szCs w:val="18"/>
                <w:b w:val="1"/>
                <w:bCs w:val="1"/>
                <w:color w:val="auto"/>
              </w:rPr>
              <w:t>Stock Awards</w:t>
            </w:r>
          </w:p>
        </w:tc>
        <w:tc>
          <w:tcPr>
            <w:tcW w:w="120" w:type="dxa"/>
            <w:vAlign w:val="bottom"/>
          </w:tcPr>
          <w:p>
            <w:pPr>
              <w:spacing w:after="0"/>
              <w:rPr>
                <w:sz w:val="19"/>
                <w:szCs w:val="19"/>
                <w:color w:val="auto"/>
              </w:rPr>
            </w:pPr>
          </w:p>
        </w:tc>
      </w:tr>
      <w:tr>
        <w:trPr>
          <w:trHeight w:val="245"/>
        </w:trPr>
        <w:tc>
          <w:tcPr>
            <w:tcW w:w="4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195"/>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Number of</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Number of</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Acquired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Value Realized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Acquired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Value Realized</w:t>
            </w:r>
          </w:p>
        </w:tc>
        <w:tc>
          <w:tcPr>
            <w:tcW w:w="120" w:type="dxa"/>
            <w:vAlign w:val="bottom"/>
          </w:tcPr>
          <w:p>
            <w:pPr>
              <w:spacing w:after="0"/>
              <w:rPr>
                <w:sz w:val="18"/>
                <w:szCs w:val="18"/>
                <w:color w:val="auto"/>
              </w:rPr>
            </w:pPr>
          </w:p>
        </w:tc>
      </w:tr>
      <w:tr>
        <w:trPr>
          <w:trHeight w:val="228"/>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5"/>
              </w:rPr>
              <w:t>on Exercise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on Exercise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4"/>
              </w:rPr>
              <w:t>on Vesting</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on Vesting</w:t>
            </w:r>
          </w:p>
        </w:tc>
        <w:tc>
          <w:tcPr>
            <w:tcW w:w="120" w:type="dxa"/>
            <w:vAlign w:val="bottom"/>
          </w:tcPr>
          <w:p>
            <w:pPr>
              <w:spacing w:after="0"/>
              <w:rPr>
                <w:sz w:val="19"/>
                <w:szCs w:val="19"/>
                <w:color w:val="auto"/>
              </w:rPr>
            </w:pPr>
          </w:p>
        </w:tc>
      </w:tr>
      <w:tr>
        <w:trPr>
          <w:trHeight w:val="245"/>
        </w:trPr>
        <w:tc>
          <w:tcPr>
            <w:tcW w:w="5140" w:type="dxa"/>
            <w:vAlign w:val="bottom"/>
            <w:gridSpan w:val="2"/>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0"/>
        </w:trPr>
        <w:tc>
          <w:tcPr>
            <w:tcW w:w="478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360" w:type="dxa"/>
            <w:vAlign w:val="bottom"/>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ind w:lef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EAF9E8"/>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EAF9E8"/>
          </w:tcPr>
          <w:p>
            <w:pPr>
              <w:spacing w:after="0"/>
              <w:rPr>
                <w:sz w:val="18"/>
                <w:szCs w:val="18"/>
                <w:color w:val="auto"/>
              </w:rPr>
            </w:pPr>
          </w:p>
        </w:tc>
        <w:tc>
          <w:tcPr>
            <w:tcW w:w="1180" w:type="dxa"/>
            <w:vAlign w:val="bottom"/>
            <w:tcBorders>
              <w:top w:val="single" w:sz="8" w:color="auto"/>
            </w:tcBorders>
            <w:shd w:val="clear" w:color="auto" w:fill="EAF9E8"/>
          </w:tcPr>
          <w:p>
            <w:pPr>
              <w:jc w:val="right"/>
              <w:ind w:right="132"/>
              <w:spacing w:after="0"/>
              <w:rPr>
                <w:sz w:val="20"/>
                <w:szCs w:val="20"/>
                <w:color w:val="auto"/>
              </w:rPr>
            </w:pPr>
            <w:r>
              <w:rPr>
                <w:rFonts w:ascii="Arial" w:cs="Arial" w:eastAsia="Arial" w:hAnsi="Arial"/>
                <w:sz w:val="18"/>
                <w:szCs w:val="18"/>
                <w:color w:val="auto"/>
              </w:rPr>
              <w:t>48,186</w:t>
            </w:r>
          </w:p>
        </w:tc>
        <w:tc>
          <w:tcPr>
            <w:tcW w:w="36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275,845</w:t>
            </w:r>
          </w:p>
        </w:tc>
        <w:tc>
          <w:tcPr>
            <w:tcW w:w="120" w:type="dxa"/>
            <w:vAlign w:val="bottom"/>
            <w:shd w:val="clear" w:color="auto" w:fill="EAF9E8"/>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Ronald M. Faris</w:t>
            </w:r>
          </w:p>
        </w:tc>
        <w:tc>
          <w:tcPr>
            <w:tcW w:w="1300" w:type="dxa"/>
            <w:vAlign w:val="bottom"/>
          </w:tcPr>
          <w:p>
            <w:pPr>
              <w:ind w:left="6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42,850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244,913</w:t>
            </w:r>
          </w:p>
        </w:tc>
        <w:tc>
          <w:tcPr>
            <w:tcW w:w="120" w:type="dxa"/>
            <w:vAlign w:val="bottom"/>
          </w:tcPr>
          <w:p>
            <w:pPr>
              <w:spacing w:after="0"/>
              <w:rPr>
                <w:sz w:val="18"/>
                <w:szCs w:val="18"/>
                <w:color w:val="auto"/>
              </w:rPr>
            </w:pPr>
          </w:p>
        </w:tc>
      </w:tr>
      <w:tr>
        <w:trPr>
          <w:trHeight w:val="216"/>
        </w:trPr>
        <w:tc>
          <w:tcPr>
            <w:tcW w:w="51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David J. Gunter</w:t>
            </w:r>
          </w:p>
        </w:tc>
        <w:tc>
          <w:tcPr>
            <w:tcW w:w="1300" w:type="dxa"/>
            <w:vAlign w:val="bottom"/>
            <w:shd w:val="clear" w:color="auto" w:fill="EAF9E8"/>
          </w:tcPr>
          <w:p>
            <w:pPr>
              <w:ind w:left="6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1,154</w:t>
            </w:r>
          </w:p>
        </w:tc>
        <w:tc>
          <w:tcPr>
            <w:tcW w:w="4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7,126</w:t>
            </w:r>
          </w:p>
        </w:tc>
        <w:tc>
          <w:tcPr>
            <w:tcW w:w="120" w:type="dxa"/>
            <w:vAlign w:val="bottom"/>
            <w:shd w:val="clear" w:color="auto" w:fill="EAF9E8"/>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Paul A. Koches</w:t>
            </w:r>
          </w:p>
        </w:tc>
        <w:tc>
          <w:tcPr>
            <w:tcW w:w="1300" w:type="dxa"/>
            <w:vAlign w:val="bottom"/>
          </w:tcPr>
          <w:p>
            <w:pPr>
              <w:ind w:left="6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51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William B. Shepro</w:t>
            </w:r>
          </w:p>
        </w:tc>
        <w:tc>
          <w:tcPr>
            <w:tcW w:w="1300" w:type="dxa"/>
            <w:vAlign w:val="bottom"/>
            <w:shd w:val="clear" w:color="auto" w:fill="EAF9E8"/>
          </w:tcPr>
          <w:p>
            <w:pPr>
              <w:ind w:left="6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21,497</w:t>
            </w:r>
          </w:p>
        </w:tc>
        <w:tc>
          <w:tcPr>
            <w:tcW w:w="4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122,843</w:t>
            </w:r>
          </w:p>
        </w:tc>
        <w:tc>
          <w:tcPr>
            <w:tcW w:w="120" w:type="dxa"/>
            <w:vAlign w:val="bottom"/>
            <w:shd w:val="clear" w:color="auto" w:fill="EAF9E8"/>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13 through 29 of this proxy statement with management.</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the review and discussion, the Compensation Committee recommends to the Board of Directors that the Compensation Discussion and Analysis be included in Ocwen’s annual report on Form 10-K for the year ended December 31, 2008 and in this proxy statement.</w:t>
      </w:r>
    </w:p>
    <w:p>
      <w:pPr>
        <w:spacing w:after="0" w:line="19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Compensation Committee:</w:t>
      </w:r>
    </w:p>
    <w:p>
      <w:pPr>
        <w:spacing w:after="0" w:line="21" w:lineRule="exact"/>
        <w:rPr>
          <w:sz w:val="20"/>
          <w:szCs w:val="20"/>
          <w:color w:val="auto"/>
        </w:rPr>
      </w:pPr>
    </w:p>
    <w:p>
      <w:pPr>
        <w:spacing w:after="0"/>
        <w:tabs>
          <w:tab w:leader="none" w:pos="7480" w:val="left"/>
        </w:tabs>
        <w:rPr>
          <w:sz w:val="20"/>
          <w:szCs w:val="20"/>
          <w:color w:val="auto"/>
        </w:rPr>
      </w:pPr>
      <w:r>
        <w:rPr>
          <w:rFonts w:ascii="Arial" w:cs="Arial" w:eastAsia="Arial" w:hAnsi="Arial"/>
          <w:sz w:val="18"/>
          <w:szCs w:val="18"/>
          <w:color w:val="auto"/>
        </w:rPr>
        <w:t>March 10, 2009</w:t>
      </w:r>
      <w:r>
        <w:rPr>
          <w:sz w:val="20"/>
          <w:szCs w:val="20"/>
          <w:color w:val="auto"/>
        </w:rPr>
        <w:tab/>
      </w:r>
      <w:r>
        <w:rPr>
          <w:rFonts w:ascii="Arial" w:cs="Arial" w:eastAsia="Arial" w:hAnsi="Arial"/>
          <w:sz w:val="16"/>
          <w:szCs w:val="16"/>
          <w:color w:val="auto"/>
        </w:rPr>
        <w:t>William H. Lacy, Chairman</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Ronald J. Korn, Director</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Barry N. Wish, Director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center"/>
        <w:ind w:right="40"/>
        <w:spacing w:after="0" w:line="270" w:lineRule="auto"/>
        <w:rPr>
          <w:sz w:val="20"/>
          <w:szCs w:val="20"/>
          <w:color w:val="auto"/>
        </w:rPr>
      </w:pPr>
      <w:r>
        <w:rPr>
          <w:rFonts w:ascii="Arial" w:cs="Arial" w:eastAsia="Arial" w:hAnsi="Arial"/>
          <w:sz w:val="18"/>
          <w:szCs w:val="18"/>
          <w:b w:val="1"/>
          <w:bCs w:val="1"/>
          <w:color w:val="auto"/>
        </w:rPr>
        <w:t xml:space="preserve">RATIFICATION OF APPOINTMENT OF INDEPENDENT REGISTERED CERTIFIED PUBLIC ACCOUNTING FIRM </w:t>
      </w:r>
      <w:r>
        <w:rPr>
          <w:rFonts w:ascii="Arial" w:cs="Arial" w:eastAsia="Arial" w:hAnsi="Arial"/>
          <w:sz w:val="18"/>
          <w:szCs w:val="18"/>
          <w:color w:val="auto"/>
        </w:rPr>
        <w:t>(Proposal Two)</w:t>
      </w:r>
    </w:p>
    <w:p>
      <w:pPr>
        <w:spacing w:after="0" w:line="200" w:lineRule="exact"/>
        <w:rPr>
          <w:sz w:val="20"/>
          <w:szCs w:val="20"/>
          <w:color w:val="auto"/>
        </w:rPr>
      </w:pP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Audit Committee of our Board of Directors has appointed PricewaterhouseCoopers LLP, independent registered certified public accountants, to be our independent registered certified public accounting firm for the year ending December 31, 2009 and has further directed that such appointment be submitted for ratification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PricewaterhouseCoopers LLP, the Audit Committee may, in its sole discretion, reevaluate the engagement of the independent auditors.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Representatives of PricewaterhouseCoopers LLP will be present at the Annual Meeting, will be given the opportunity to make a statement, if they so desire, and will be available to respond to appropriate questions from you.</w:t>
      </w:r>
    </w:p>
    <w:p>
      <w:pPr>
        <w:spacing w:after="0" w:line="180" w:lineRule="exact"/>
        <w:rPr>
          <w:sz w:val="20"/>
          <w:szCs w:val="20"/>
          <w:color w:val="auto"/>
        </w:rPr>
      </w:pPr>
    </w:p>
    <w:p>
      <w:pPr>
        <w:jc w:val="center"/>
        <w:spacing w:after="0" w:line="339" w:lineRule="auto"/>
        <w:rPr>
          <w:sz w:val="20"/>
          <w:szCs w:val="20"/>
          <w:color w:val="auto"/>
        </w:rPr>
      </w:pPr>
      <w:r>
        <w:rPr>
          <w:rFonts w:ascii="Arial" w:cs="Arial" w:eastAsia="Arial" w:hAnsi="Arial"/>
          <w:sz w:val="16"/>
          <w:szCs w:val="16"/>
          <w:b w:val="1"/>
          <w:bCs w:val="1"/>
          <w:color w:val="auto"/>
        </w:rPr>
        <w:t>OUR BOARD OF DIRECTORS UNANIMOUSLY RECOMMENDS THAT YOU VOTE “FOR” THE APPOINTMENT OF PRICEWATERHOUSECOOPERS LLP AS THE INDEPENDENT REGISTERED CERTIFIED PUBLIC ACCOUNTING FIRM FOR 2009.</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39" w:lineRule="exact"/>
        <w:rPr>
          <w:sz w:val="20"/>
          <w:szCs w:val="20"/>
          <w:color w:val="auto"/>
        </w:rPr>
      </w:pPr>
    </w:p>
    <w:p>
      <w:pPr>
        <w:ind w:left="1160" w:hanging="571"/>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Reviewed and discussed with management Ocwen’s audited financial statements as of and for the year ended December 31, 2008;</w:t>
      </w:r>
    </w:p>
    <w:p>
      <w:pPr>
        <w:spacing w:after="0" w:line="180" w:lineRule="exact"/>
        <w:rPr>
          <w:rFonts w:ascii="Arial" w:cs="Arial" w:eastAsia="Arial" w:hAnsi="Arial"/>
          <w:sz w:val="16"/>
          <w:szCs w:val="16"/>
          <w:color w:val="auto"/>
        </w:rPr>
      </w:pPr>
    </w:p>
    <w:p>
      <w:pPr>
        <w:ind w:left="1160" w:hanging="571"/>
        <w:spacing w:after="0" w:line="268"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Discussed with PricewaterhouseCoopers LLP, Ocwen’s independent registered certified public accounting firm, the matters required to be discussed by Statement on Auditing Standards No. 61, “Communication with Audit Committees;” and</w:t>
      </w:r>
    </w:p>
    <w:p>
      <w:pPr>
        <w:spacing w:after="0" w:line="118"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PricewaterhouseCoopers LLP their independence.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reliance on the review and discussion referred to above, the Committee recommends to the Board of Directors that the audited financial statements be included in Ocwen’s annual report on Form 10-K for the year ended December 31, 2008.</w:t>
      </w:r>
    </w:p>
    <w:p>
      <w:pPr>
        <w:spacing w:after="0" w:line="193"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spacing w:after="0"/>
        <w:tabs>
          <w:tab w:leader="none" w:pos="7360" w:val="left"/>
        </w:tabs>
        <w:rPr>
          <w:sz w:val="20"/>
          <w:szCs w:val="20"/>
          <w:color w:val="auto"/>
        </w:rPr>
      </w:pPr>
      <w:r>
        <w:rPr>
          <w:rFonts w:ascii="Arial" w:cs="Arial" w:eastAsia="Arial" w:hAnsi="Arial"/>
          <w:sz w:val="18"/>
          <w:szCs w:val="18"/>
          <w:color w:val="auto"/>
        </w:rPr>
        <w:t>March 10, 2009</w:t>
      </w:r>
      <w:r>
        <w:rPr>
          <w:sz w:val="20"/>
          <w:szCs w:val="20"/>
          <w:color w:val="auto"/>
        </w:rPr>
        <w:tab/>
      </w:r>
      <w:r>
        <w:rPr>
          <w:rFonts w:ascii="Arial" w:cs="Arial" w:eastAsia="Arial" w:hAnsi="Arial"/>
          <w:sz w:val="16"/>
          <w:szCs w:val="16"/>
          <w:color w:val="auto"/>
        </w:rPr>
        <w:t>Ronald J. Korn, Chairman</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Martha C. Goss, Director</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Barry N. Wish, Director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PricewaterhouseCoopers LLP Fees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to Ocwen for professional services by PricewaterhouseCoopers LLP for fiscal years 2008 and 2007:</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592"/>
              <w:spacing w:after="0"/>
              <w:rPr>
                <w:sz w:val="20"/>
                <w:szCs w:val="20"/>
                <w:color w:val="auto"/>
              </w:rPr>
            </w:pPr>
            <w:r>
              <w:rPr>
                <w:rFonts w:ascii="Arial" w:cs="Arial" w:eastAsia="Arial" w:hAnsi="Arial"/>
                <w:sz w:val="18"/>
                <w:szCs w:val="18"/>
                <w:b w:val="1"/>
                <w:bCs w:val="1"/>
                <w:color w:val="auto"/>
              </w:rPr>
              <w:t>2008</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592"/>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r>
      <w:tr>
        <w:trPr>
          <w:trHeight w:val="245"/>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64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Audit Fees</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2,489,528</w:t>
            </w:r>
          </w:p>
        </w:tc>
        <w:tc>
          <w:tcPr>
            <w:tcW w:w="860" w:type="dxa"/>
            <w:vAlign w:val="bottom"/>
            <w:shd w:val="clear" w:color="auto" w:fill="EAF9E8"/>
          </w:tcPr>
          <w:p>
            <w:pPr>
              <w:spacing w:after="0"/>
              <w:rPr>
                <w:sz w:val="18"/>
                <w:szCs w:val="18"/>
                <w:color w:val="auto"/>
              </w:rPr>
            </w:pPr>
          </w:p>
        </w:tc>
        <w:tc>
          <w:tcPr>
            <w:tcW w:w="40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2,124,960</w:t>
            </w:r>
          </w:p>
        </w:tc>
        <w:tc>
          <w:tcPr>
            <w:tcW w:w="100" w:type="dxa"/>
            <w:vAlign w:val="bottom"/>
            <w:shd w:val="clear" w:color="auto" w:fill="EAF9E8"/>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48,500</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142,186</w:t>
            </w:r>
          </w:p>
        </w:tc>
      </w:tr>
      <w:tr>
        <w:trPr>
          <w:trHeight w:val="216"/>
        </w:trPr>
        <w:tc>
          <w:tcPr>
            <w:tcW w:w="64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Tax Fees</w:t>
            </w:r>
          </w:p>
        </w:tc>
        <w:tc>
          <w:tcPr>
            <w:tcW w:w="38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174,400</w:t>
            </w:r>
          </w:p>
        </w:tc>
        <w:tc>
          <w:tcPr>
            <w:tcW w:w="86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123,600</w:t>
            </w:r>
          </w:p>
        </w:tc>
      </w:tr>
      <w:tr>
        <w:trPr>
          <w:trHeight w:val="228"/>
        </w:trPr>
        <w:tc>
          <w:tcPr>
            <w:tcW w:w="640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8,130</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8,130</w:t>
            </w:r>
          </w:p>
        </w:tc>
      </w:tr>
      <w:tr>
        <w:trPr>
          <w:trHeight w:val="231"/>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spacing w:after="0"/>
              <w:rPr>
                <w:sz w:val="20"/>
                <w:szCs w:val="20"/>
                <w:color w:val="auto"/>
              </w:rPr>
            </w:pPr>
          </w:p>
        </w:tc>
      </w:tr>
      <w:tr>
        <w:trPr>
          <w:trHeight w:val="210"/>
        </w:trPr>
        <w:tc>
          <w:tcPr>
            <w:tcW w:w="640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tcBorders>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2,720,558</w:t>
            </w:r>
          </w:p>
        </w:tc>
        <w:tc>
          <w:tcPr>
            <w:tcW w:w="86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2,398,876</w:t>
            </w:r>
          </w:p>
        </w:tc>
        <w:tc>
          <w:tcPr>
            <w:tcW w:w="100" w:type="dxa"/>
            <w:vAlign w:val="bottom"/>
            <w:shd w:val="clear" w:color="auto" w:fill="EAF9E8"/>
          </w:tcPr>
          <w:p>
            <w:pPr>
              <w:spacing w:after="0"/>
              <w:rPr>
                <w:sz w:val="18"/>
                <w:szCs w:val="18"/>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Audit Fees. </w:t>
      </w:r>
      <w:r>
        <w:rPr>
          <w:rFonts w:ascii="Arial" w:cs="Arial" w:eastAsia="Arial" w:hAnsi="Arial"/>
          <w:sz w:val="16"/>
          <w:szCs w:val="16"/>
          <w:color w:val="auto"/>
        </w:rPr>
        <w:t>This category includes the aggregate fees billed for professional services rendered for the audits of Ocwen’s consolidated financial statements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years 2008 and 2007, for the reviews of the financial statements included in Ocwen’s quarterly reports on Form 10-Q during fiscal years 2008 and 2007 and for services that are normally provided by the independent registered certified public accounting firm in connection with statutory and regulatory filings or engagements for the relevant fiscal years. In addition, approximately $295,000 of the 2008 Audit Fees represents billings-to-date related to financial statement and Form 10 review in connection with the potential spin-off of the Ocwen Solutions business.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This category includes the aggregate fees billed in each of the last two fiscal years for assurance and related services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fiscal years for professional services rendered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public accounting firm for tax compliance, tax planning and tax advice. Of these amounts, $72,900 and $111,200 were related to tax compliance services for 2008 and 2007,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fees billed in each of the last two fiscal years for products and services provided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certified public accounting firm that are not reported above under “Audit Fees,” “Audit-Related Fees” or “Tax Fees.”</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Audit Committee considered the compatibility of the non-audit-related services provided by and fees paid to PricewaterhouseCoopers LLP in 2008 and the proposed services for 2009 and determined that such services and fees are compatible with the independence of PricewaterhouseCoopers LLP.</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Audit Committee is required to pre-approve the audit and non-audit services performed by the independent registered certified public accounting firm in order to assure that the provision of such services does not impair the auditor’s independence. Unless a type of service to be provided by the independent auditor has received general pre-approval, it will require specific pre-approval by the Audit Committee. In 2008, less than 1% of the fees associated with the independent registered public accounting firm services were not pre-approved by the Audit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Adopted January 20, 2009</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Board has adopted a policy and procedure for review, approval and monitoring of transactions involving Ocwen and related persons (directors and executive officers or their immediate family members, or shareholders owning five percent or greater of the company’s outstanding stock) within our written Code of Business Conduct and Ethics which is available at www.ocwen.com. This policy and procedure is not limited to related person transactions that meet the threshold for disclosure under the relevant Securities and Exchange Commission, as it broadly covers any situation in which a conflict of interest may arise.</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situation that potentially qualifies as a conflict of interest is to be immediately disclosed to the Compliance Officer and/or the General Counsel to assess the nature and extent of any concern, as well as the appropriate next steps. The Compliance Officer and/or the General Counsel will notify the Chairman of the Board if any such situation requires approval of the Board.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Ocwen; (ii) alternatives to the related person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Ocwen. The Committee will periodically monitor any approved transactions to ensure that there are no changed circumstances that would render it advisable for the Company to amend or terminate the transaction.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proposal which a shareholder desires to have included in our proxy materials relating to our next Annual Meeting of Shareholders, which is scheduled to be held on May 13, 2010, must be received at our executive offices no later than December 1, 2009. All shareholder proposals for the 2010 Annual Meeting should be directed to our Secretary at Ocwen Financial Corporation, 1661 Worthington Road, Suite 100, West Palm Beach, Florida 33409. We recommend that you send any shareholder proposal by certified mail, return-receipt requested.</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any proposal that is not submitted for inclusion in the 2010 proxy statement, but is instead sought to be presented directly at the 2010 Annual Meeting, Securities and Exchange Commission rules permit management to vote proxies in its discretion if we:</w:t>
      </w:r>
    </w:p>
    <w:p>
      <w:pPr>
        <w:spacing w:after="0" w:line="199" w:lineRule="exact"/>
        <w:rPr>
          <w:sz w:val="20"/>
          <w:szCs w:val="20"/>
          <w:color w:val="auto"/>
        </w:rPr>
      </w:pPr>
    </w:p>
    <w:p>
      <w:pPr>
        <w:ind w:left="580" w:hanging="572"/>
        <w:spacing w:after="0" w:line="254"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receive notice of the proposal before the close of business on February 13, 2010 and advise shareholders in the 2010 proxy statement about the nature of the matter and how management intends to vote on such matter; or</w:t>
      </w: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 not receive notice of the proposal prior to the close of business on February 13, 2010.</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Notice of intent to present a proposal at the 2010 Annual Meeting should be directed to our Secretary at Ocwen Financial Corporation, 1661 Worthington Road, Suite 100, West Palm Beach, Florida 33409.</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did not receive notice of any shareholder proposals relating to the 2009 Annual Meeting. At the 2009 Annual Meeting, our management may exercise discretionary authority when voting on any properly presented shareholder proposal that is not included as an agenda item in this proxy statement.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ANNUAL REPORTS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copy of our annual report to shareholders on Form 10-K for the year ended December 31, 2008 was mailed to shareholders of record as of February 27, 2009 on or about March 31, 2009. The annual report is not part of the proxy solicitation materials and can be found on our website www.ocwen.com under Shareholder Relations.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will furnish without charge to each person whose proxy is solicited and to each person who represents that as of the record date for the meeting he or she was a beneficial owner of shares entitled to vote at the meeting, on written request, a copy of our annual report on Form 10-K for the year ended December 31, 2008, required to be filed by us with the Securities and Exchange Commission under the Securities Exchange Act of 1934, as amended. Such requests should be directed to Shareholder Relations, Ocwen Financial Corporation, 1661 Worthington Road, Suite 100, West Palm Beach, Florida 33409.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2008 and this proxy statement will be supplied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shares represented by all valid proxies received by phone, by Internet or by mail will be voted in the manner specified. Where specific choices are not indicated, the shares represented by all valid proxies received will be voted: (1) for the nominees for director named earlier in this proxy statement and (2) for the ratification of the selection of the independent auditor. Should any matter not described above be properly presented at the meeting, the persons named in the proxy form will vote in accordance with their judgment.</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or other nominee may only deliver one copy of this proxy statement and our 2008 annual report to multiple shareholders who share an address unless that nominee has received contrary instructions from one or more of the shareholders. Shareholders at an address to which a single copy of this proxy statement and our 2008 annual report was sent may request a separate copy by contacting Shareholder Relations, Ocwen Financial Corporation, 1661 Worthington Road, Suite 100, West Palm Beach, Florida 33409. Beneficial owners sharing an address who are receiving multiple copies and who wish to receive a single copy of materials in the future will need to contact their broker, bank or other nominee to request that only a single copy of each document be mailed to all shareowners at the shared address.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proxy statement and our 2008 annual report may be viewed online at www.ocwen.com under Shareholder Relations. If you are a shareholder of record, you can elect to access future annual reports and proxy statements electronically by following the instructions provided if you vote by Internet or by telephone.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line="149" w:lineRule="exact"/>
        <w:rPr>
          <w:sz w:val="20"/>
          <w:szCs w:val="20"/>
          <w:color w:val="auto"/>
        </w:rPr>
      </w:pPr>
    </w:p>
    <w:p>
      <w:pPr>
        <w:ind w:right="1480"/>
        <w:spacing w:after="0" w:line="228" w:lineRule="auto"/>
        <w:rPr>
          <w:sz w:val="20"/>
          <w:szCs w:val="20"/>
          <w:color w:val="auto"/>
        </w:rPr>
      </w:pPr>
      <w:r>
        <w:rPr>
          <w:rFonts w:ascii="Arial" w:cs="Arial" w:eastAsia="Arial" w:hAnsi="Arial"/>
          <w:sz w:val="14"/>
          <w:szCs w:val="14"/>
          <w:b w:val="1"/>
          <w:bCs w:val="1"/>
          <w:color w:val="auto"/>
        </w:rPr>
        <w:t>OCWEN FINANCIAL CORPORATION 1661 WORTHINGTON ROAD SUITE 100</w:t>
      </w:r>
    </w:p>
    <w:p>
      <w:pPr>
        <w:spacing w:after="0"/>
        <w:rPr>
          <w:sz w:val="20"/>
          <w:szCs w:val="20"/>
          <w:color w:val="auto"/>
        </w:rPr>
      </w:pPr>
      <w:r>
        <w:rPr>
          <w:rFonts w:ascii="Arial" w:cs="Arial" w:eastAsia="Arial" w:hAnsi="Arial"/>
          <w:sz w:val="14"/>
          <w:szCs w:val="14"/>
          <w:b w:val="1"/>
          <w:bCs w:val="1"/>
          <w:color w:val="auto"/>
        </w:rPr>
        <w:t>WEST PALM BEACH, FL 33409</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AUTO DATA PROCESSING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COMM SERVICES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51 MERCEDES WAY</w:t>
      </w:r>
    </w:p>
    <w:p>
      <w:pPr>
        <w:spacing w:after="0" w:line="223" w:lineRule="auto"/>
        <w:rPr>
          <w:sz w:val="20"/>
          <w:szCs w:val="20"/>
          <w:color w:val="auto"/>
        </w:rPr>
      </w:pPr>
      <w:r>
        <w:rPr>
          <w:rFonts w:ascii="Arial" w:cs="Arial" w:eastAsia="Arial" w:hAnsi="Arial"/>
          <w:sz w:val="14"/>
          <w:szCs w:val="14"/>
          <w:b w:val="1"/>
          <w:bCs w:val="1"/>
          <w:color w:val="auto"/>
        </w:rPr>
        <w:t>EDGEWOOD, NY</w:t>
      </w:r>
    </w:p>
    <w:p>
      <w:pPr>
        <w:spacing w:after="0"/>
        <w:rPr>
          <w:sz w:val="20"/>
          <w:szCs w:val="20"/>
          <w:color w:val="auto"/>
        </w:rPr>
      </w:pPr>
      <w:r>
        <w:rPr>
          <w:rFonts w:ascii="Arial" w:cs="Arial" w:eastAsia="Arial" w:hAnsi="Arial"/>
          <w:sz w:val="14"/>
          <w:szCs w:val="14"/>
          <w:b w:val="1"/>
          <w:bCs w:val="1"/>
          <w:color w:val="auto"/>
        </w:rPr>
        <w:t>11717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2"/>
          <w:szCs w:val="12"/>
          <w:color w:val="auto"/>
        </w:rPr>
        <w:t>Use the lnternet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SHAREHOLDER COMMUNICATIONS</w:t>
      </w:r>
    </w:p>
    <w:p>
      <w:pPr>
        <w:spacing w:after="0" w:line="17" w:lineRule="exact"/>
        <w:rPr>
          <w:sz w:val="20"/>
          <w:szCs w:val="20"/>
          <w:color w:val="auto"/>
        </w:rPr>
      </w:pPr>
    </w:p>
    <w:p>
      <w:pPr>
        <w:jc w:val="both"/>
        <w:ind w:right="20"/>
        <w:spacing w:after="0" w:line="278" w:lineRule="auto"/>
        <w:rPr>
          <w:sz w:val="20"/>
          <w:szCs w:val="20"/>
          <w:color w:val="auto"/>
        </w:rPr>
      </w:pPr>
      <w:r>
        <w:rPr>
          <w:rFonts w:ascii="Arial" w:cs="Arial" w:eastAsia="Arial" w:hAnsi="Arial"/>
          <w:sz w:val="12"/>
          <w:szCs w:val="12"/>
          <w:color w:val="auto"/>
        </w:rPr>
        <w:t>If you would like to reduce the costs incurred by Ocwen Financial Corporation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jc w:val="both"/>
        <w:ind w:right="40"/>
        <w:spacing w:after="0" w:line="297"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Ocwen Financial Corporation, c/o Broadridge, 51 Mercedes Way, Edgewood, NY 11717.</w:t>
      </w:r>
    </w:p>
    <w:p>
      <w:pPr>
        <w:spacing w:after="0" w:line="200" w:lineRule="exact"/>
        <w:rPr>
          <w:sz w:val="20"/>
          <w:szCs w:val="20"/>
          <w:color w:val="auto"/>
        </w:rPr>
      </w:pPr>
    </w:p>
    <w:p>
      <w:pPr>
        <w:sectPr>
          <w:pgSz w:w="11900" w:h="16838" w:orient="portrait"/>
          <w:cols w:equalWidth="0" w:num="2">
            <w:col w:w="3860" w:space="720"/>
            <w:col w:w="6860"/>
          </w:cols>
          <w:pgMar w:left="240" w:top="140" w:right="21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TO VOTE, MARK BLOCKS BELOW IN BLUE OR BLACK INK AS FOLLOWS</w:t>
            </w:r>
          </w:p>
        </w:tc>
        <w:tc>
          <w:tcPr>
            <w:tcW w:w="1180" w:type="dxa"/>
            <w:vAlign w:val="bottom"/>
          </w:tcPr>
          <w:p>
            <w:pPr>
              <w:ind w:left="680"/>
              <w:spacing w:after="0"/>
              <w:rPr>
                <w:sz w:val="20"/>
                <w:szCs w:val="20"/>
                <w:color w:val="auto"/>
              </w:rPr>
            </w:pPr>
            <w:r>
              <w:rPr>
                <w:rFonts w:ascii="Arial" w:cs="Arial" w:eastAsia="Arial" w:hAnsi="Arial"/>
                <w:sz w:val="14"/>
                <w:szCs w:val="14"/>
                <w:b w:val="1"/>
                <w:bCs w:val="1"/>
                <w:color w:val="auto"/>
              </w:rPr>
              <w:t>x</w:t>
            </w:r>
          </w:p>
        </w:tc>
        <w:tc>
          <w:tcPr>
            <w:tcW w:w="1020" w:type="dxa"/>
            <w:vAlign w:val="bottom"/>
          </w:tcPr>
          <w:p>
            <w:pPr>
              <w:ind w:left="100"/>
              <w:spacing w:after="0"/>
              <w:rPr>
                <w:sz w:val="20"/>
                <w:szCs w:val="20"/>
                <w:color w:val="auto"/>
              </w:rPr>
            </w:pPr>
            <w:r>
              <w:rPr>
                <w:rFonts w:ascii="Arial" w:cs="Arial" w:eastAsia="Arial" w:hAnsi="Arial"/>
                <w:sz w:val="14"/>
                <w:szCs w:val="14"/>
                <w:b w:val="1"/>
                <w:bCs w:val="1"/>
                <w:color w:val="auto"/>
              </w:rPr>
              <w:t>OCWEN</w:t>
            </w:r>
          </w:p>
        </w:tc>
        <w:tc>
          <w:tcPr>
            <w:tcW w:w="3720" w:type="dxa"/>
            <w:vAlign w:val="bottom"/>
            <w:gridSpan w:val="3"/>
          </w:tcPr>
          <w:p>
            <w:pPr>
              <w:ind w:left="80"/>
              <w:spacing w:after="0"/>
              <w:rPr>
                <w:sz w:val="20"/>
                <w:szCs w:val="20"/>
                <w:color w:val="auto"/>
              </w:rPr>
            </w:pPr>
            <w:r>
              <w:rPr>
                <w:rFonts w:ascii="Arial" w:cs="Arial" w:eastAsia="Arial" w:hAnsi="Arial"/>
                <w:sz w:val="14"/>
                <w:szCs w:val="14"/>
                <w:b w:val="1"/>
                <w:bCs w:val="1"/>
                <w:color w:val="auto"/>
              </w:rPr>
              <w:t>KEEP THIS PORTION FOR YOUR RECORDS</w:t>
            </w:r>
          </w:p>
        </w:tc>
        <w:tc>
          <w:tcPr>
            <w:tcW w:w="0" w:type="dxa"/>
            <w:vAlign w:val="bottom"/>
          </w:tcPr>
          <w:p>
            <w:pPr>
              <w:spacing w:after="0"/>
              <w:rPr>
                <w:sz w:val="1"/>
                <w:szCs w:val="1"/>
                <w:color w:val="auto"/>
              </w:rPr>
            </w:pPr>
          </w:p>
        </w:tc>
      </w:tr>
      <w:tr>
        <w:trPr>
          <w:trHeight w:val="204"/>
        </w:trPr>
        <w:tc>
          <w:tcPr>
            <w:tcW w:w="5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6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96"/>
              </w:rPr>
              <w:t>DETACH AND RETURN THlS PORTION ONLY</w:t>
            </w:r>
          </w:p>
        </w:tc>
        <w:tc>
          <w:tcPr>
            <w:tcW w:w="10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5720" w:type="dxa"/>
            <w:vAlign w:val="bottom"/>
            <w:tcBorders>
              <w:bottom w:val="single" w:sz="8" w:color="auto"/>
            </w:tcBorders>
            <w:gridSpan w:val="5"/>
          </w:tcPr>
          <w:p>
            <w:pPr>
              <w:jc w:val="center"/>
              <w:ind w:right="172"/>
              <w:spacing w:after="0" w:line="158" w:lineRule="exact"/>
              <w:rPr>
                <w:sz w:val="20"/>
                <w:szCs w:val="20"/>
                <w:color w:val="auto"/>
              </w:rPr>
            </w:pPr>
            <w:r>
              <w:rPr>
                <w:rFonts w:ascii="Arial" w:cs="Arial" w:eastAsia="Arial" w:hAnsi="Arial"/>
                <w:sz w:val="14"/>
                <w:szCs w:val="14"/>
                <w:b w:val="1"/>
                <w:bCs w:val="1"/>
                <w:color w:val="auto"/>
                <w:w w:val="96"/>
              </w:rPr>
              <w:t>THIS PROXY CARD IS VALID ONLY WHEN SIGNED AND DATED.</w:t>
            </w:r>
          </w:p>
        </w:tc>
        <w:tc>
          <w:tcPr>
            <w:tcW w:w="2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8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OCWEN FINANCIAL CORPORATION</w:t>
            </w: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THE DIRECTORS RECOMMEND A VOTE “FOR” ITEMS 1 AND 2</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80" w:type="dxa"/>
            <w:vAlign w:val="bottom"/>
            <w:gridSpan w:val="2"/>
          </w:tcPr>
          <w:p>
            <w:pPr>
              <w:ind w:left="20"/>
              <w:spacing w:after="0"/>
              <w:rPr>
                <w:sz w:val="20"/>
                <w:szCs w:val="20"/>
                <w:color w:val="auto"/>
              </w:rPr>
            </w:pPr>
            <w:r>
              <w:rPr>
                <w:rFonts w:ascii="Arial" w:cs="Arial" w:eastAsia="Arial" w:hAnsi="Arial"/>
                <w:sz w:val="14"/>
                <w:szCs w:val="14"/>
                <w:b w:val="1"/>
                <w:bCs w:val="1"/>
                <w:color w:val="auto"/>
              </w:rPr>
              <w:t>Vote on Directors</w:t>
            </w:r>
          </w:p>
        </w:tc>
        <w:tc>
          <w:tcPr>
            <w:tcW w:w="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500" w:type="dxa"/>
            <w:vAlign w:val="bottom"/>
            <w:gridSpan w:val="4"/>
          </w:tcPr>
          <w:p>
            <w:pPr>
              <w:ind w:left="20"/>
              <w:spacing w:after="0"/>
              <w:rPr>
                <w:sz w:val="20"/>
                <w:szCs w:val="20"/>
                <w:color w:val="auto"/>
              </w:rPr>
            </w:pPr>
            <w:r>
              <w:rPr>
                <w:rFonts w:ascii="Arial" w:cs="Arial" w:eastAsia="Arial" w:hAnsi="Arial"/>
                <w:sz w:val="14"/>
                <w:szCs w:val="14"/>
                <w:color w:val="auto"/>
              </w:rPr>
              <w:t>1.  To elect as Directors of Ocwen Financial Corporation the nominees listed below</w:t>
            </w:r>
          </w:p>
        </w:tc>
        <w:tc>
          <w:tcPr>
            <w:tcW w:w="1180" w:type="dxa"/>
            <w:vAlign w:val="bottom"/>
          </w:tcPr>
          <w:p>
            <w:pPr>
              <w:jc w:val="center"/>
              <w:ind w:left="752"/>
              <w:spacing w:after="0"/>
              <w:rPr>
                <w:sz w:val="20"/>
                <w:szCs w:val="20"/>
                <w:color w:val="auto"/>
              </w:rPr>
            </w:pPr>
            <w:r>
              <w:rPr>
                <w:rFonts w:ascii="Arial" w:cs="Arial" w:eastAsia="Arial" w:hAnsi="Arial"/>
                <w:sz w:val="14"/>
                <w:szCs w:val="14"/>
                <w:b w:val="1"/>
                <w:bCs w:val="1"/>
                <w:color w:val="auto"/>
                <w:w w:val="88"/>
              </w:rPr>
              <w:t>For</w:t>
            </w:r>
          </w:p>
        </w:tc>
        <w:tc>
          <w:tcPr>
            <w:tcW w:w="1020" w:type="dxa"/>
            <w:vAlign w:val="bottom"/>
          </w:tcPr>
          <w:p>
            <w:pPr>
              <w:jc w:val="center"/>
              <w:ind w:left="252"/>
              <w:spacing w:after="0"/>
              <w:rPr>
                <w:sz w:val="20"/>
                <w:szCs w:val="20"/>
                <w:color w:val="auto"/>
              </w:rPr>
            </w:pPr>
            <w:r>
              <w:rPr>
                <w:rFonts w:ascii="Arial" w:cs="Arial" w:eastAsia="Arial" w:hAnsi="Arial"/>
                <w:sz w:val="14"/>
                <w:szCs w:val="14"/>
                <w:b w:val="1"/>
                <w:bCs w:val="1"/>
                <w:color w:val="auto"/>
                <w:w w:val="90"/>
              </w:rPr>
              <w:t>Withhold</w:t>
            </w:r>
          </w:p>
        </w:tc>
        <w:tc>
          <w:tcPr>
            <w:tcW w:w="1000" w:type="dxa"/>
            <w:vAlign w:val="bottom"/>
          </w:tcPr>
          <w:p>
            <w:pPr>
              <w:ind w:left="240"/>
              <w:spacing w:after="0"/>
              <w:rPr>
                <w:sz w:val="20"/>
                <w:szCs w:val="20"/>
                <w:color w:val="auto"/>
              </w:rPr>
            </w:pPr>
            <w:r>
              <w:rPr>
                <w:rFonts w:ascii="Arial" w:cs="Arial" w:eastAsia="Arial" w:hAnsi="Arial"/>
                <w:sz w:val="14"/>
                <w:szCs w:val="14"/>
                <w:b w:val="1"/>
                <w:bCs w:val="1"/>
                <w:color w:val="auto"/>
              </w:rPr>
              <w:t>For All</w:t>
            </w:r>
          </w:p>
        </w:tc>
        <w:tc>
          <w:tcPr>
            <w:tcW w:w="2720" w:type="dxa"/>
            <w:vAlign w:val="bottom"/>
            <w:gridSpan w:val="2"/>
          </w:tcPr>
          <w:p>
            <w:pPr>
              <w:spacing w:after="0"/>
              <w:rPr>
                <w:sz w:val="20"/>
                <w:szCs w:val="20"/>
                <w:color w:val="auto"/>
              </w:rPr>
            </w:pPr>
            <w:r>
              <w:rPr>
                <w:rFonts w:ascii="Arial" w:cs="Arial" w:eastAsia="Arial" w:hAnsi="Arial"/>
                <w:sz w:val="14"/>
                <w:szCs w:val="14"/>
                <w:color w:val="auto"/>
              </w:rPr>
              <w:t>To  withhold  authority  to  vote  for  any</w:t>
            </w: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80" w:type="dxa"/>
            <w:vAlign w:val="bottom"/>
          </w:tcPr>
          <w:p>
            <w:pPr>
              <w:jc w:val="center"/>
              <w:ind w:left="752"/>
              <w:spacing w:after="0" w:line="151" w:lineRule="exact"/>
              <w:rPr>
                <w:sz w:val="20"/>
                <w:szCs w:val="20"/>
                <w:color w:val="auto"/>
              </w:rPr>
            </w:pPr>
            <w:r>
              <w:rPr>
                <w:rFonts w:ascii="Arial" w:cs="Arial" w:eastAsia="Arial" w:hAnsi="Arial"/>
                <w:sz w:val="14"/>
                <w:szCs w:val="14"/>
                <w:b w:val="1"/>
                <w:bCs w:val="1"/>
                <w:color w:val="auto"/>
                <w:w w:val="89"/>
              </w:rPr>
              <w:t>All</w:t>
            </w:r>
          </w:p>
        </w:tc>
        <w:tc>
          <w:tcPr>
            <w:tcW w:w="1020" w:type="dxa"/>
            <w:vAlign w:val="bottom"/>
          </w:tcPr>
          <w:p>
            <w:pPr>
              <w:jc w:val="center"/>
              <w:ind w:left="252"/>
              <w:spacing w:after="0" w:line="151" w:lineRule="exact"/>
              <w:rPr>
                <w:sz w:val="20"/>
                <w:szCs w:val="20"/>
                <w:color w:val="auto"/>
              </w:rPr>
            </w:pPr>
            <w:r>
              <w:rPr>
                <w:rFonts w:ascii="Arial" w:cs="Arial" w:eastAsia="Arial" w:hAnsi="Arial"/>
                <w:sz w:val="14"/>
                <w:szCs w:val="14"/>
                <w:b w:val="1"/>
                <w:bCs w:val="1"/>
                <w:color w:val="auto"/>
              </w:rPr>
              <w:t>All</w:t>
            </w:r>
          </w:p>
        </w:tc>
        <w:tc>
          <w:tcPr>
            <w:tcW w:w="1000" w:type="dxa"/>
            <w:vAlign w:val="bottom"/>
          </w:tcPr>
          <w:p>
            <w:pPr>
              <w:ind w:left="240"/>
              <w:spacing w:after="0" w:line="151" w:lineRule="exact"/>
              <w:rPr>
                <w:sz w:val="20"/>
                <w:szCs w:val="20"/>
                <w:color w:val="auto"/>
              </w:rPr>
            </w:pPr>
            <w:r>
              <w:rPr>
                <w:rFonts w:ascii="Arial" w:cs="Arial" w:eastAsia="Arial" w:hAnsi="Arial"/>
                <w:sz w:val="14"/>
                <w:szCs w:val="14"/>
                <w:b w:val="1"/>
                <w:bCs w:val="1"/>
                <w:color w:val="auto"/>
              </w:rPr>
              <w:t>Except</w:t>
            </w:r>
          </w:p>
        </w:tc>
        <w:tc>
          <w:tcPr>
            <w:tcW w:w="2720" w:type="dxa"/>
            <w:vAlign w:val="bottom"/>
            <w:gridSpan w:val="2"/>
          </w:tcPr>
          <w:p>
            <w:pPr>
              <w:spacing w:after="0" w:line="151" w:lineRule="exact"/>
              <w:rPr>
                <w:sz w:val="20"/>
                <w:szCs w:val="20"/>
                <w:color w:val="auto"/>
              </w:rPr>
            </w:pPr>
            <w:r>
              <w:rPr>
                <w:rFonts w:ascii="Arial" w:cs="Arial" w:eastAsia="Arial" w:hAnsi="Arial"/>
                <w:sz w:val="14"/>
                <w:szCs w:val="14"/>
                <w:color w:val="auto"/>
                <w:w w:val="99"/>
              </w:rPr>
              <w:t>individual nominee(s), mark “For All Except”</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w w:val="96"/>
              </w:rPr>
              <w:t>and write the number(s) of the nominee(s) on</w:t>
            </w:r>
          </w:p>
        </w:tc>
        <w:tc>
          <w:tcPr>
            <w:tcW w:w="0" w:type="dxa"/>
            <w:vAlign w:val="bottom"/>
          </w:tcPr>
          <w:p>
            <w:pPr>
              <w:spacing w:after="0"/>
              <w:rPr>
                <w:sz w:val="1"/>
                <w:szCs w:val="1"/>
                <w:color w:val="auto"/>
              </w:rPr>
            </w:pPr>
          </w:p>
        </w:tc>
      </w:tr>
      <w:tr>
        <w:trPr>
          <w:trHeight w:val="172"/>
        </w:trPr>
        <w:tc>
          <w:tcPr>
            <w:tcW w:w="520" w:type="dxa"/>
            <w:vAlign w:val="bottom"/>
            <w:vMerge w:val="restart"/>
          </w:tcPr>
          <w:p>
            <w:pPr>
              <w:ind w:left="260"/>
              <w:spacing w:after="0"/>
              <w:rPr>
                <w:sz w:val="20"/>
                <w:szCs w:val="20"/>
                <w:color w:val="auto"/>
              </w:rPr>
            </w:pPr>
            <w:r>
              <w:rPr>
                <w:rFonts w:ascii="Arial" w:cs="Arial" w:eastAsia="Arial" w:hAnsi="Arial"/>
                <w:sz w:val="14"/>
                <w:szCs w:val="14"/>
                <w:color w:val="auto"/>
              </w:rPr>
              <w:t>01)</w:t>
            </w:r>
          </w:p>
        </w:tc>
        <w:tc>
          <w:tcPr>
            <w:tcW w:w="2460" w:type="dxa"/>
            <w:vAlign w:val="bottom"/>
            <w:vMerge w:val="restart"/>
          </w:tcPr>
          <w:p>
            <w:pPr>
              <w:ind w:left="80"/>
              <w:spacing w:after="0"/>
              <w:rPr>
                <w:sz w:val="20"/>
                <w:szCs w:val="20"/>
                <w:color w:val="auto"/>
              </w:rPr>
            </w:pPr>
            <w:r>
              <w:rPr>
                <w:rFonts w:ascii="Arial" w:cs="Arial" w:eastAsia="Arial" w:hAnsi="Arial"/>
                <w:sz w:val="14"/>
                <w:szCs w:val="14"/>
                <w:color w:val="auto"/>
              </w:rPr>
              <w:t>William C. Erbey</w:t>
            </w:r>
          </w:p>
        </w:tc>
        <w:tc>
          <w:tcPr>
            <w:tcW w:w="860" w:type="dxa"/>
            <w:vAlign w:val="bottom"/>
            <w:vMerge w:val="restart"/>
          </w:tcPr>
          <w:p>
            <w:pPr>
              <w:jc w:val="right"/>
              <w:ind w:right="12"/>
              <w:spacing w:after="0"/>
              <w:rPr>
                <w:sz w:val="20"/>
                <w:szCs w:val="20"/>
                <w:color w:val="auto"/>
              </w:rPr>
            </w:pPr>
            <w:r>
              <w:rPr>
                <w:rFonts w:ascii="Arial" w:cs="Arial" w:eastAsia="Arial" w:hAnsi="Arial"/>
                <w:sz w:val="14"/>
                <w:szCs w:val="14"/>
                <w:color w:val="auto"/>
              </w:rPr>
              <w:t>05)</w:t>
            </w:r>
          </w:p>
        </w:tc>
        <w:tc>
          <w:tcPr>
            <w:tcW w:w="1660" w:type="dxa"/>
            <w:vAlign w:val="bottom"/>
            <w:vMerge w:val="restart"/>
          </w:tcPr>
          <w:p>
            <w:pPr>
              <w:ind w:left="80"/>
              <w:spacing w:after="0"/>
              <w:rPr>
                <w:sz w:val="20"/>
                <w:szCs w:val="20"/>
                <w:color w:val="auto"/>
              </w:rPr>
            </w:pPr>
            <w:r>
              <w:rPr>
                <w:rFonts w:ascii="Arial" w:cs="Arial" w:eastAsia="Arial" w:hAnsi="Arial"/>
                <w:sz w:val="14"/>
                <w:szCs w:val="14"/>
                <w:color w:val="auto"/>
              </w:rPr>
              <w:t>William H. Lacy</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color w:val="auto"/>
              </w:rPr>
              <w:t>the line below.</w:t>
            </w:r>
          </w:p>
        </w:tc>
        <w:tc>
          <w:tcPr>
            <w:tcW w:w="0" w:type="dxa"/>
            <w:vAlign w:val="bottom"/>
          </w:tcPr>
          <w:p>
            <w:pPr>
              <w:spacing w:after="0"/>
              <w:rPr>
                <w:sz w:val="1"/>
                <w:szCs w:val="1"/>
                <w:color w:val="auto"/>
              </w:rPr>
            </w:pPr>
          </w:p>
        </w:tc>
      </w:tr>
      <w:tr>
        <w:trPr>
          <w:trHeight w:val="125"/>
        </w:trPr>
        <w:tc>
          <w:tcPr>
            <w:tcW w:w="5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20" w:type="dxa"/>
            <w:vAlign w:val="bottom"/>
          </w:tcPr>
          <w:p>
            <w:pPr>
              <w:ind w:left="260"/>
              <w:spacing w:after="0" w:line="146" w:lineRule="exact"/>
              <w:rPr>
                <w:sz w:val="20"/>
                <w:szCs w:val="20"/>
                <w:color w:val="auto"/>
              </w:rPr>
            </w:pPr>
            <w:r>
              <w:rPr>
                <w:rFonts w:ascii="Arial" w:cs="Arial" w:eastAsia="Arial" w:hAnsi="Arial"/>
                <w:sz w:val="14"/>
                <w:szCs w:val="14"/>
                <w:color w:val="auto"/>
              </w:rPr>
              <w:t>02)</w:t>
            </w:r>
          </w:p>
        </w:tc>
        <w:tc>
          <w:tcPr>
            <w:tcW w:w="2460" w:type="dxa"/>
            <w:vAlign w:val="bottom"/>
          </w:tcPr>
          <w:p>
            <w:pPr>
              <w:ind w:left="80"/>
              <w:spacing w:after="0" w:line="146" w:lineRule="exact"/>
              <w:rPr>
                <w:sz w:val="20"/>
                <w:szCs w:val="20"/>
                <w:color w:val="auto"/>
              </w:rPr>
            </w:pPr>
            <w:r>
              <w:rPr>
                <w:rFonts w:ascii="Arial" w:cs="Arial" w:eastAsia="Arial" w:hAnsi="Arial"/>
                <w:sz w:val="14"/>
                <w:szCs w:val="14"/>
                <w:color w:val="auto"/>
              </w:rPr>
              <w:t>Ronald M. Faris</w:t>
            </w:r>
          </w:p>
        </w:tc>
        <w:tc>
          <w:tcPr>
            <w:tcW w:w="860" w:type="dxa"/>
            <w:vAlign w:val="bottom"/>
          </w:tcPr>
          <w:p>
            <w:pPr>
              <w:jc w:val="right"/>
              <w:ind w:right="12"/>
              <w:spacing w:after="0" w:line="146" w:lineRule="exact"/>
              <w:rPr>
                <w:sz w:val="20"/>
                <w:szCs w:val="20"/>
                <w:color w:val="auto"/>
              </w:rPr>
            </w:pPr>
            <w:r>
              <w:rPr>
                <w:rFonts w:ascii="Arial" w:cs="Arial" w:eastAsia="Arial" w:hAnsi="Arial"/>
                <w:sz w:val="14"/>
                <w:szCs w:val="14"/>
                <w:color w:val="auto"/>
              </w:rPr>
              <w:t>06)</w:t>
            </w:r>
          </w:p>
        </w:tc>
        <w:tc>
          <w:tcPr>
            <w:tcW w:w="1660" w:type="dxa"/>
            <w:vAlign w:val="bottom"/>
          </w:tcPr>
          <w:p>
            <w:pPr>
              <w:ind w:left="80"/>
              <w:spacing w:after="0" w:line="146" w:lineRule="exact"/>
              <w:rPr>
                <w:sz w:val="20"/>
                <w:szCs w:val="20"/>
                <w:color w:val="auto"/>
              </w:rPr>
            </w:pPr>
            <w:r>
              <w:rPr>
                <w:rFonts w:ascii="Arial" w:cs="Arial" w:eastAsia="Arial" w:hAnsi="Arial"/>
                <w:sz w:val="14"/>
                <w:szCs w:val="14"/>
                <w:color w:val="auto"/>
              </w:rPr>
              <w:t>David B. Reiner</w:t>
            </w:r>
          </w:p>
        </w:tc>
        <w:tc>
          <w:tcPr>
            <w:tcW w:w="1180" w:type="dxa"/>
            <w:vAlign w:val="bottom"/>
          </w:tcPr>
          <w:p>
            <w:pPr>
              <w:jc w:val="center"/>
              <w:ind w:left="752"/>
              <w:spacing w:after="0" w:line="146" w:lineRule="exact"/>
              <w:rPr>
                <w:sz w:val="20"/>
                <w:szCs w:val="20"/>
                <w:color w:val="auto"/>
              </w:rPr>
            </w:pPr>
            <w:r>
              <w:rPr>
                <w:rFonts w:ascii="Arial" w:cs="Arial" w:eastAsia="Arial" w:hAnsi="Arial"/>
                <w:sz w:val="14"/>
                <w:szCs w:val="14"/>
                <w:color w:val="auto"/>
              </w:rPr>
              <w:t>o</w:t>
            </w:r>
          </w:p>
        </w:tc>
        <w:tc>
          <w:tcPr>
            <w:tcW w:w="1020" w:type="dxa"/>
            <w:vAlign w:val="bottom"/>
          </w:tcPr>
          <w:p>
            <w:pPr>
              <w:jc w:val="center"/>
              <w:ind w:left="252"/>
              <w:spacing w:after="0" w:line="146" w:lineRule="exact"/>
              <w:rPr>
                <w:sz w:val="20"/>
                <w:szCs w:val="20"/>
                <w:color w:val="auto"/>
              </w:rPr>
            </w:pPr>
            <w:r>
              <w:rPr>
                <w:rFonts w:ascii="Arial" w:cs="Arial" w:eastAsia="Arial" w:hAnsi="Arial"/>
                <w:sz w:val="14"/>
                <w:szCs w:val="14"/>
                <w:color w:val="auto"/>
                <w:w w:val="76"/>
              </w:rPr>
              <w:t>o</w:t>
            </w:r>
          </w:p>
        </w:tc>
        <w:tc>
          <w:tcPr>
            <w:tcW w:w="1000" w:type="dxa"/>
            <w:vAlign w:val="bottom"/>
          </w:tcPr>
          <w:p>
            <w:pPr>
              <w:ind w:left="520"/>
              <w:spacing w:after="0" w:line="146" w:lineRule="exact"/>
              <w:rPr>
                <w:sz w:val="20"/>
                <w:szCs w:val="20"/>
                <w:color w:val="auto"/>
              </w:rPr>
            </w:pPr>
            <w:r>
              <w:rPr>
                <w:rFonts w:ascii="Arial" w:cs="Arial" w:eastAsia="Arial" w:hAnsi="Arial"/>
                <w:sz w:val="14"/>
                <w:szCs w:val="14"/>
                <w:color w:val="auto"/>
              </w:rPr>
              <w:t>o</w:t>
            </w:r>
          </w:p>
        </w:tc>
        <w:tc>
          <w:tcPr>
            <w:tcW w:w="2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20" w:type="dxa"/>
            <w:vAlign w:val="bottom"/>
          </w:tcPr>
          <w:p>
            <w:pPr>
              <w:ind w:left="260"/>
              <w:spacing w:after="0" w:line="143" w:lineRule="exact"/>
              <w:rPr>
                <w:sz w:val="20"/>
                <w:szCs w:val="20"/>
                <w:color w:val="auto"/>
              </w:rPr>
            </w:pPr>
            <w:r>
              <w:rPr>
                <w:rFonts w:ascii="Arial" w:cs="Arial" w:eastAsia="Arial" w:hAnsi="Arial"/>
                <w:sz w:val="14"/>
                <w:szCs w:val="14"/>
                <w:color w:val="auto"/>
              </w:rPr>
              <w:t>03)</w:t>
            </w:r>
          </w:p>
        </w:tc>
        <w:tc>
          <w:tcPr>
            <w:tcW w:w="2460" w:type="dxa"/>
            <w:vAlign w:val="bottom"/>
          </w:tcPr>
          <w:p>
            <w:pPr>
              <w:ind w:left="80"/>
              <w:spacing w:after="0" w:line="143" w:lineRule="exact"/>
              <w:rPr>
                <w:sz w:val="20"/>
                <w:szCs w:val="20"/>
                <w:color w:val="auto"/>
              </w:rPr>
            </w:pPr>
            <w:r>
              <w:rPr>
                <w:rFonts w:ascii="Arial" w:cs="Arial" w:eastAsia="Arial" w:hAnsi="Arial"/>
                <w:sz w:val="14"/>
                <w:szCs w:val="14"/>
                <w:color w:val="auto"/>
              </w:rPr>
              <w:t>Martha C. Goss</w:t>
            </w:r>
          </w:p>
        </w:tc>
        <w:tc>
          <w:tcPr>
            <w:tcW w:w="860" w:type="dxa"/>
            <w:vAlign w:val="bottom"/>
          </w:tcPr>
          <w:p>
            <w:pPr>
              <w:jc w:val="right"/>
              <w:ind w:right="12"/>
              <w:spacing w:after="0" w:line="143" w:lineRule="exact"/>
              <w:rPr>
                <w:sz w:val="20"/>
                <w:szCs w:val="20"/>
                <w:color w:val="auto"/>
              </w:rPr>
            </w:pPr>
            <w:r>
              <w:rPr>
                <w:rFonts w:ascii="Arial" w:cs="Arial" w:eastAsia="Arial" w:hAnsi="Arial"/>
                <w:sz w:val="14"/>
                <w:szCs w:val="14"/>
                <w:color w:val="auto"/>
              </w:rPr>
              <w:t>07)</w:t>
            </w:r>
          </w:p>
        </w:tc>
        <w:tc>
          <w:tcPr>
            <w:tcW w:w="1660" w:type="dxa"/>
            <w:vAlign w:val="bottom"/>
          </w:tcPr>
          <w:p>
            <w:pPr>
              <w:ind w:left="80"/>
              <w:spacing w:after="0" w:line="143" w:lineRule="exact"/>
              <w:rPr>
                <w:sz w:val="20"/>
                <w:szCs w:val="20"/>
                <w:color w:val="auto"/>
              </w:rPr>
            </w:pPr>
            <w:r>
              <w:rPr>
                <w:rFonts w:ascii="Arial" w:cs="Arial" w:eastAsia="Arial" w:hAnsi="Arial"/>
                <w:sz w:val="14"/>
                <w:szCs w:val="14"/>
                <w:color w:val="auto"/>
              </w:rPr>
              <w:t>Barry N. Wish</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-1057275</wp:posOffset>
            </wp:positionV>
            <wp:extent cx="7250430" cy="32372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237230"/>
                    </a:xfrm>
                    <a:prstGeom prst="rect">
                      <a:avLst/>
                    </a:prstGeom>
                    <a:noFill/>
                  </pic:spPr>
                </pic:pic>
              </a:graphicData>
            </a:graphic>
          </wp:anchor>
        </w:drawing>
      </w:r>
    </w:p>
    <w:p>
      <w:pPr>
        <w:ind w:left="600" w:hanging="349"/>
        <w:spacing w:after="0"/>
        <w:tabs>
          <w:tab w:leader="none" w:pos="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Ronald J. Korn</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8740" w:type="dxa"/>
            <w:vAlign w:val="bottom"/>
            <w:gridSpan w:val="2"/>
          </w:tcPr>
          <w:p>
            <w:pPr>
              <w:spacing w:after="0"/>
              <w:rPr>
                <w:sz w:val="20"/>
                <w:szCs w:val="20"/>
                <w:color w:val="auto"/>
              </w:rPr>
            </w:pPr>
            <w:r>
              <w:rPr>
                <w:rFonts w:ascii="Arial" w:cs="Arial" w:eastAsia="Arial" w:hAnsi="Arial"/>
                <w:sz w:val="14"/>
                <w:szCs w:val="14"/>
                <w:b w:val="1"/>
                <w:bCs w:val="1"/>
                <w:color w:val="auto"/>
              </w:rPr>
              <w:t>Vote on Proposals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680" w:type="dxa"/>
            <w:vAlign w:val="bottom"/>
          </w:tcPr>
          <w:p>
            <w:pPr>
              <w:jc w:val="center"/>
              <w:ind w:left="152"/>
              <w:spacing w:after="0"/>
              <w:rPr>
                <w:sz w:val="20"/>
                <w:szCs w:val="20"/>
                <w:color w:val="auto"/>
              </w:rPr>
            </w:pPr>
            <w:r>
              <w:rPr>
                <w:rFonts w:ascii="Arial" w:cs="Arial" w:eastAsia="Arial" w:hAnsi="Arial"/>
                <w:sz w:val="14"/>
                <w:szCs w:val="14"/>
                <w:b w:val="1"/>
                <w:bCs w:val="1"/>
                <w:color w:val="auto"/>
                <w:w w:val="89"/>
              </w:rPr>
              <w:t>Abstain</w:t>
            </w:r>
          </w:p>
        </w:tc>
      </w:tr>
      <w:tr>
        <w:trPr>
          <w:trHeight w:val="273"/>
        </w:trPr>
        <w:tc>
          <w:tcPr>
            <w:tcW w:w="160" w:type="dxa"/>
            <w:vAlign w:val="bottom"/>
          </w:tcPr>
          <w:p>
            <w:pPr>
              <w:spacing w:after="0"/>
              <w:rPr>
                <w:sz w:val="20"/>
                <w:szCs w:val="20"/>
                <w:color w:val="auto"/>
              </w:rPr>
            </w:pPr>
            <w:r>
              <w:rPr>
                <w:rFonts w:ascii="Arial" w:cs="Arial" w:eastAsia="Arial" w:hAnsi="Arial"/>
                <w:sz w:val="14"/>
                <w:szCs w:val="14"/>
                <w:color w:val="auto"/>
              </w:rPr>
              <w:t>2.</w:t>
            </w:r>
          </w:p>
        </w:tc>
        <w:tc>
          <w:tcPr>
            <w:tcW w:w="8580" w:type="dxa"/>
            <w:vAlign w:val="bottom"/>
          </w:tcPr>
          <w:p>
            <w:pPr>
              <w:ind w:left="80"/>
              <w:spacing w:after="0"/>
              <w:rPr>
                <w:sz w:val="20"/>
                <w:szCs w:val="20"/>
                <w:color w:val="auto"/>
              </w:rPr>
            </w:pPr>
            <w:r>
              <w:rPr>
                <w:rFonts w:ascii="Arial" w:cs="Arial" w:eastAsia="Arial" w:hAnsi="Arial"/>
                <w:sz w:val="14"/>
                <w:szCs w:val="14"/>
                <w:color w:val="auto"/>
                <w:w w:val="93"/>
              </w:rPr>
              <w:t>Proposal to ratify the appointment of PricewaterhouseCoopers LLP as our independent registered certified public accounting firm for the fiscal year</w:t>
            </w:r>
          </w:p>
        </w:tc>
        <w:tc>
          <w:tcPr>
            <w:tcW w:w="78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680" w:type="dxa"/>
            <w:vAlign w:val="bottom"/>
          </w:tcPr>
          <w:p>
            <w:pPr>
              <w:jc w:val="center"/>
              <w:ind w:left="152"/>
              <w:spacing w:after="0"/>
              <w:rPr>
                <w:sz w:val="20"/>
                <w:szCs w:val="20"/>
                <w:color w:val="auto"/>
              </w:rPr>
            </w:pPr>
            <w:r>
              <w:rPr>
                <w:rFonts w:ascii="Arial" w:cs="Arial" w:eastAsia="Arial" w:hAnsi="Arial"/>
                <w:sz w:val="14"/>
                <w:szCs w:val="14"/>
                <w:color w:val="auto"/>
                <w:w w:val="76"/>
              </w:rPr>
              <w:t>o</w:t>
            </w:r>
          </w:p>
        </w:tc>
      </w:tr>
      <w:tr>
        <w:trPr>
          <w:trHeight w:val="172"/>
        </w:trPr>
        <w:tc>
          <w:tcPr>
            <w:tcW w:w="160" w:type="dxa"/>
            <w:vAlign w:val="bottom"/>
          </w:tcPr>
          <w:p>
            <w:pPr>
              <w:spacing w:after="0"/>
              <w:rPr>
                <w:sz w:val="14"/>
                <w:szCs w:val="14"/>
                <w:color w:val="auto"/>
              </w:rPr>
            </w:pPr>
          </w:p>
        </w:tc>
        <w:tc>
          <w:tcPr>
            <w:tcW w:w="8580" w:type="dxa"/>
            <w:vAlign w:val="bottom"/>
          </w:tcPr>
          <w:p>
            <w:pPr>
              <w:ind w:left="80"/>
              <w:spacing w:after="0"/>
              <w:rPr>
                <w:sz w:val="20"/>
                <w:szCs w:val="20"/>
                <w:color w:val="auto"/>
              </w:rPr>
            </w:pPr>
            <w:r>
              <w:rPr>
                <w:rFonts w:ascii="Arial" w:cs="Arial" w:eastAsia="Arial" w:hAnsi="Arial"/>
                <w:sz w:val="14"/>
                <w:szCs w:val="14"/>
                <w:color w:val="auto"/>
              </w:rPr>
              <w:t>ending December 31, 2009</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97"/>
        </w:trPr>
        <w:tc>
          <w:tcPr>
            <w:tcW w:w="160" w:type="dxa"/>
            <w:vAlign w:val="bottom"/>
          </w:tcPr>
          <w:p>
            <w:pPr>
              <w:spacing w:after="0"/>
              <w:rPr>
                <w:sz w:val="20"/>
                <w:szCs w:val="20"/>
                <w:color w:val="auto"/>
              </w:rPr>
            </w:pPr>
            <w:r>
              <w:rPr>
                <w:rFonts w:ascii="Arial" w:cs="Arial" w:eastAsia="Arial" w:hAnsi="Arial"/>
                <w:sz w:val="14"/>
                <w:szCs w:val="14"/>
                <w:color w:val="auto"/>
              </w:rPr>
              <w:t>3.</w:t>
            </w:r>
          </w:p>
        </w:tc>
        <w:tc>
          <w:tcPr>
            <w:tcW w:w="8580" w:type="dxa"/>
            <w:vAlign w:val="bottom"/>
          </w:tcPr>
          <w:p>
            <w:pPr>
              <w:ind w:left="80"/>
              <w:spacing w:after="0"/>
              <w:rPr>
                <w:sz w:val="20"/>
                <w:szCs w:val="20"/>
                <w:color w:val="auto"/>
              </w:rPr>
            </w:pPr>
            <w:r>
              <w:rPr>
                <w:rFonts w:ascii="Arial" w:cs="Arial" w:eastAsia="Arial" w:hAnsi="Arial"/>
                <w:sz w:val="14"/>
                <w:szCs w:val="14"/>
                <w:color w:val="auto"/>
              </w:rPr>
              <w:t>In their discretion, upon such other matters that may properly come before the meeting or any adjournment or adjournments thereof</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25" w:lineRule="exact"/>
        <w:rPr>
          <w:sz w:val="20"/>
          <w:szCs w:val="20"/>
          <w:color w:val="auto"/>
        </w:rPr>
      </w:pPr>
    </w:p>
    <w:p>
      <w:pPr>
        <w:ind w:left="20" w:right="180"/>
        <w:spacing w:after="0" w:line="239" w:lineRule="auto"/>
        <w:rPr>
          <w:sz w:val="20"/>
          <w:szCs w:val="20"/>
          <w:color w:val="auto"/>
        </w:rPr>
      </w:pPr>
      <w:r>
        <w:rPr>
          <w:rFonts w:ascii="Arial" w:cs="Arial" w:eastAsia="Arial" w:hAnsi="Arial"/>
          <w:sz w:val="14"/>
          <w:szCs w:val="14"/>
          <w:color w:val="auto"/>
        </w:rPr>
        <w:t>The shares represented by this proxy when properly executed will be voted in the manner directed herein by the undersigned Stockholder(s). If no direction is made, this proxy will be voted FOR items 1 and 2. If any other matters properly come before the meeting, or if cumulative voting is required, the person named in this proxy will vote in their discretion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500" w:type="dxa"/>
            <w:vAlign w:val="bottom"/>
            <w:gridSpan w:val="3"/>
          </w:tcPr>
          <w:p>
            <w:pPr>
              <w:spacing w:after="0"/>
              <w:rPr>
                <w:sz w:val="20"/>
                <w:szCs w:val="20"/>
                <w:color w:val="auto"/>
              </w:rPr>
            </w:pPr>
            <w:r>
              <w:rPr>
                <w:rFonts w:ascii="Arial" w:cs="Arial" w:eastAsia="Arial" w:hAnsi="Arial"/>
                <w:sz w:val="14"/>
                <w:szCs w:val="14"/>
                <w:color w:val="auto"/>
                <w:w w:val="85"/>
              </w:rPr>
              <w:t>Please sign exactly as your name or names appear(s) on this Proxy. When shares are held jointly, each</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7"/>
              </w:rPr>
              <w:t>For address changes and/or comments, please check this box and write</w:t>
            </w:r>
          </w:p>
        </w:tc>
        <w:tc>
          <w:tcPr>
            <w:tcW w:w="1380" w:type="dxa"/>
            <w:vAlign w:val="bottom"/>
          </w:tcPr>
          <w:p>
            <w:pPr>
              <w:ind w:left="900"/>
              <w:spacing w:after="0" w:line="149" w:lineRule="exact"/>
              <w:rPr>
                <w:sz w:val="20"/>
                <w:szCs w:val="20"/>
                <w:color w:val="auto"/>
              </w:rPr>
            </w:pPr>
            <w:r>
              <w:rPr>
                <w:rFonts w:ascii="Arial" w:cs="Arial" w:eastAsia="Arial" w:hAnsi="Arial"/>
                <w:sz w:val="14"/>
                <w:szCs w:val="14"/>
                <w:color w:val="auto"/>
              </w:rPr>
              <w:t>o</w:t>
            </w:r>
          </w:p>
        </w:tc>
        <w:tc>
          <w:tcPr>
            <w:tcW w:w="5500" w:type="dxa"/>
            <w:vAlign w:val="bottom"/>
            <w:gridSpan w:val="3"/>
          </w:tcPr>
          <w:p>
            <w:pPr>
              <w:spacing w:after="0" w:line="149" w:lineRule="exact"/>
              <w:rPr>
                <w:sz w:val="20"/>
                <w:szCs w:val="20"/>
                <w:color w:val="auto"/>
              </w:rPr>
            </w:pPr>
            <w:r>
              <w:rPr>
                <w:rFonts w:ascii="Arial" w:cs="Arial" w:eastAsia="Arial" w:hAnsi="Arial"/>
                <w:sz w:val="14"/>
                <w:szCs w:val="14"/>
                <w:color w:val="auto"/>
                <w:w w:val="86"/>
              </w:rPr>
              <w:t>holder should sign. When signing as executor, administrator, attorney, trustee or guardian, please give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ind w:left="20"/>
              <w:spacing w:after="0" w:line="149" w:lineRule="exact"/>
              <w:rPr>
                <w:sz w:val="20"/>
                <w:szCs w:val="20"/>
                <w:color w:val="auto"/>
              </w:rPr>
            </w:pPr>
            <w:r>
              <w:rPr>
                <w:rFonts w:ascii="Arial" w:cs="Arial" w:eastAsia="Arial" w:hAnsi="Arial"/>
                <w:sz w:val="14"/>
                <w:szCs w:val="14"/>
                <w:color w:val="auto"/>
              </w:rPr>
              <w:t>them on the back where indicated.</w:t>
            </w:r>
          </w:p>
        </w:tc>
        <w:tc>
          <w:tcPr>
            <w:tcW w:w="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500" w:type="dxa"/>
            <w:vAlign w:val="bottom"/>
            <w:gridSpan w:val="3"/>
          </w:tcPr>
          <w:p>
            <w:pPr>
              <w:spacing w:after="0" w:line="149" w:lineRule="exact"/>
              <w:rPr>
                <w:sz w:val="20"/>
                <w:szCs w:val="20"/>
                <w:color w:val="auto"/>
              </w:rPr>
            </w:pPr>
            <w:r>
              <w:rPr>
                <w:rFonts w:ascii="Arial" w:cs="Arial" w:eastAsia="Arial" w:hAnsi="Arial"/>
                <w:sz w:val="14"/>
                <w:szCs w:val="14"/>
                <w:color w:val="auto"/>
                <w:w w:val="91"/>
              </w:rPr>
              <w:t>full title as such. If the signer is a corporation, please sign full corporate name by duly authorized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500" w:type="dxa"/>
            <w:vAlign w:val="bottom"/>
            <w:gridSpan w:val="3"/>
          </w:tcPr>
          <w:p>
            <w:pPr>
              <w:spacing w:after="0" w:line="149" w:lineRule="exact"/>
              <w:rPr>
                <w:sz w:val="20"/>
                <w:szCs w:val="20"/>
                <w:color w:val="auto"/>
              </w:rPr>
            </w:pPr>
            <w:r>
              <w:rPr>
                <w:rFonts w:ascii="Arial" w:cs="Arial" w:eastAsia="Arial" w:hAnsi="Arial"/>
                <w:sz w:val="14"/>
                <w:szCs w:val="14"/>
                <w:color w:val="auto"/>
                <w:w w:val="97"/>
              </w:rPr>
              <w:t>officer, giving full title as such. If signer is a partnership, please sign in partnership name by</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80" w:type="dxa"/>
            <w:vAlign w:val="bottom"/>
            <w:vMerge w:val="restart"/>
          </w:tcPr>
          <w:p>
            <w:pPr>
              <w:ind w:left="20"/>
              <w:spacing w:after="0"/>
              <w:rPr>
                <w:sz w:val="20"/>
                <w:szCs w:val="20"/>
                <w:color w:val="auto"/>
              </w:rPr>
            </w:pPr>
            <w:r>
              <w:rPr>
                <w:rFonts w:ascii="Arial" w:cs="Arial" w:eastAsia="Arial" w:hAnsi="Arial"/>
                <w:sz w:val="14"/>
                <w:szCs w:val="14"/>
                <w:color w:val="auto"/>
              </w:rPr>
              <w:t>Please indicate if you plan to attend this meeting.</w:t>
            </w:r>
          </w:p>
        </w:tc>
        <w:tc>
          <w:tcPr>
            <w:tcW w:w="820" w:type="dxa"/>
            <w:vAlign w:val="bottom"/>
          </w:tcPr>
          <w:p>
            <w:pPr>
              <w:jc w:val="center"/>
              <w:ind w:right="412"/>
              <w:spacing w:after="0"/>
              <w:rPr>
                <w:sz w:val="20"/>
                <w:szCs w:val="20"/>
                <w:color w:val="auto"/>
              </w:rPr>
            </w:pPr>
            <w:r>
              <w:rPr>
                <w:rFonts w:ascii="Arial" w:cs="Arial" w:eastAsia="Arial" w:hAnsi="Arial"/>
                <w:sz w:val="14"/>
                <w:szCs w:val="14"/>
                <w:color w:val="auto"/>
                <w:w w:val="74"/>
              </w:rPr>
              <w:t>Yes</w:t>
            </w:r>
          </w:p>
        </w:tc>
        <w:tc>
          <w:tcPr>
            <w:tcW w:w="1380" w:type="dxa"/>
            <w:vAlign w:val="bottom"/>
          </w:tcPr>
          <w:p>
            <w:pPr>
              <w:jc w:val="center"/>
              <w:ind w:right="872"/>
              <w:spacing w:after="0"/>
              <w:rPr>
                <w:sz w:val="20"/>
                <w:szCs w:val="20"/>
                <w:color w:val="auto"/>
              </w:rPr>
            </w:pPr>
            <w:r>
              <w:rPr>
                <w:rFonts w:ascii="Arial" w:cs="Arial" w:eastAsia="Arial" w:hAnsi="Arial"/>
                <w:sz w:val="14"/>
                <w:szCs w:val="14"/>
                <w:color w:val="auto"/>
                <w:w w:val="89"/>
              </w:rPr>
              <w:t>No</w:t>
            </w:r>
          </w:p>
        </w:tc>
        <w:tc>
          <w:tcPr>
            <w:tcW w:w="2920" w:type="dxa"/>
            <w:vAlign w:val="bottom"/>
          </w:tcPr>
          <w:p>
            <w:pPr>
              <w:spacing w:after="0"/>
              <w:rPr>
                <w:sz w:val="20"/>
                <w:szCs w:val="20"/>
                <w:color w:val="auto"/>
              </w:rPr>
            </w:pPr>
            <w:r>
              <w:rPr>
                <w:rFonts w:ascii="Arial" w:cs="Arial" w:eastAsia="Arial" w:hAnsi="Arial"/>
                <w:sz w:val="14"/>
                <w:szCs w:val="14"/>
                <w:color w:val="auto"/>
              </w:rPr>
              <w:t>authorized person.</w:t>
            </w: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vMerge w:val="continue"/>
          </w:tcPr>
          <w:p>
            <w:pPr>
              <w:spacing w:after="0"/>
              <w:rPr>
                <w:sz w:val="12"/>
                <w:szCs w:val="12"/>
                <w:color w:val="auto"/>
              </w:rPr>
            </w:pPr>
          </w:p>
        </w:tc>
        <w:tc>
          <w:tcPr>
            <w:tcW w:w="820" w:type="dxa"/>
            <w:vAlign w:val="bottom"/>
            <w:vMerge w:val="restart"/>
          </w:tcPr>
          <w:p>
            <w:pPr>
              <w:jc w:val="center"/>
              <w:ind w:right="412"/>
              <w:spacing w:after="0"/>
              <w:rPr>
                <w:sz w:val="20"/>
                <w:szCs w:val="20"/>
                <w:color w:val="auto"/>
              </w:rPr>
            </w:pPr>
            <w:r>
              <w:rPr>
                <w:rFonts w:ascii="Arial" w:cs="Arial" w:eastAsia="Arial" w:hAnsi="Arial"/>
                <w:sz w:val="14"/>
                <w:szCs w:val="14"/>
                <w:color w:val="auto"/>
                <w:w w:val="76"/>
              </w:rPr>
              <w:t>o</w:t>
            </w:r>
          </w:p>
        </w:tc>
        <w:tc>
          <w:tcPr>
            <w:tcW w:w="1380" w:type="dxa"/>
            <w:vAlign w:val="bottom"/>
            <w:vMerge w:val="restart"/>
          </w:tcPr>
          <w:p>
            <w:pPr>
              <w:jc w:val="center"/>
              <w:ind w:right="892"/>
              <w:spacing w:after="0"/>
              <w:rPr>
                <w:sz w:val="20"/>
                <w:szCs w:val="20"/>
                <w:color w:val="auto"/>
              </w:rPr>
            </w:pPr>
            <w:r>
              <w:rPr>
                <w:rFonts w:ascii="Arial" w:cs="Arial" w:eastAsia="Arial" w:hAnsi="Arial"/>
                <w:sz w:val="14"/>
                <w:szCs w:val="14"/>
                <w:color w:val="auto"/>
                <w:w w:val="76"/>
              </w:rPr>
              <w:t>o</w:t>
            </w:r>
          </w:p>
        </w:tc>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123,456,789,012</w:t>
            </w:r>
          </w:p>
        </w:tc>
        <w:tc>
          <w:tcPr>
            <w:tcW w:w="0" w:type="dxa"/>
            <w:vAlign w:val="bottom"/>
          </w:tcPr>
          <w:p>
            <w:pPr>
              <w:spacing w:after="0"/>
              <w:rPr>
                <w:sz w:val="1"/>
                <w:szCs w:val="1"/>
                <w:color w:val="auto"/>
              </w:rPr>
            </w:pPr>
          </w:p>
        </w:tc>
      </w:tr>
      <w:tr>
        <w:trPr>
          <w:trHeight w:val="79"/>
        </w:trPr>
        <w:tc>
          <w:tcPr>
            <w:tcW w:w="358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9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358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184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rPr>
              <w:t>675746A99</w:t>
            </w:r>
          </w:p>
        </w:tc>
        <w:tc>
          <w:tcPr>
            <w:tcW w:w="0" w:type="dxa"/>
            <w:vAlign w:val="bottom"/>
          </w:tcPr>
          <w:p>
            <w:pPr>
              <w:spacing w:after="0"/>
              <w:rPr>
                <w:sz w:val="1"/>
                <w:szCs w:val="1"/>
                <w:color w:val="auto"/>
              </w:rPr>
            </w:pPr>
          </w:p>
        </w:tc>
      </w:tr>
      <w:tr>
        <w:trPr>
          <w:trHeight w:val="152"/>
        </w:trPr>
        <w:tc>
          <w:tcPr>
            <w:tcW w:w="3580" w:type="dxa"/>
            <w:vAlign w:val="bottom"/>
          </w:tcPr>
          <w:p>
            <w:pPr>
              <w:ind w:left="20"/>
              <w:spacing w:after="0" w:line="153" w:lineRule="exact"/>
              <w:rPr>
                <w:sz w:val="20"/>
                <w:szCs w:val="20"/>
                <w:color w:val="auto"/>
              </w:rPr>
            </w:pPr>
            <w:r>
              <w:rPr>
                <w:rFonts w:ascii="Arial" w:cs="Arial" w:eastAsia="Arial" w:hAnsi="Arial"/>
                <w:sz w:val="14"/>
                <w:szCs w:val="14"/>
                <w:color w:val="auto"/>
              </w:rPr>
              <w:t>Signature [PLEASE SIGN WITHIN BOX]</w:t>
            </w:r>
          </w:p>
        </w:tc>
        <w:tc>
          <w:tcPr>
            <w:tcW w:w="820" w:type="dxa"/>
            <w:vAlign w:val="bottom"/>
          </w:tcPr>
          <w:p>
            <w:pPr>
              <w:spacing w:after="0" w:line="153" w:lineRule="exact"/>
              <w:rPr>
                <w:sz w:val="20"/>
                <w:szCs w:val="20"/>
                <w:color w:val="auto"/>
              </w:rPr>
            </w:pPr>
            <w:r>
              <w:rPr>
                <w:rFonts w:ascii="Arial" w:cs="Arial" w:eastAsia="Arial" w:hAnsi="Arial"/>
                <w:sz w:val="14"/>
                <w:szCs w:val="14"/>
                <w:color w:val="auto"/>
              </w:rPr>
              <w:t>Date</w:t>
            </w:r>
          </w:p>
        </w:tc>
        <w:tc>
          <w:tcPr>
            <w:tcW w:w="1380" w:type="dxa"/>
            <w:vAlign w:val="bottom"/>
          </w:tcPr>
          <w:p>
            <w:pPr>
              <w:ind w:left="480"/>
              <w:spacing w:after="0" w:line="139" w:lineRule="exact"/>
              <w:rPr>
                <w:sz w:val="20"/>
                <w:szCs w:val="20"/>
                <w:color w:val="auto"/>
              </w:rPr>
            </w:pPr>
            <w:r>
              <w:rPr>
                <w:rFonts w:ascii="Arial" w:cs="Arial" w:eastAsia="Arial" w:hAnsi="Arial"/>
                <w:sz w:val="14"/>
                <w:szCs w:val="14"/>
                <w:b w:val="1"/>
                <w:bCs w:val="1"/>
                <w:color w:val="auto"/>
              </w:rPr>
              <w:t>P40365</w:t>
            </w:r>
          </w:p>
        </w:tc>
        <w:tc>
          <w:tcPr>
            <w:tcW w:w="2920" w:type="dxa"/>
            <w:vAlign w:val="bottom"/>
          </w:tcPr>
          <w:p>
            <w:pPr>
              <w:spacing w:after="0" w:line="153" w:lineRule="exact"/>
              <w:rPr>
                <w:sz w:val="20"/>
                <w:szCs w:val="20"/>
                <w:color w:val="auto"/>
              </w:rPr>
            </w:pPr>
            <w:r>
              <w:rPr>
                <w:rFonts w:ascii="Arial" w:cs="Arial" w:eastAsia="Arial" w:hAnsi="Arial"/>
                <w:sz w:val="14"/>
                <w:szCs w:val="14"/>
                <w:color w:val="auto"/>
              </w:rPr>
              <w:t>Signature (Joint Owners)</w:t>
            </w:r>
          </w:p>
        </w:tc>
        <w:tc>
          <w:tcPr>
            <w:tcW w:w="900" w:type="dxa"/>
            <w:vAlign w:val="bottom"/>
          </w:tcPr>
          <w:p>
            <w:pPr>
              <w:spacing w:after="0" w:line="153" w:lineRule="exact"/>
              <w:rPr>
                <w:sz w:val="20"/>
                <w:szCs w:val="20"/>
                <w:color w:val="auto"/>
              </w:rPr>
            </w:pPr>
            <w:r>
              <w:rPr>
                <w:rFonts w:ascii="Arial" w:cs="Arial" w:eastAsia="Arial" w:hAnsi="Arial"/>
                <w:sz w:val="14"/>
                <w:szCs w:val="14"/>
                <w:color w:val="auto"/>
              </w:rPr>
              <w:t>Date</w:t>
            </w:r>
          </w:p>
        </w:tc>
        <w:tc>
          <w:tcPr>
            <w:tcW w:w="1680" w:type="dxa"/>
            <w:vAlign w:val="bottom"/>
          </w:tcPr>
          <w:p>
            <w:pPr>
              <w:spacing w:after="0"/>
              <w:rPr>
                <w:sz w:val="13"/>
                <w:szCs w:val="13"/>
                <w:color w:val="auto"/>
              </w:rPr>
            </w:pPr>
          </w:p>
        </w:tc>
        <w:tc>
          <w:tcPr>
            <w:tcW w:w="16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348"/>
        </w:trPr>
        <w:tc>
          <w:tcPr>
            <w:tcW w:w="35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1661 Worthington Road, Suite 100 – West Palm Beach, Florida 33409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REVOCABLE 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THlS PROXY IS SOLICITED ON BEHALF OF THE BOARD OF DIRECTORS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USE ONLY AT THE ANNUAL MEETING 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6, 2009, AND AT ANY ADJOURNMENT THEREOF.</w:t>
      </w:r>
    </w:p>
    <w:p>
      <w:pPr>
        <w:spacing w:after="0" w:line="21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undersigned hereby appoints William C. Erbey, Ronald M. Faris and Kevin J. Wilcox, or any of them, as proxy, with full powers of substitution, and hereby authorizes them to represent and vote, as designated on the reverse side, all the shares of Common Stock of Ocwen Financial Corporation (the “Company”) held of record by the undersigned on February 27, 2009, at the Annual Meeting of Shareholders to be held at the offices of the Company located at 1661 Worthington Road, Suite 100, West Palm Beach, Florida 33409 on Wednesday, May 6, 2009, at 9:00 a.m., Eastern Daylight Time and at any adjournment thereof.</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Shares of Common Stock of the Company will be voted as specified. </w:t>
      </w:r>
      <w:r>
        <w:rPr>
          <w:rFonts w:ascii="Arial" w:cs="Arial" w:eastAsia="Arial" w:hAnsi="Arial"/>
          <w:sz w:val="18"/>
          <w:szCs w:val="18"/>
          <w:b w:val="1"/>
          <w:bCs w:val="1"/>
          <w:color w:val="auto"/>
        </w:rPr>
        <w:t>If you execute and return this proxy without specific voting instructions, this proxy will</w:t>
      </w:r>
      <w:r>
        <w:rPr>
          <w:rFonts w:ascii="Arial" w:cs="Arial" w:eastAsia="Arial" w:hAnsi="Arial"/>
          <w:sz w:val="18"/>
          <w:szCs w:val="18"/>
          <w:color w:val="auto"/>
        </w:rPr>
        <w:t xml:space="preserve"> </w:t>
      </w:r>
      <w:r>
        <w:rPr>
          <w:rFonts w:ascii="Arial" w:cs="Arial" w:eastAsia="Arial" w:hAnsi="Arial"/>
          <w:sz w:val="18"/>
          <w:szCs w:val="18"/>
          <w:b w:val="1"/>
          <w:bCs w:val="1"/>
          <w:color w:val="auto"/>
        </w:rPr>
        <w:t>be voted FOR the election of each of the Board of Directors’ nominees to the Board of Directors and FOR the ratification of the appointment of PricewaterhouseCoopers LLP as the independent registered certified public accounting firm</w:t>
      </w:r>
      <w:r>
        <w:rPr>
          <w:rFonts w:ascii="Arial" w:cs="Arial" w:eastAsia="Arial" w:hAnsi="Arial"/>
          <w:sz w:val="18"/>
          <w:szCs w:val="18"/>
          <w:color w:val="auto"/>
        </w:rPr>
        <w:t>. You may revoke this proxy at any time prior to the time it is</w:t>
      </w:r>
      <w:r>
        <w:rPr>
          <w:rFonts w:ascii="Arial" w:cs="Arial" w:eastAsia="Arial" w:hAnsi="Arial"/>
          <w:sz w:val="18"/>
          <w:szCs w:val="18"/>
          <w:b w:val="1"/>
          <w:bCs w:val="1"/>
          <w:color w:val="auto"/>
        </w:rPr>
        <w:t xml:space="preserve"> </w:t>
      </w:r>
      <w:r>
        <w:rPr>
          <w:rFonts w:ascii="Arial" w:cs="Arial" w:eastAsia="Arial" w:hAnsi="Arial"/>
          <w:sz w:val="18"/>
          <w:szCs w:val="18"/>
          <w:color w:val="auto"/>
        </w:rPr>
        <w:t>voted at the Annual Meeting.</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acknowledges receipt of the Notice of Annual Meeting of Shareholders of Ocwen Financial Corporation to be held on May 6, 2009, or any adjournment thereof, a Proxy Statement for the Annual Meeting and the 2008 Annual Report to Shareholders of the Company prior to the signing of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4502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450215"/>
                    </a:xfrm>
                    <a:prstGeom prst="rect">
                      <a:avLst/>
                    </a:prstGeom>
                    <a:noFill/>
                  </pic:spPr>
                </pic:pic>
              </a:graphicData>
            </a:graphic>
          </wp:anchor>
        </w:drawing>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and to be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lvl w:ilvl="1">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lvl w:ilvl="1">
      <w:lvlJc w:val="left"/>
      <w:lvlText w:val="-"/>
      <w:numFmt w:val="bullet"/>
      <w:start w:val="1"/>
    </w:lvl>
  </w:abstractNum>
  <w:abstractNum w:abstractNumId="15">
    <w:nsid w:val="2D1D5AE9"/>
    <w:multiLevelType w:val="hybridMultilevel"/>
    <w:lvl w:ilvl="0">
      <w:lvlJc w:val="left"/>
      <w:lvlText w:val="(%1)"/>
      <w:numFmt w:val="decimal"/>
      <w:start w:val="2"/>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upperLetter"/>
      <w:start w:val="39"/>
    </w:lvl>
  </w:abstractNum>
  <w:abstractNum w:abstractNumId="19">
    <w:nsid w:val="79838CB2"/>
    <w:multiLevelType w:val="hybridMultilevel"/>
    <w:lvl w:ilvl="0">
      <w:lvlJc w:val="left"/>
      <w:lvlText w:val="(%1)"/>
      <w:numFmt w:val="decimal"/>
      <w:start w:val="1"/>
    </w:lvl>
    <w:lvl w:ilvl="1">
      <w:lvlJc w:val="left"/>
      <w:lvlText w:val="-"/>
      <w:numFmt w:val="bullet"/>
      <w:start w:val="1"/>
    </w:lvl>
  </w:abstractNum>
  <w:abstractNum w:abstractNumId="20">
    <w:nsid w:val="4353D0CD"/>
    <w:multiLevelType w:val="hybridMultilevel"/>
    <w:lvl w:ilvl="0">
      <w:lvlJc w:val="left"/>
      <w:lvlText w:val="(%1)"/>
      <w:numFmt w:val="decimal"/>
      <w:start w:val="1"/>
    </w:lvl>
    <w:lvl w:ilvl="1">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lvl w:ilvl="1">
      <w:lvlJc w:val="left"/>
      <w:lvlText w:val="-"/>
      <w:numFmt w:val="bullet"/>
      <w:start w:val="1"/>
    </w:lvl>
  </w:abstractNum>
  <w:abstractNum w:abstractNumId="24">
    <w:nsid w:val="71F32454"/>
    <w:multiLevelType w:val="hybridMultilevel"/>
    <w:lvl w:ilvl="0">
      <w:lvlJc w:val="left"/>
      <w:lvlText w:val="(%1)"/>
      <w:numFmt w:val="decimal"/>
      <w:start w:val="4"/>
    </w:lvl>
  </w:abstractNum>
  <w:abstractNum w:abstractNumId="25">
    <w:nsid w:val="2CA88611"/>
    <w:multiLevelType w:val="hybridMultilevel"/>
    <w:lvl w:ilvl="0">
      <w:lvlJc w:val="left"/>
      <w:lvlText w:val="(%1)"/>
      <w:numFmt w:val="decimal"/>
      <w:start w:val="1"/>
    </w:lvl>
    <w:lvl w:ilvl="1">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2019-12-10T09:25:04Z</dcterms:created>
  <dcterms:modified xsi:type="dcterms:W3CDTF">2019-12-10T09:25:04Z</dcterms:modified>
</cp:coreProperties>
</file>