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540" w:hanging="4"/>
        <w:spacing w:after="0" w:line="250" w:lineRule="auto"/>
        <w:tabs>
          <w:tab w:leader="none" w:pos="9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373" w:lineRule="exact"/>
        <w:rPr>
          <w:sz w:val="24"/>
          <w:szCs w:val="24"/>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3" w:lineRule="exact"/>
        <w:rPr>
          <w:rFonts w:ascii="Arial" w:cs="Arial" w:eastAsia="Arial" w:hAnsi="Arial"/>
          <w:sz w:val="18"/>
          <w:szCs w:val="18"/>
          <w:color w:val="auto"/>
        </w:rPr>
      </w:pPr>
    </w:p>
    <w:p>
      <w:pPr>
        <w:ind w:left="1180" w:right="320" w:hanging="1145"/>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8"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180" w:hanging="564"/>
        <w:spacing w:after="0" w:line="308" w:lineRule="auto"/>
        <w:tabs>
          <w:tab w:leader="none" w:pos="11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Arial" w:cs="Arial" w:eastAsia="Arial" w:hAnsi="Arial"/>
          <w:sz w:val="17"/>
          <w:szCs w:val="17"/>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3073400</wp:posOffset>
            </wp:positionH>
            <wp:positionV relativeFrom="page">
              <wp:posOffset>380365</wp:posOffset>
            </wp:positionV>
            <wp:extent cx="1423670" cy="1663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2367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Ocwen Financial Corporation, which will be held at the Embassy Suites Hotel located at 1601 Belvedere Road, West Palm Beach, Florida 33406, on Wednesday, May 23, 2018, at 9:00 a.m., Eastern Daylight Time. The matters to be considered by shareholders at the Annual Meeting are described in detail in the accompanying materials.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very important that you be represented at the Annual Meeting regardless of the number of shares you own or whether you are able to attend the Annual Meeting in person. We encourage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833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1661 Worthington Road, Suite 100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ind w:left="252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23,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ectPr>
          <w:pgSz w:w="11900" w:h="16838" w:orient="portrait"/>
          <w:cols w:equalWidth="0" w:num="1">
            <w:col w:w="11300"/>
          </w:cols>
          <w:pgMar w:left="240" w:top="580" w:right="359" w:bottom="1440" w:gutter="0" w:footer="0" w:header="0"/>
        </w:sectPr>
      </w:pP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Wednesday, May 23, 2018</w:t>
      </w:r>
    </w:p>
    <w:p>
      <w:pPr>
        <w:spacing w:after="0" w:line="93" w:lineRule="exact"/>
        <w:rPr>
          <w:sz w:val="20"/>
          <w:szCs w:val="20"/>
          <w:color w:val="auto"/>
        </w:rPr>
      </w:pPr>
    </w:p>
    <w:p>
      <w:pPr>
        <w:sectPr>
          <w:pgSz w:w="11900" w:h="16838" w:orient="portrait"/>
          <w:cols w:equalWidth="0" w:num="2">
            <w:col w:w="1120" w:space="720"/>
            <w:col w:w="9460"/>
          </w:cols>
          <w:pgMar w:left="240" w:top="580" w:right="359" w:bottom="1440" w:gutter="0" w:footer="0" w:header="0"/>
          <w:type w:val="continuous"/>
        </w:sectPr>
      </w:pPr>
    </w:p>
    <w:p>
      <w:pPr>
        <w:jc w:val="center"/>
        <w:ind w:left="68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Eastern Daylight Time</w:t>
      </w:r>
    </w:p>
    <w:p>
      <w:pPr>
        <w:spacing w:after="0" w:line="82" w:lineRule="exact"/>
        <w:rPr>
          <w:sz w:val="20"/>
          <w:szCs w:val="20"/>
          <w:color w:val="auto"/>
        </w:rPr>
      </w:pPr>
    </w:p>
    <w:p>
      <w:pPr>
        <w:sectPr>
          <w:pgSz w:w="11900" w:h="16838" w:orient="portrait"/>
          <w:cols w:equalWidth="0" w:num="2">
            <w:col w:w="1140" w:space="700"/>
            <w:col w:w="9460"/>
          </w:cols>
          <w:pgMar w:left="240" w:top="580" w:right="35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Embassy Suites Hotel</w:t>
      </w:r>
    </w:p>
    <w:p>
      <w:pPr>
        <w:spacing w:after="0" w:line="59" w:lineRule="exact"/>
        <w:rPr>
          <w:sz w:val="20"/>
          <w:szCs w:val="20"/>
          <w:color w:val="auto"/>
        </w:rPr>
      </w:pPr>
    </w:p>
    <w:p>
      <w:pPr>
        <w:sectPr>
          <w:pgSz w:w="11900" w:h="16838" w:orient="portrait"/>
          <w:cols w:equalWidth="0" w:num="2">
            <w:col w:w="1420" w:space="420"/>
            <w:col w:w="9460"/>
          </w:cols>
          <w:pgMar w:left="240" w:top="580" w:right="359" w:bottom="1440" w:gutter="0" w:footer="0" w:header="0"/>
          <w:type w:val="continuous"/>
        </w:sectPr>
      </w:pPr>
    </w:p>
    <w:p>
      <w:pPr>
        <w:ind w:left="1840"/>
        <w:spacing w:after="0"/>
        <w:rPr>
          <w:sz w:val="20"/>
          <w:szCs w:val="20"/>
          <w:color w:val="auto"/>
        </w:rPr>
      </w:pPr>
      <w:r>
        <w:rPr>
          <w:rFonts w:ascii="Arial" w:cs="Arial" w:eastAsia="Arial" w:hAnsi="Arial"/>
          <w:sz w:val="18"/>
          <w:szCs w:val="18"/>
          <w:color w:val="auto"/>
        </w:rPr>
        <w:t>1601 Belvedere Road</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West Palm Beach, Florida</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33406</w:t>
      </w:r>
    </w:p>
    <w:p>
      <w:pPr>
        <w:sectPr>
          <w:pgSz w:w="11900" w:h="16838" w:orient="portrait"/>
          <w:cols w:equalWidth="0" w:num="1">
            <w:col w:w="11300"/>
          </w:cols>
          <w:pgMar w:left="240" w:top="580" w:right="35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for one year terms or until their successors are elected and qualified;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2018;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23, 2018 as the record date for the determination of shareholders entitled to notice of and to vote at the Annual Meeting.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the record date will be entitled to vote at the Annual Meeting.</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This proxy statement for our 2018 Annual Meeting of Shareholders and our Annual Report to shareholders on Form 10-K for the year ended December 31, 2017 will be available on or about April 19, 2018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in the Financial Information section under the “Shareholders” tab. The approximate date on which this proxy statement, the proxy card and other accompanying materials are first being sent or given to shareholders is April 19, 2018. Additionally, and in accordance with Securities and Exchange Commission rules, you may access our annual report and proxy materials at </w:t>
      </w:r>
      <w:r>
        <w:rPr>
          <w:rFonts w:ascii="Arial" w:cs="Arial" w:eastAsia="Arial" w:hAnsi="Arial"/>
          <w:sz w:val="17"/>
          <w:szCs w:val="17"/>
          <w:u w:val="single" w:color="auto"/>
          <w:color w:val="auto"/>
        </w:rPr>
        <w:t>http://shareholders.ocwen.com/sec.cfm</w:t>
      </w:r>
      <w:r>
        <w:rPr>
          <w:rFonts w:ascii="Arial" w:cs="Arial" w:eastAsia="Arial" w:hAnsi="Arial"/>
          <w:sz w:val="17"/>
          <w:szCs w:val="17"/>
          <w:color w:val="auto"/>
        </w:rPr>
        <w:t>, a website that does not identify or track visitors of the 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9225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22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Michael J. Stanton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19, 2018</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580" w:right="35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proxy statement is being furnished to you in connection with the solicitation of proxies by the Board of Directors of Ocwen Financial Corporation (“Ocwen,” the “Company,” “we,” “us,” or “our”) for use at our 2018 Annual Meeting of Shareholders (the “Annual Meeting”) and at any postponement or adjournment of this meeting. The approximate date on which this proxy statement, the proxy card and other accompanying materials are first being sent or given to shareholders is April 19, 2018. The Annual Meeting will be held at the Embassy Suites Hotel located at 1601 Belvedere Road, West Palm Beach, Florida 33406, on Wednesday, May 23, 2018, at 9:00 a.m., Eastern Daylight Time, for the purposes listed in the Notice of Annual Meeting of Shareholders. If you are interested in attending the meeting and voting in person, please see “Annual Meeting Admission” below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Board of Directors has appointed Ronald M. Faris, President and Chief Executive Officer, Timothy M. Hayes, Executive Vice President and General Counsel, and Michael J. Stanton, Senior Vice President, Deputy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seven nominees for Director;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2018;</w:t>
      </w:r>
    </w:p>
    <w:p>
      <w:pPr>
        <w:spacing w:after="0" w:line="170"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 (“Say-on-Pay”); and</w:t>
      </w:r>
    </w:p>
    <w:p>
      <w:pPr>
        <w:spacing w:after="0" w:line="123" w:lineRule="exact"/>
        <w:rPr>
          <w:rFonts w:ascii="Arial" w:cs="Arial" w:eastAsia="Arial" w:hAnsi="Arial"/>
          <w:sz w:val="16"/>
          <w:szCs w:val="16"/>
          <w:color w:val="auto"/>
        </w:rPr>
      </w:pPr>
    </w:p>
    <w:p>
      <w:pPr>
        <w:ind w:left="660" w:right="20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51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of revocation with our Secretary at the following address: Michael J. Stanton,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 Ocwen Financial Corporation</w:t>
      </w:r>
    </w:p>
    <w:p>
      <w:pPr>
        <w:spacing w:after="0" w:line="9" w:lineRule="exact"/>
        <w:rPr>
          <w:rFonts w:ascii="Arial" w:cs="Arial" w:eastAsia="Arial" w:hAnsi="Arial"/>
          <w:sz w:val="18"/>
          <w:szCs w:val="18"/>
          <w:color w:val="auto"/>
        </w:rPr>
      </w:pPr>
    </w:p>
    <w:p>
      <w:pPr>
        <w:ind w:left="660" w:right="8240"/>
        <w:spacing w:after="0" w:line="323"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interested in attending the meeting and voting in person, please see “Annual Meeting Admission” below for further details.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all matters properly presented at the Annual Meeting, each share of our common stock is entitled to one vote. All shareholders who owned our common stock as of the close of business on March 23, 2018 (the “Record Date”) are cordially invited to attend the 2018 Annual Meeting. Only shareholders of record or beneficial owners of shares of our common stock</w:t>
      </w:r>
    </w:p>
    <w:p>
      <w:pPr>
        <w:ind w:right="40"/>
        <w:spacing w:after="0" w:line="252" w:lineRule="auto"/>
        <w:rPr>
          <w:sz w:val="20"/>
          <w:szCs w:val="20"/>
          <w:color w:val="auto"/>
        </w:rPr>
      </w:pPr>
      <w:r>
        <w:rPr>
          <w:rFonts w:ascii="Arial" w:cs="Arial" w:eastAsia="Arial" w:hAnsi="Arial"/>
          <w:sz w:val="18"/>
          <w:szCs w:val="18"/>
          <w:color w:val="auto"/>
        </w:rPr>
        <w:t>at the close of business on the Record Date are entitled to attend and vote at the Annual Meeting or any postponement or adjournment of this meeting. If your shares are registered directly in your name with American Stock Transfer &amp; Trust Company,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133,405,585 shares of common stock issued and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attend the Annual Meeting in person, you may, if you desire, revoke your proxy in accordance with the procedures described in this Proxy Statement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attend the Annual Meeting, but you may only vote in person at the Annual Meeting if you obtain and present at the Annual Meeting a legal proxy from the Broker that holds your shares, giving you the right to vote the shares in person at the meeting. Please contact your Broker for further information.</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then Brokers are not permitted to vote your shares without instruction from you. “Non-routine” matters include, for example, proposals to elect directors or vote on executive compensation proposals. If you do not submit voting instructions to your Broker and your Broker exercises its discretion to vote your shares on Proposal Two to ratify the appointment of Deloitte &amp; Touche LLP as our independent registered public accounting firm for 2018, your shares will constitute broker “non-votes” on each of the other proposals at the Annual Meeting, as Proposal One on the election of directors and Proposal Three on Say-on-Pay are “non-routine” matters. Therefore, it is important that you provide instructions to your Broker if your shares are held by a Broker so that your votes with respect to election of directors and Say-on-Pay are counted.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w:t>
      </w:r>
    </w:p>
    <w:p>
      <w:pPr>
        <w:ind w:right="40" w:firstLine="8"/>
        <w:spacing w:after="0" w:line="253"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Touche LLP as our independent registered public accounting firm for 2018 and Proposal Three to approve the Say-on-Pay,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2018 and Proposal Three to approve the Say-on-Pay are advisory in nature, there is no specific requirement for approval for these proposals. It will be up to the Audit Committee and the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5" w:name="page6"/>
    <w:bookmarkEnd w:id="5"/>
    <w:p>
      <w:pPr>
        <w:ind w:right="520"/>
        <w:spacing w:after="0" w:line="308" w:lineRule="auto"/>
        <w:rPr>
          <w:sz w:val="20"/>
          <w:szCs w:val="20"/>
          <w:color w:val="auto"/>
        </w:rPr>
      </w:pPr>
      <w:r>
        <w:rPr>
          <w:rFonts w:ascii="Arial" w:cs="Arial" w:eastAsia="Arial" w:hAnsi="Arial"/>
          <w:sz w:val="17"/>
          <w:szCs w:val="17"/>
          <w:color w:val="auto"/>
        </w:rPr>
        <w:t>Compensation Committee with respect to Proposals Two and Three, as well as the Board of Directors, to determine whether and how to implement the advisory votes on the ratification of the appointment of our independent registered public accounting firm and Say-on-Pay.</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2018 or Proposal Three to approve the Say-on-Pay and therefore will not be counted in determining the outcome of those proposals.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or Proposal Three to approve the Say-on-Pay and therefore will not be counted in determining the outcome of those proposals presented for your vote.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Admission</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For information on attending the Annual Meeting and voting in person, please contact us at </w:t>
      </w:r>
      <w:r>
        <w:rPr>
          <w:rFonts w:ascii="Arial" w:cs="Arial" w:eastAsia="Arial" w:hAnsi="Arial"/>
          <w:sz w:val="16"/>
          <w:szCs w:val="16"/>
          <w:u w:val="single" w:color="auto"/>
          <w:color w:val="auto"/>
        </w:rPr>
        <w:t>shareholderrelations@ocwen.com</w:t>
      </w:r>
      <w:r>
        <w:rPr>
          <w:rFonts w:ascii="Arial" w:cs="Arial" w:eastAsia="Arial" w:hAnsi="Arial"/>
          <w:sz w:val="16"/>
          <w:szCs w:val="16"/>
          <w:color w:val="auto"/>
        </w:rPr>
        <w:t xml:space="preserve">. If you wish to attend the Annual Meeting in person, you must notify us </w:t>
      </w:r>
      <w:r>
        <w:rPr>
          <w:rFonts w:ascii="Arial" w:cs="Arial" w:eastAsia="Arial" w:hAnsi="Arial"/>
          <w:sz w:val="16"/>
          <w:szCs w:val="16"/>
          <w:b w:val="1"/>
          <w:bCs w:val="1"/>
          <w:color w:val="auto"/>
        </w:rPr>
        <w:t>no less than seven days in advance</w:t>
      </w:r>
      <w:r>
        <w:rPr>
          <w:rFonts w:ascii="Arial" w:cs="Arial" w:eastAsia="Arial" w:hAnsi="Arial"/>
          <w:sz w:val="16"/>
          <w:szCs w:val="16"/>
          <w:color w:val="auto"/>
        </w:rPr>
        <w:t xml:space="preserve"> at </w:t>
      </w:r>
      <w:r>
        <w:rPr>
          <w:rFonts w:ascii="Arial" w:cs="Arial" w:eastAsia="Arial" w:hAnsi="Arial"/>
          <w:sz w:val="16"/>
          <w:szCs w:val="16"/>
          <w:u w:val="single" w:color="auto"/>
          <w:color w:val="auto"/>
        </w:rPr>
        <w:t>shareholderrelations@ocwen.com</w:t>
      </w:r>
      <w:r>
        <w:rPr>
          <w:rFonts w:ascii="Arial" w:cs="Arial" w:eastAsia="Arial" w:hAnsi="Arial"/>
          <w:sz w:val="16"/>
          <w:szCs w:val="16"/>
          <w:color w:val="auto"/>
        </w:rPr>
        <w:t xml:space="preserve"> so that we can make appropriate arrangements to accommodate attendees (i.e., you must notify us at </w:t>
      </w:r>
      <w:r>
        <w:rPr>
          <w:rFonts w:ascii="Arial" w:cs="Arial" w:eastAsia="Arial" w:hAnsi="Arial"/>
          <w:sz w:val="16"/>
          <w:szCs w:val="16"/>
          <w:u w:val="single" w:color="auto"/>
          <w:color w:val="auto"/>
        </w:rPr>
        <w:t>shareholderrelations@ocwen.com</w:t>
      </w:r>
      <w:r>
        <w:rPr>
          <w:rFonts w:ascii="Arial" w:cs="Arial" w:eastAsia="Arial" w:hAnsi="Arial"/>
          <w:sz w:val="16"/>
          <w:szCs w:val="16"/>
          <w:color w:val="auto"/>
        </w:rPr>
        <w:t xml:space="preserve"> on or before May 16, 2018 in order to attend our shareholder meeting). You must also present a form of government-issued personal identification (e.g., driver’s license or passport) and proof of ownership as of the Record Date to be admitted to the Annual Meeting. If you are a beneficial owner of shares held in street name, a recent brokerage statement or a letter from your Broker are examples of proof of ownership. Only shareholders of record will be permitted to vote at the meeting unless a beneficial owner obtains and presents at the Annual Meeting a legal proxy from the Broker that holds such beneficial owner’s shares, giving the beneficial owner the right to vote the shares in person at the meeting. No cameras, recording equipment, electronic devices, large bags, briefcases or packages will be permitted in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4"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eleven members with the exact number to be fixed by our Board of Directors. Effective May 22, 2017, our Board of Directors fixed the number of directors at eight and we currently have eight directors. As Ronald M. Faris is retiring from the Board of Directors at the Annual Meeting, our Board of Directors has fixed the number of directors at seven, effective at the commencement of the Annual Meeting.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proposing the seven nominees listed below for election as directors at the Annual Meeting. All nominees currently serve as our directors. There are no arrangements or understandings between any nominee and any other person for selection as a nominee. As disclosed in the Company’s current report on Form 8-K filed April 19, 2018, the Board of Directors has determined to appoint Glen Messina as a member of the Company’s Board of Directors effective upon the date of the Company’s planned merger with PHH Corporation.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As of the date of this proxy statement, our Board of Directors knows of no reason why any of the nominees would not be able or willing to serve as a director if elected.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Phyllis R. Caldwell. </w:t>
      </w:r>
      <w:r>
        <w:rPr>
          <w:rFonts w:ascii="Arial" w:cs="Arial" w:eastAsia="Arial" w:hAnsi="Arial"/>
          <w:sz w:val="16"/>
          <w:szCs w:val="16"/>
          <w:color w:val="auto"/>
        </w:rPr>
        <w:t>Ms. Caldwell became Chair of the Board of Directors on March 15, 2016. Ms. Caldwell has been a Director of Ocwen since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Ms. Caldwell is founder and managing member of Wroxton Civic Ventures LLC, which provides advisory services on various financial, housing and economic development matters, a position she has held since January 2012.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in commercial real estate finance during her eleven years at Bank of America until her retirement from Bank of America in 2007, serving most recently as President of Community Development Banking. Since January 2014, Ms. Caldwell has served as an independent director of both American Capital Senior Floating, Ltd., a publicly traded business development company, and City First Bank of DC.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222"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b w:val="1"/>
          <w:bCs w:val="1"/>
          <w:i w:val="1"/>
          <w:iCs w:val="1"/>
          <w:color w:val="auto"/>
        </w:rPr>
        <w:t xml:space="preserve">Alan J. Bowers. </w:t>
      </w:r>
      <w:r>
        <w:rPr>
          <w:rFonts w:ascii="Arial" w:cs="Arial" w:eastAsia="Arial" w:hAnsi="Arial"/>
          <w:sz w:val="16"/>
          <w:szCs w:val="16"/>
          <w:color w:val="auto"/>
        </w:rPr>
        <w:t>Mr. Bowers has served as a Director of Ocwen since May 2015. Mr. Bowers has also served as a Director of Walker &amp; Dunlop,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publicly traded commercial real estate finance company, since December 2010, serves as its Lead Director, and serves on its Audit Committee and its Nominating and Corporate Governance Committee (Chair). </w:t>
      </w:r>
      <w:r>
        <w:rPr>
          <w:rFonts w:ascii="Arial" w:cs="Arial" w:eastAsia="Arial" w:hAnsi="Arial"/>
          <w:sz w:val="16"/>
          <w:szCs w:val="16"/>
          <w:color w:val="333333"/>
        </w:rPr>
        <w:t>Mr. Bowers also serves on the board and as Audit Committee</w:t>
      </w:r>
      <w:r>
        <w:rPr>
          <w:rFonts w:ascii="Arial" w:cs="Arial" w:eastAsia="Arial" w:hAnsi="Arial"/>
          <w:sz w:val="16"/>
          <w:szCs w:val="16"/>
          <w:color w:val="auto"/>
        </w:rPr>
        <w:t xml:space="preserve"> Chair </w:t>
      </w:r>
      <w:r>
        <w:rPr>
          <w:rFonts w:ascii="Arial" w:cs="Arial" w:eastAsia="Arial" w:hAnsi="Arial"/>
          <w:sz w:val="16"/>
          <w:szCs w:val="16"/>
          <w:color w:val="333333"/>
        </w:rPr>
        <w:t>of La Quinta Inns &amp; Suites, a</w:t>
      </w:r>
      <w:r>
        <w:rPr>
          <w:rFonts w:ascii="Arial" w:cs="Arial" w:eastAsia="Arial" w:hAnsi="Arial"/>
          <w:sz w:val="16"/>
          <w:szCs w:val="16"/>
          <w:color w:val="auto"/>
        </w:rPr>
        <w:t xml:space="preserve"> </w:t>
      </w:r>
      <w:r>
        <w:rPr>
          <w:rFonts w:ascii="Arial" w:cs="Arial" w:eastAsia="Arial" w:hAnsi="Arial"/>
          <w:sz w:val="16"/>
          <w:szCs w:val="16"/>
          <w:color w:val="333333"/>
        </w:rPr>
        <w:t>publicly traded hotel chain. Mr. Bowers previously served on the Board of Quadel Consulting Corp., a privately-held government contract manager and consulting firm from July 2005 to June 2015 and as Audit Chair of American Achievement Corp., a privately-held manufacturer and distributer of graduation products from August 2006 to March 2016. Prior to Mr. Bowers' retirement in 2005, he was the President and Chief Executive Officer and a board member of Cape Success, LLC, a private equity-backed staffing service and information technology solutions business, from 2001 to 2004. Mr. Bowers was also the President and Chief Executive Officer and a board member of MarketSource Corporation, a marketing and sales support service firm, from 2000 to 2001, and of MBL Life Assurance Corporation, a life insurance company, from 1995 to 1999. Mr. Bowers previously served on the boards and as Audit Committee C</w:t>
      </w:r>
      <w:r>
        <w:rPr>
          <w:rFonts w:ascii="Arial" w:cs="Arial" w:eastAsia="Arial" w:hAnsi="Arial"/>
          <w:sz w:val="16"/>
          <w:szCs w:val="16"/>
          <w:color w:val="000000"/>
        </w:rPr>
        <w:t>hair</w:t>
      </w:r>
      <w:r>
        <w:rPr>
          <w:rFonts w:ascii="Arial" w:cs="Arial" w:eastAsia="Arial" w:hAnsi="Arial"/>
          <w:sz w:val="16"/>
          <w:szCs w:val="16"/>
          <w:color w:val="333333"/>
        </w:rPr>
        <w:t xml:space="preserve"> of Refrigerated Holdings, Inc., a temperature controlled logistics firm (from January 2009 to April 2013);</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96" w:right="259" w:bottom="1440" w:gutter="0" w:footer="0" w:header="0"/>
        </w:sectPr>
      </w:pPr>
    </w:p>
    <w:bookmarkStart w:id="7" w:name="page8"/>
    <w:bookmarkEnd w:id="7"/>
    <w:p>
      <w:pPr>
        <w:ind w:right="40"/>
        <w:spacing w:after="0" w:line="257" w:lineRule="auto"/>
        <w:rPr>
          <w:sz w:val="20"/>
          <w:szCs w:val="20"/>
          <w:color w:val="auto"/>
        </w:rPr>
      </w:pPr>
      <w:r>
        <w:rPr>
          <w:rFonts w:ascii="Arial" w:cs="Arial" w:eastAsia="Arial" w:hAnsi="Arial"/>
          <w:sz w:val="18"/>
          <w:szCs w:val="18"/>
          <w:color w:val="333333"/>
        </w:rPr>
        <w:t>Roadlink Inc., a trucking and logistics firm (from February 2010 to April 2013); and Fastfrate Holdings, Inc., a Canadian trucking and logistics firm (from July 2008 to June 2011), each a privately held company. Mr. Bowers has been a Certified Public Accountant since 1978 and served as Staff Auditor, Audit Partner and Managing Partner, serving a diverse client base during his tenure at Coopers &amp; Lybrand, L.L.P. from 1978 to 1995 and as a Staff Accountant with Laventhol &amp; Horwath, CPAs from 1976 to 1978. Mr. Bowers received his Bachelor of Science in Accounting from Montclair State University and his Master of Business Administration from St. John's University.</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Bowers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Jacques J. Busquet. </w:t>
      </w:r>
      <w:r>
        <w:rPr>
          <w:rFonts w:ascii="Arial" w:cs="Arial" w:eastAsia="Arial" w:hAnsi="Arial"/>
          <w:sz w:val="16"/>
          <w:szCs w:val="16"/>
          <w:color w:val="auto"/>
        </w:rPr>
        <w:t>Mr. Busquet has served as a Director of Ocwen since January 2016. Mr. Busquet was formerly Chief Risk Officer and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Natixis North America LLC and a member of its Executive Committee from April 2008 to February 2015. Prior to that, Mr. Busquet was Executive Vice President and member of the Executive Committee of Calyon Americas (formerly Credit Lyonnais Americas) in charge of Risks, Compliance, Legal, Regulatory Affairs and Asset Recovery from 1998 to March 2008. Since July 1, 2016, Mr. Busquet has served as a director of Mizuho Americas LLC, the US Bank Holding Company of Mizuho Financial Group, Inc. Since 2005, Mr. Busquet has served as a director of Prolitec Inc., a privately-held commercial air scenting company. From 2012 to March 2015, Mr. Busquet was a trustee of the Institute of International Bankers. From 2003 to 2009, Mr. Busquet was a trustee of the African Wildlife Foundation and the Chair of its Audit Committee for two years. Mr. Busquet has a Master of Business Administration in Finance from each of The Wharton School of the University of Pennsylvania and Hautes Études Commerciales (HEC), Paris.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Carol J. Galante. </w:t>
      </w:r>
      <w:r>
        <w:rPr>
          <w:rFonts w:ascii="Arial" w:cs="Arial" w:eastAsia="Arial" w:hAnsi="Arial"/>
          <w:sz w:val="17"/>
          <w:szCs w:val="17"/>
          <w:color w:val="auto"/>
        </w:rPr>
        <w:t>Ms. Galante has served as a Director of Ocwen since February 2016. She is currently the I. Donald Terner Distinguished Professor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Affordable Housing and Urban Policy, the Faculty Director of the Terner Center for Housing Innovation and Co-Chair of the Policy Advisory Board of the Fisher Center of Real Estate and Urban Economics at the University of California, Berkeley, which she joined as a faculty member in January 2015. Ms. Galante served in the Obama Administration as the Commissioner of the Federal Housing Administration (FHA) and as Assistant Secretary for Housing from July 2011 to October 2014 (Acting Assistant Secretary from July 2011 until confirmed by the U.S. Senate in December 2012), and as Deputy Assistant Secretary, Office of Multifamily Housing programs from May 2009 to July 2011. From 1996 to 2009, Ms. Galante was President and Chief Executive Officer of BRIDGE Housing Corporation, a non-profit developer of affordable, mixed-income and mixed-use developments in California. From 1987 to 1996, Ms. Galante was Executive Vice President of BRIDGE Housing Corporation. Ms. Galante has a Bachelor of Arts from Ohio Wesleyan University and a Master of City and Regional Planning from the University of California, Berkeley.</w:t>
      </w:r>
    </w:p>
    <w:p>
      <w:pPr>
        <w:spacing w:after="0" w:line="1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Ms. Galante was selected to serve on our Board because of her extensive knowledge of the housing industry as an academic, senior government official and officer of a non-profit developer. With her broad range of experience, Ms. Galante is able to offer valuable perspectives on the issues facing our business and industry.</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Robert J. Lipstein. </w:t>
      </w:r>
      <w:r>
        <w:rPr>
          <w:rFonts w:ascii="Arial" w:cs="Arial" w:eastAsia="Arial" w:hAnsi="Arial"/>
          <w:sz w:val="17"/>
          <w:szCs w:val="17"/>
          <w:color w:val="auto"/>
        </w:rPr>
        <w:t>Mr. Lipstein has served as a Director of Ocwen since March 2017. Mr. Lipstein was formerly a partner with KPMG LLP and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IT Partner in Charge of Business Services from 2014 to 2016 and as an Advisory Business Unit Partner in Charge for its Mid-Atlantic Region from 2009 to 2014. His career at KPMG LLP began in 1977. In January 2017, he became a director at CrossCountry Consulting, a privately-held consulting firm that focuses on corporate advisory services. Since January 2013, he has served as an Advisory Board Member of the Weinberg Center for Corporate Governance at the University of Delaware. Mr. Lipstein has a Bachelor of Science in Accounting from the University of Delaware.</w:t>
      </w:r>
    </w:p>
    <w:p>
      <w:pPr>
        <w:spacing w:after="0" w:line="17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Mr. Lipstein was selected to serve on our Board of Directors because he brings over thirty years of diversified experience in various business roles, including leadership in audit, corporate governance, information technology and enterprise risk management. While serving in these leadership roles, Mr. Lipstein had the opportunity to gain relevant experience by counseling various companies in the financial services industry.</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Robert A. Salcetti. </w:t>
      </w:r>
      <w:r>
        <w:rPr>
          <w:rFonts w:ascii="Arial" w:cs="Arial" w:eastAsia="Arial" w:hAnsi="Arial"/>
          <w:sz w:val="18"/>
          <w:szCs w:val="18"/>
          <w:color w:val="auto"/>
        </w:rPr>
        <w:t>Mr. Salcetti has served as a Director of Ocwen since January 2011. Mr. Salcetti previously served as a Managing Director at JPMorgan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Pittsburgh, Pennsylvania. Mr. Salcetti has served on the Board of Directors of Dynex Capital Inc., a publicly traded real estate investment trust, since December 2013 where he serves on the Audit and Compensation Committees. Mr. Salcetti served on the Board of Directors of Cherry Hill Mortgage Investment Corporation, a publicly traded residential real estate finance company, from October 2013 to June 2015 where he served as a member of the Audit, Compensation and Nomination/Governance Committees.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Mr. Salcetti was selected to serve as a member of our Board of Directors because he brings over thirty-five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DeForest B. Soaries Jr. </w:t>
      </w:r>
      <w:r>
        <w:rPr>
          <w:rFonts w:ascii="Arial" w:cs="Arial" w:eastAsia="Arial" w:hAnsi="Arial"/>
          <w:sz w:val="18"/>
          <w:szCs w:val="18"/>
          <w:color w:val="auto"/>
        </w:rPr>
        <w:t>Dr. Soaries has served as a Director of Ocwen since January 2015. Dr. Soaries has served as Senior Pastor of First Baptist Church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Lincoln Gardens since 1990. He formerly served as New Jersey Secretary of State from 1999 to 2002 and as Chair of the United States Election Assistance Commission from 2004 to 2005. Dr. Soaries was a director of New Era Bank from 1996 to 1998. He currently serves as an independent director at Independence Realty Trust, a publicly traded real estate investment trust, a position he has held since February 2011 and is Chair of the Compensation Committee. Dr. Soaries has also served as an independent director of the Federal Home Loan Bank of New York since January 2009, where he is Vice Chair of the Compensation and Human Resources Committee and also serves as a member of the Technology Committee and the Housing Committee. Dr. Soaries earned a Bachelor of Arts from Fordham University, a Master of Divinity from Princeton Theological Seminary and a Doctor of Ministry from United Theological Seminary.</w:t>
      </w:r>
    </w:p>
    <w:p>
      <w:pPr>
        <w:spacing w:after="0" w:line="19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and special meetings of the shareholders of the Company, and meetings of the Board and Committees of which he or she is a member.</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Board of Directors held 24 meetings and acted by unanimous written consent three times in 2017. Each incumbent director attended at least 75% of the aggregate of these meetings and all meetings held by all committees of our Board of Directors on which he or she served during 2017. Directors are expected to attend the annual meeting of shareholders and a director who is unable to attend a meeting is expected to notify the Company Secretary in advance of such meeting. Our 2017 Annual Meeting of Shareholders was attended by all directors in office on the date thereof.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determined that each of Mses. Caldwell and Galante and Messrs. Bowers, Busquet, Lipstein and Salcetti and Dr. Soaries are independent directors. Mr. Faris, who is retiring as a Director at the Annual Meeting, is not independent due to serving as Ocwen’s President and Chief Executive Officer. In addition, our Board of Directors previously determined that Mr. Ronald J. Korn was an independent director during his service as a director through May 22,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Corporate Governance Guidelines and Nomination/Governance Committee Charter provide that the Nomination/Governance Committee will oversee an annual self-assessment of the performance of the Board of Directors as a whole, performance of each individual director, as well as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2017 performance self-assessments were conducted in the first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 The Board of Directors currently believes that separating the positions of Chief Executive Officer and Chair is the best structure to fit the Company’s needs. As our President and Chief Executive Officer, Mr. Faris is responsible for our day-to-day operations and for formulating and executing our long-term strategies in collaboration with the Board of Directors until his retirement. As Chair of the Board, Ms. Caldwell leads the Board of Directors and oversees Board meetings and the delivery of information necessary for the Board’s informed decision-making.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Board of Directors has the following standing committees: an Audit Committee, a Compensation Committee, a Nomination/Governance Committee, a Risk and Compliance Committee, and an Executive Committee. The table below lists the current members of each of these committees. A brief description of each committee is provided below the table.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80"/>
        </w:trPr>
        <w:tc>
          <w:tcPr>
            <w:tcW w:w="2040" w:type="dxa"/>
            <w:vAlign w:val="bottom"/>
            <w:tcBorders>
              <w:top w:val="single" w:sz="8" w:color="auto"/>
              <w:left w:val="single" w:sz="8" w:color="auto"/>
              <w:right w:val="single" w:sz="8" w:color="auto"/>
            </w:tcBorders>
            <w:shd w:val="clear" w:color="auto" w:fill="C0C0C0"/>
          </w:tcPr>
          <w:p>
            <w:pPr>
              <w:spacing w:after="0"/>
              <w:rPr>
                <w:sz w:val="15"/>
                <w:szCs w:val="15"/>
                <w:color w:val="auto"/>
              </w:rPr>
            </w:pPr>
          </w:p>
        </w:tc>
        <w:tc>
          <w:tcPr>
            <w:tcW w:w="640" w:type="dxa"/>
            <w:vAlign w:val="bottom"/>
            <w:tcBorders>
              <w:top w:val="single" w:sz="8" w:color="auto"/>
              <w:right w:val="single" w:sz="8" w:color="auto"/>
            </w:tcBorders>
            <w:shd w:val="clear" w:color="auto" w:fill="C0C0C0"/>
          </w:tcPr>
          <w:p>
            <w:pPr>
              <w:spacing w:after="0"/>
              <w:rPr>
                <w:sz w:val="15"/>
                <w:szCs w:val="15"/>
                <w:color w:val="auto"/>
              </w:rPr>
            </w:pPr>
          </w:p>
        </w:tc>
        <w:tc>
          <w:tcPr>
            <w:tcW w:w="82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10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Audit</w:t>
            </w:r>
          </w:p>
        </w:tc>
        <w:tc>
          <w:tcPr>
            <w:tcW w:w="126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1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Nomination/</w:t>
            </w:r>
          </w:p>
        </w:tc>
        <w:tc>
          <w:tcPr>
            <w:tcW w:w="11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Risk and</w:t>
            </w:r>
          </w:p>
        </w:tc>
        <w:tc>
          <w:tcPr>
            <w:tcW w:w="108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vMerge w:val="restart"/>
            <w:shd w:val="clear" w:color="auto" w:fill="C0C0C0"/>
          </w:tcPr>
          <w:p>
            <w:pPr>
              <w:ind w:left="40"/>
              <w:spacing w:after="0"/>
              <w:rPr>
                <w:sz w:val="20"/>
                <w:szCs w:val="20"/>
                <w:color w:val="auto"/>
              </w:rPr>
            </w:pPr>
            <w:r>
              <w:rPr>
                <w:rFonts w:ascii="Arial" w:cs="Arial" w:eastAsia="Arial" w:hAnsi="Arial"/>
                <w:sz w:val="14"/>
                <w:szCs w:val="14"/>
                <w:b w:val="1"/>
                <w:bCs w:val="1"/>
                <w:color w:val="auto"/>
              </w:rPr>
              <w:t>Name</w:t>
            </w:r>
          </w:p>
        </w:tc>
        <w:tc>
          <w:tcPr>
            <w:tcW w:w="6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Age</w:t>
            </w:r>
            <w:r>
              <w:rPr>
                <w:rFonts w:ascii="Arial" w:cs="Arial" w:eastAsia="Arial" w:hAnsi="Arial"/>
                <w:sz w:val="8"/>
                <w:szCs w:val="8"/>
                <w:color w:val="auto"/>
                <w:w w:val="93"/>
              </w:rPr>
              <w:t>(1)</w:t>
            </w:r>
          </w:p>
        </w:tc>
        <w:tc>
          <w:tcPr>
            <w:tcW w:w="820" w:type="dxa"/>
            <w:vAlign w:val="bottom"/>
            <w:tcBorders>
              <w:right w:val="single" w:sz="8" w:color="auto"/>
            </w:tcBorders>
            <w:vMerge w:val="continue"/>
            <w:shd w:val="clear" w:color="auto" w:fill="C0C0C0"/>
          </w:tcPr>
          <w:p>
            <w:pPr>
              <w:spacing w:after="0"/>
              <w:rPr>
                <w:sz w:val="12"/>
                <w:szCs w:val="12"/>
                <w:color w:val="auto"/>
              </w:rPr>
            </w:pPr>
          </w:p>
        </w:tc>
        <w:tc>
          <w:tcPr>
            <w:tcW w:w="1100" w:type="dxa"/>
            <w:vAlign w:val="bottom"/>
            <w:tcBorders>
              <w:right w:val="single" w:sz="8" w:color="auto"/>
            </w:tcBorders>
            <w:vMerge w:val="continue"/>
            <w:shd w:val="clear" w:color="auto" w:fill="C0C0C0"/>
          </w:tcPr>
          <w:p>
            <w:pPr>
              <w:spacing w:after="0"/>
              <w:rPr>
                <w:sz w:val="12"/>
                <w:szCs w:val="12"/>
                <w:color w:val="auto"/>
              </w:rPr>
            </w:pPr>
          </w:p>
        </w:tc>
        <w:tc>
          <w:tcPr>
            <w:tcW w:w="1260" w:type="dxa"/>
            <w:vAlign w:val="bottom"/>
            <w:tcBorders>
              <w:right w:val="single" w:sz="8" w:color="auto"/>
            </w:tcBorders>
            <w:vMerge w:val="continue"/>
            <w:shd w:val="clear" w:color="auto" w:fill="C0C0C0"/>
          </w:tcPr>
          <w:p>
            <w:pPr>
              <w:spacing w:after="0"/>
              <w:rPr>
                <w:sz w:val="12"/>
                <w:szCs w:val="12"/>
                <w:color w:val="auto"/>
              </w:rPr>
            </w:pPr>
          </w:p>
        </w:tc>
        <w:tc>
          <w:tcPr>
            <w:tcW w:w="11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1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Compliance</w:t>
            </w:r>
          </w:p>
        </w:tc>
        <w:tc>
          <w:tcPr>
            <w:tcW w:w="1080" w:type="dxa"/>
            <w:vAlign w:val="bottom"/>
            <w:tcBorders>
              <w:right w:val="single" w:sz="8" w:color="auto"/>
            </w:tcBorders>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64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8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Since</w:t>
            </w:r>
          </w:p>
        </w:tc>
        <w:tc>
          <w:tcPr>
            <w:tcW w:w="11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0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70"/>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0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31"/>
                <w:szCs w:val="31"/>
                <w:color w:val="auto"/>
                <w:w w:val="98"/>
                <w:vertAlign w:val="subscript"/>
              </w:rPr>
              <w:t>X</w:t>
            </w:r>
            <w:r>
              <w:rPr>
                <w:rFonts w:ascii="Arial" w:cs="Arial" w:eastAsia="Arial" w:hAnsi="Arial"/>
                <w:sz w:val="12"/>
                <w:szCs w:val="12"/>
                <w:color w:val="auto"/>
                <w:w w:val="98"/>
              </w:rPr>
              <w:t>(2)</w:t>
            </w:r>
          </w:p>
        </w:tc>
        <w:tc>
          <w:tcPr>
            <w:tcW w:w="126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69</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10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0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2"/>
                <w:vertAlign w:val="subscript"/>
              </w:rPr>
              <w:t>X</w:t>
            </w:r>
            <w:r>
              <w:rPr>
                <w:rFonts w:ascii="Arial" w:cs="Arial" w:eastAsia="Arial" w:hAnsi="Arial"/>
                <w:sz w:val="12"/>
                <w:szCs w:val="12"/>
                <w:color w:val="auto"/>
                <w:w w:val="92"/>
              </w:rPr>
              <w:t>(2)</w:t>
            </w:r>
          </w:p>
        </w:tc>
        <w:tc>
          <w:tcPr>
            <w:tcW w:w="10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0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ind w:left="440"/>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64"/>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10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(3)</w:t>
            </w: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1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6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2"/>
                <w:vertAlign w:val="subscript"/>
              </w:rPr>
              <w:t>X</w:t>
            </w:r>
            <w:r>
              <w:rPr>
                <w:rFonts w:ascii="Arial" w:cs="Arial" w:eastAsia="Arial" w:hAnsi="Arial"/>
                <w:sz w:val="12"/>
                <w:szCs w:val="12"/>
                <w:color w:val="auto"/>
                <w:w w:val="92"/>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1"/>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0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00" w:type="dxa"/>
            <w:vAlign w:val="bottom"/>
            <w:tcBorders>
              <w:bottom w:val="single" w:sz="8" w:color="auto"/>
              <w:right w:val="single" w:sz="8" w:color="auto"/>
            </w:tcBorders>
          </w:tcPr>
          <w:p>
            <w:pPr>
              <w:spacing w:after="0"/>
              <w:rPr>
                <w:sz w:val="23"/>
                <w:szCs w:val="23"/>
                <w:color w:val="auto"/>
              </w:rPr>
            </w:pPr>
          </w:p>
        </w:tc>
        <w:tc>
          <w:tcPr>
            <w:tcW w:w="1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April 6, 2018</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Committee Chair (or Co-Chair)</w:t>
      </w:r>
    </w:p>
    <w:p>
      <w:pPr>
        <w:spacing w:after="0" w:line="2" w:lineRule="exact"/>
        <w:rPr>
          <w:rFonts w:ascii="Arial" w:cs="Arial" w:eastAsia="Arial" w:hAnsi="Arial"/>
          <w:sz w:val="24"/>
          <w:szCs w:val="24"/>
          <w:color w:val="auto"/>
          <w:vertAlign w:val="superscript"/>
        </w:rPr>
      </w:pPr>
    </w:p>
    <w:p>
      <w:pPr>
        <w:ind w:left="340" w:right="2580" w:hanging="332"/>
        <w:spacing w:after="0" w:line="219" w:lineRule="auto"/>
        <w:tabs>
          <w:tab w:leader="none" w:pos="208"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In connection with his retirement from our Board of Directors at the Annual Meeting, Mr. Faris will step down from the Executive Committee.</w:t>
      </w:r>
    </w:p>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public accounting firm, reviews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advises our Board of Directors with respect to matters involving accounting, auditing, financial reporting and internal control, among other things.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15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current members of the Audit Committee are Messrs. Bowers (Chair), Lipstein and Salcetti.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public companies.</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Audit Committee generally reviews its charter annually and occasionally reviews it more frequently. When circumstances require, the charter is amended and the revised version posted on our website. This Committee met 11 times in 2017.</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of our Board of Directors oversees our compensation and employee benefit plans and practices.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Committee also evaluates and makes recommendations to our Board of Directors for human resource and compensation matters relating to our executive officers. The Compensation Committee reviews and approves all executive compensation plans and any equity compensation plans that are not subject to shareholder approval. The Compensation Committee also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The Compensation Committee is also empowered to review our other compensation plans including the goals and objectives thereof and to recommend changes to these plans to our Board of Directors as well as to administer grants under the 2007 Equity Incentive Plan, under which no new awards may be granted but previously granted awards remain outstanding, and the 2017 Performance Incentive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0" w:right="239" w:bottom="1440" w:gutter="0" w:footer="0" w:header="0"/>
        </w:sectPr>
      </w:pPr>
    </w:p>
    <w:bookmarkStart w:id="11" w:name="page12"/>
    <w:bookmarkEnd w:id="11"/>
    <w:p>
      <w:pPr>
        <w:ind w:right="240"/>
        <w:spacing w:after="0" w:line="279" w:lineRule="auto"/>
        <w:rPr>
          <w:sz w:val="20"/>
          <w:szCs w:val="20"/>
          <w:color w:val="auto"/>
        </w:rPr>
      </w:pPr>
      <w:r>
        <w:rPr>
          <w:rFonts w:ascii="Arial" w:cs="Arial" w:eastAsia="Arial" w:hAnsi="Arial"/>
          <w:sz w:val="17"/>
          <w:szCs w:val="17"/>
          <w:color w:val="auto"/>
        </w:rPr>
        <w:t>The current members of the Compensation Committee are Dr. Soaries (Chair) and Messrs. Busquet and Lipstein.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Our Compensation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Compensation Committee generally reviews its charter annually and occasionally reviews it more frequently. When circumstances require, the charter is amended and the revised version posted on our website. This Committee met 11 times in 2017.</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Compensation Committee Interlocks and Insider Participation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Soaries and Messrs. Busquet and Lipstein served as members of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during 2017. In addition, our former director Ronald J. Korn served as a member of the Compensation Committee prior to his retirement from our Board in May 2017. None of such members were, at any time during the 2017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2017 fiscal year. No member of the Compensation Committee had any relationship with us requiring disclosure under Item 404 of Securities and Exchange Commission Regulation S-K. See “Business Relationships and Related Party Transactions.”</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7" w:lineRule="exact"/>
        <w:rPr>
          <w:sz w:val="20"/>
          <w:szCs w:val="20"/>
          <w:color w:val="auto"/>
        </w:rPr>
      </w:pPr>
    </w:p>
    <w:p>
      <w:pPr>
        <w:ind w:right="1180"/>
        <w:spacing w:after="0" w:line="308" w:lineRule="auto"/>
        <w:rPr>
          <w:sz w:val="20"/>
          <w:szCs w:val="20"/>
          <w:color w:val="auto"/>
        </w:rPr>
      </w:pPr>
      <w:r>
        <w:rPr>
          <w:rFonts w:ascii="Arial" w:cs="Arial" w:eastAsia="Arial" w:hAnsi="Arial"/>
          <w:sz w:val="17"/>
          <w:szCs w:val="17"/>
          <w:color w:val="auto"/>
        </w:rPr>
        <w:t>The current members of the Nomination/Governance Committee are Ms. Caldwell (Chair), Ms. Galante and Dr. Soaries. Each member of our Nomination/Governance Committee is independent as defined in the listing standards of the New York Stock Exchange.</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Nomination/Governance Committee generally reviews its charter annually and occasionally reviews it more frequently. When circumstances require, the charter is amended and the revised version posted on our website. This Committee met eight times in 2017.</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Risk and Compliance Committee. </w:t>
      </w:r>
      <w:r>
        <w:rPr>
          <w:rFonts w:ascii="Arial" w:cs="Arial" w:eastAsia="Arial" w:hAnsi="Arial"/>
          <w:sz w:val="18"/>
          <w:szCs w:val="18"/>
          <w:color w:val="auto"/>
        </w:rPr>
        <w:t>The Risk and Compliance Committee of our Board of Directors provides assistance to the Board of Directors with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identification of risks that could affect the ability of the Company to achieve its strategies and preserve its assets, (2) establishment of an enterprise risk management infrastructure to identify, measure, monitor and report on the risks the Company faces, (iii) establishment and oversight of our compliance function, including our compliance management system,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current members of the Risk and Compliance Committee are Messrs. Salcetti (Co-Chair), Busquet (Co-Chair), and Bowers and Ms. Galante, all of whom are independent directors as defined in the listing standards of the New York Stock Exchange.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to January 2018, we maintained a separate Risk Committee and Compliance Committee. In 2017, the Risk Committee met seven times and acted once by written consent, and the Compliance Committee met five times.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2018, following a review by the Nomination/Governance Committee which took into consideration, among other factors, best practices within the industry, the approach taken at other financial services companies and optimal reporting lines for Ocwen risk and compliance executives, the Board determined that more effective oversight of Ocwen’s risk and compliance functions could be achieved by combining the Risk Committee and the Compliance Committee into a single committee.</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Our Risk and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Risk and Compliance Committee will review its charter annually and may review it more frequently, as needed. When circumstances require, the charter will be amended and the revised version posted on our website.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12" w:name="page13"/>
    <w:bookmarkEnd w:id="12"/>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if necessary. The current members of the Executive Committee are Ms. Caldwell (Chair) and Messrs. Faris and Salcetti.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standing committees, the Board of Directors also had a Transactions Review Committee.</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Transactions Review Committee. </w:t>
      </w:r>
      <w:r>
        <w:rPr>
          <w:rFonts w:ascii="Arial" w:cs="Arial" w:eastAsia="Arial" w:hAnsi="Arial"/>
          <w:sz w:val="18"/>
          <w:szCs w:val="18"/>
          <w:color w:val="auto"/>
        </w:rPr>
        <w:t>The Transactions Review Committee of our Board of Directors was created by the Board upon recommendation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Nomination/Governance Committee to oversee and direct our management’s work in relation to the negotiation of our Agreement and Plan of Merger with PHH Corporation, which was announced in February 2018, and related business matters. The Board of Directors determined that it was appropriate to dissolve the Transactions Review Committee in April 2018.</w:t>
      </w:r>
    </w:p>
    <w:p>
      <w:pPr>
        <w:spacing w:after="0" w:line="18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Prior to its dissolution, the members of the Transactions Review Committee were Mr. Bowers (Chair), Mr. Salcetti and Ms. Galante, all of whom are independent directors as defined in the listing standards of the New York Stock Exchange. This Committee met five times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Committees.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Board of Directors has the authority to form additional standing or temporary committees, such as the Transactions Review Committee described above, and delegate appropriate authority to such committees if and when the Board determines that it is advisable to do so. In the past, such committees have also included a Special Litigation Committee authorized to evaluate and determine a response to shareholder demands.</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the Board may, from time to time, determine that a standing committee should be dissolved or re-organized in order to more efficiently serve the Company’s corporate governance needs. In March 2017, the Board dissolved our Independent Review Committee and re-allocated such committee’s responsibilities to the Risk Committee. As discussed above, in 2018, the Board determined that more effective oversight of Ocwen’s risk and compliance functions could be achieved by combining the Risk Committee and the Compliance Committee into a single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Nomination/Governance Committee periodically assesses the appropriate size and composition of the Board of Directors and considers whether any vacancies on the Board of Directors are anticipated. The Nomination/Governance Committee may consider the merits of potential director candidates as part such assessments.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5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Since January 1, 2015, the Nomination/Governance Committee has recommended, and the Board of Directors has appointed, six new independent directors, including two new independent directors appointed in 2016 and one new independent director appointed in 2017. Effective May 22, 2017, the size of our Board of Directors was fixed at eight, seven of whom are independent directors. As Ronald M. Faris is retiring from the Board of Directors at the Annual Meeting, our Board of Directors has fixed the number of directors at seven, effective at the commencement of the Annual Meeting.</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experience with the background of other members of our Board of Directors. We generally require that directors who have reached the age of 78 may not be nominated, although this requirement may be waived in particular cases at the discretion of the Board of Directors. We also consider the number of other boards on which a nominee sits. The Company’s general policy is to limit the number of other public company boards of directors upon which a director may sit to four.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ind w:right="1320"/>
        <w:spacing w:after="0" w:line="277" w:lineRule="auto"/>
        <w:rPr>
          <w:sz w:val="20"/>
          <w:szCs w:val="20"/>
          <w:color w:val="auto"/>
        </w:rPr>
      </w:pPr>
      <w:r>
        <w:rPr>
          <w:rFonts w:ascii="Arial" w:cs="Arial" w:eastAsia="Arial" w:hAnsi="Arial"/>
          <w:sz w:val="18"/>
          <w:szCs w:val="18"/>
          <w:color w:val="auto"/>
        </w:rPr>
        <w:t xml:space="preserve">Committee has no obligation to recommend such candidates. A copy of our Corporate Governance Guidelines is available on our website at </w:t>
      </w:r>
      <w:r>
        <w:rPr>
          <w:rFonts w:ascii="Arial" w:cs="Arial" w:eastAsia="Arial" w:hAnsi="Arial"/>
          <w:sz w:val="18"/>
          <w:szCs w:val="18"/>
          <w:u w:val="single" w:color="auto"/>
          <w:color w:val="auto"/>
        </w:rPr>
        <w:t>www.ocwen.com.</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you wish to recommend persons for consideration by our Nomination/Governance Committee as nominees for election to our Board of Directors, you may do so by writing to our Secretary at Ocwen Financial Corporation, 1661 Worthington Road, Suite 100, West Palm Beach, Florida 33409. You should provide each proposed nominee’s name, biographical data and qualifications, as well as a detailed explanation as to why such proposed nominee should be a director. Your recommendation should also include a written statement from the proposed nominee consenting to be named as a nominee and, if nominated and elected, to serve as a Director. Shareholders who desire to recommend director candidates for consideration by our Board of Directors in connection with the next annual meeting of shareholders should submit their written recommendation in the manner described and by the deadline set forth in Section 2.2 of our Bylaws, and as described further under “Submission of Shareholder Proposals for 2019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Short Sales, Hedging and Margin Accounts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Insider Trading Prevention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on a buy and hold basis, and to discourage active trading or short-term speculation.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recommends amendments to the Board of Directors for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also adopted a Clawback Policy as further described under “Clawback Policy” in the “Executive Compensation” section below.</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Ms. Caldwell chairs executive sessions of the full Board of Directors. Our non-management directors met in executive sessions of the full Board without management nine times in 2017. In addition, our Audit, Compensation, Nomination/Governance and Risk and Compliance Committees met in executive session at each regularly scheduled quarterly meeting and on other occasions when the members believed it was advisable to do so.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18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Communications received in writing are distributed to our Board of Directors or to individual directors, as the General Counsel and Secretary deems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also write to our Board of Directors through our website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One of our Board of Directors’ key responsibilities is the oversight of risk associated with the Company. Certain of these responsibilities have been delegated to specific Committees, in which case the Board oversees the work of the Committee. As discussed above, our Risk and Compliance Committee is responsible for reviewing the Company’s enterprise risk management framework, and regularly meets with the Chief Risk Officer to discuss risk exposures and mitigation plans. This Committee monitors the Company’s evaluation and management of risks, including regulatory compliance risks and cybersecurity risks, through reviews with management and it reviews and approves related party transactions. The Audit Committee monitors the Company’s financial risks through regular reviews of the Company’s financial activities with management and internal and external auditors. The Nomination/Governance Committee monitors the Company’s governance risk by regular review with management. The Compensation Committee monitors the Company’s compensation policies and related risks by regular reviews with management. The Board of Directors’ role in risk oversight is consistent with the Company’s leadership structure with the President and Chief Executive Officer and other members of senior management, including our Chief Risk Officer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our Chief Compliance Officer, having responsibility for assessing and managing the Company’s risk exposure, and the Board of Directors and its Committees providing oversight in connection with these efforts.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discloses compensation received for fiscal year 2017 by each member of our Board of Directors who was not employed by us or one of our subsidiaries and who served as a director during fiscal year 2017 (our “non-management directors”).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ACACAC"/>
          </w:tcPr>
          <w:p>
            <w:pPr>
              <w:spacing w:after="0"/>
              <w:rPr>
                <w:sz w:val="21"/>
                <w:szCs w:val="21"/>
                <w:color w:val="auto"/>
              </w:rPr>
            </w:pPr>
          </w:p>
        </w:tc>
        <w:tc>
          <w:tcPr>
            <w:tcW w:w="2280" w:type="dxa"/>
            <w:vAlign w:val="bottom"/>
            <w:tcBorders>
              <w:top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2280" w:type="dxa"/>
            <w:vAlign w:val="bottom"/>
            <w:tcBorders>
              <w:top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80" w:type="dxa"/>
            <w:vAlign w:val="bottom"/>
            <w:tcBorders>
              <w:top w:val="single" w:sz="8" w:color="auto"/>
              <w:right w:val="single" w:sz="8" w:color="auto"/>
            </w:tcBorders>
            <w:shd w:val="clear" w:color="auto" w:fill="ACACAC"/>
          </w:tcPr>
          <w:p>
            <w:pPr>
              <w:spacing w:after="0"/>
              <w:rPr>
                <w:sz w:val="21"/>
                <w:szCs w:val="21"/>
                <w:color w:val="auto"/>
              </w:rPr>
            </w:pPr>
          </w:p>
        </w:tc>
        <w:tc>
          <w:tcPr>
            <w:tcW w:w="2280" w:type="dxa"/>
            <w:vAlign w:val="bottom"/>
            <w:tcBorders>
              <w:top w:val="single" w:sz="8" w:color="auto"/>
              <w:right w:val="single" w:sz="8" w:color="auto"/>
            </w:tcBorders>
            <w:shd w:val="clear" w:color="auto" w:fill="ACACAC"/>
          </w:tcPr>
          <w:p>
            <w:pPr>
              <w:spacing w:after="0"/>
              <w:rPr>
                <w:sz w:val="21"/>
                <w:szCs w:val="21"/>
                <w:color w:val="auto"/>
              </w:rPr>
            </w:pPr>
          </w:p>
        </w:tc>
      </w:tr>
      <w:tr>
        <w:trPr>
          <w:trHeight w:val="216"/>
        </w:trPr>
        <w:tc>
          <w:tcPr>
            <w:tcW w:w="2320" w:type="dxa"/>
            <w:vAlign w:val="bottom"/>
            <w:tcBorders>
              <w:left w:val="single" w:sz="8" w:color="auto"/>
              <w:right w:val="single" w:sz="8" w:color="auto"/>
            </w:tcBorders>
            <w:shd w:val="clear" w:color="auto" w:fill="ACACAC"/>
          </w:tcPr>
          <w:p>
            <w:pPr>
              <w:spacing w:after="0"/>
              <w:rPr>
                <w:sz w:val="18"/>
                <w:szCs w:val="18"/>
                <w:color w:val="auto"/>
              </w:rPr>
            </w:pPr>
          </w:p>
        </w:tc>
        <w:tc>
          <w:tcPr>
            <w:tcW w:w="22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2"/>
              </w:rPr>
              <w:t>Or Paid in Cash</w:t>
            </w:r>
          </w:p>
        </w:tc>
        <w:tc>
          <w:tcPr>
            <w:tcW w:w="2280" w:type="dxa"/>
            <w:vAlign w:val="bottom"/>
            <w:tcBorders>
              <w:right w:val="single" w:sz="8" w:color="auto"/>
            </w:tcBorders>
            <w:shd w:val="clear" w:color="auto" w:fill="ACACAC"/>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Awards</w:t>
            </w:r>
            <w:r>
              <w:rPr>
                <w:rFonts w:ascii="Arial" w:cs="Arial" w:eastAsia="Arial" w:hAnsi="Arial"/>
                <w:sz w:val="11"/>
                <w:szCs w:val="11"/>
                <w:b w:val="1"/>
                <w:bCs w:val="1"/>
                <w:color w:val="auto"/>
              </w:rPr>
              <w:t>(1)(2)(3)</w:t>
            </w:r>
          </w:p>
        </w:tc>
        <w:tc>
          <w:tcPr>
            <w:tcW w:w="2280" w:type="dxa"/>
            <w:vAlign w:val="bottom"/>
            <w:tcBorders>
              <w:right w:val="single" w:sz="8" w:color="auto"/>
            </w:tcBorders>
            <w:shd w:val="clear" w:color="auto" w:fill="ACACAC"/>
          </w:tcPr>
          <w:p>
            <w:pPr>
              <w:spacing w:after="0"/>
              <w:rPr>
                <w:sz w:val="18"/>
                <w:szCs w:val="18"/>
                <w:color w:val="auto"/>
              </w:rPr>
            </w:pPr>
          </w:p>
        </w:tc>
        <w:tc>
          <w:tcPr>
            <w:tcW w:w="2280" w:type="dxa"/>
            <w:vAlign w:val="bottom"/>
            <w:tcBorders>
              <w:right w:val="single" w:sz="8" w:color="auto"/>
            </w:tcBorders>
            <w:shd w:val="clear" w:color="auto" w:fill="ACACAC"/>
          </w:tcPr>
          <w:p>
            <w:pPr>
              <w:ind w:left="920"/>
              <w:spacing w:after="0"/>
              <w:rPr>
                <w:sz w:val="20"/>
                <w:szCs w:val="20"/>
                <w:color w:val="auto"/>
              </w:rPr>
            </w:pPr>
            <w:r>
              <w:rPr>
                <w:rFonts w:ascii="Arial" w:cs="Arial" w:eastAsia="Arial" w:hAnsi="Arial"/>
                <w:sz w:val="18"/>
                <w:szCs w:val="18"/>
                <w:b w:val="1"/>
                <w:bCs w:val="1"/>
                <w:color w:val="auto"/>
              </w:rPr>
              <w:t>Total</w:t>
            </w:r>
          </w:p>
        </w:tc>
      </w:tr>
      <w:tr>
        <w:trPr>
          <w:trHeight w:val="261"/>
        </w:trPr>
        <w:tc>
          <w:tcPr>
            <w:tcW w:w="2320" w:type="dxa"/>
            <w:vAlign w:val="bottom"/>
            <w:tcBorders>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8"/>
                <w:szCs w:val="18"/>
                <w:b w:val="1"/>
                <w:bCs w:val="1"/>
                <w:color w:val="auto"/>
              </w:rPr>
              <w:t>Name</w:t>
            </w:r>
          </w:p>
        </w:tc>
        <w:tc>
          <w:tcPr>
            <w:tcW w:w="22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t>
            </w:r>
          </w:p>
        </w:tc>
        <w:tc>
          <w:tcPr>
            <w:tcW w:w="22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t>
            </w:r>
          </w:p>
        </w:tc>
        <w:tc>
          <w:tcPr>
            <w:tcW w:w="2280" w:type="dxa"/>
            <w:vAlign w:val="bottom"/>
            <w:tcBorders>
              <w:bottom w:val="single" w:sz="8" w:color="auto"/>
              <w:right w:val="single" w:sz="8" w:color="auto"/>
            </w:tcBorders>
            <w:shd w:val="clear" w:color="auto" w:fill="ACACAC"/>
          </w:tcPr>
          <w:p>
            <w:pPr>
              <w:ind w:left="80"/>
              <w:spacing w:after="0" w:line="262" w:lineRule="exact"/>
              <w:rPr>
                <w:sz w:val="20"/>
                <w:szCs w:val="20"/>
                <w:color w:val="auto"/>
              </w:rPr>
            </w:pPr>
            <w:r>
              <w:rPr>
                <w:rFonts w:ascii="Arial" w:cs="Arial" w:eastAsia="Arial" w:hAnsi="Arial"/>
                <w:sz w:val="18"/>
                <w:szCs w:val="18"/>
                <w:b w:val="1"/>
                <w:bCs w:val="1"/>
                <w:color w:val="auto"/>
                <w:w w:val="93"/>
              </w:rPr>
              <w:t xml:space="preserve">All Other Compensation </w:t>
            </w:r>
            <w:r>
              <w:rPr>
                <w:rFonts w:ascii="Arial" w:cs="Arial" w:eastAsia="Arial" w:hAnsi="Arial"/>
                <w:sz w:val="25"/>
                <w:szCs w:val="25"/>
                <w:b w:val="1"/>
                <w:bCs w:val="1"/>
                <w:color w:val="auto"/>
                <w:w w:val="93"/>
                <w:vertAlign w:val="superscript"/>
              </w:rPr>
              <w:t>(4)</w:t>
            </w:r>
          </w:p>
        </w:tc>
        <w:tc>
          <w:tcPr>
            <w:tcW w:w="22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212,649</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372,649</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174,679</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334,679</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150,092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310,092</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127,600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287,600</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64"/>
        </w:trPr>
        <w:tc>
          <w:tcPr>
            <w:tcW w:w="23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Ronald J. Korn </w:t>
            </w:r>
            <w:r>
              <w:rPr>
                <w:rFonts w:ascii="Arial" w:cs="Arial" w:eastAsia="Arial" w:hAnsi="Arial"/>
                <w:sz w:val="25"/>
                <w:szCs w:val="25"/>
                <w:color w:val="auto"/>
                <w:vertAlign w:val="superscript"/>
              </w:rPr>
              <w:t>(5)</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42,707</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102,707</w:t>
            </w: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108,187</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15,342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223,529</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165,457</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265,457</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153,040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253,040</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340" w:right="260" w:hanging="332"/>
        <w:spacing w:after="0" w:line="232"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 xml:space="preserve">Amounts reported for stock awards represent the aggregate grant date fair value of awards granted during fiscal 2017 under the 2017 Performance Incentive Plan (the “2017 Plan”) computed in accordance with Financial Accounting Standards Board </w:t>
      </w:r>
      <w:r>
        <w:rPr>
          <w:rFonts w:ascii="Arial" w:cs="Arial" w:eastAsia="Arial" w:hAnsi="Arial"/>
          <w:sz w:val="18"/>
          <w:szCs w:val="18"/>
          <w:color w:val="1F497D"/>
        </w:rPr>
        <w:t>(“</w:t>
      </w:r>
      <w:r>
        <w:rPr>
          <w:rFonts w:ascii="Arial" w:cs="Arial" w:eastAsia="Arial" w:hAnsi="Arial"/>
          <w:sz w:val="18"/>
          <w:szCs w:val="18"/>
          <w:color w:val="auto"/>
        </w:rPr>
        <w:t xml:space="preserve">FASB”) Accounting Standards Codification </w:t>
      </w:r>
      <w:r>
        <w:rPr>
          <w:rFonts w:ascii="Arial" w:cs="Arial" w:eastAsia="Arial" w:hAnsi="Arial"/>
          <w:sz w:val="18"/>
          <w:szCs w:val="18"/>
          <w:color w:val="1F497D"/>
        </w:rPr>
        <w:t>(“</w:t>
      </w:r>
      <w:r>
        <w:rPr>
          <w:rFonts w:ascii="Arial" w:cs="Arial" w:eastAsia="Arial" w:hAnsi="Arial"/>
          <w:sz w:val="18"/>
          <w:szCs w:val="18"/>
          <w:color w:val="000000"/>
        </w:rPr>
        <w:t>ASC”) Topic 718. We based the grant date fair value of stock awards on the closing price of our common stock on the New York Stock Exchange on</w:t>
      </w:r>
      <w:r>
        <w:rPr>
          <w:rFonts w:ascii="Arial" w:cs="Arial" w:eastAsia="Arial" w:hAnsi="Arial"/>
          <w:sz w:val="18"/>
          <w:szCs w:val="18"/>
          <w:color w:val="1F497D"/>
        </w:rPr>
        <w:t xml:space="preserve"> </w:t>
      </w:r>
      <w:r>
        <w:rPr>
          <w:rFonts w:ascii="Arial" w:cs="Arial" w:eastAsia="Arial" w:hAnsi="Arial"/>
          <w:sz w:val="18"/>
          <w:szCs w:val="18"/>
          <w:color w:val="000000"/>
        </w:rPr>
        <w:t>the date of grant of the awards.</w:t>
      </w:r>
    </w:p>
    <w:p>
      <w:pPr>
        <w:spacing w:after="0" w:line="202" w:lineRule="exact"/>
        <w:rPr>
          <w:rFonts w:ascii="Arial" w:cs="Arial" w:eastAsia="Arial" w:hAnsi="Arial"/>
          <w:sz w:val="25"/>
          <w:szCs w:val="25"/>
          <w:color w:val="auto"/>
          <w:vertAlign w:val="superscript"/>
        </w:rPr>
      </w:pPr>
    </w:p>
    <w:p>
      <w:pPr>
        <w:ind w:left="340" w:right="40" w:hanging="332"/>
        <w:spacing w:after="0" w:line="235"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On May 24, 2017, our non-management directors received equity awards under the 1996 Stock Plan for Directors, under which we granted equity awards prior to our adoption of the 2017 Plan, for their service for the 2017-2018 term. Each award had a grant date fair value totaling $100,000. Ms. Caldwell and Messrs. Bowers, Busquet, and Lipstein and Dr. Soaries each received 37,175 restricted shares of common stock. Ms. Galante and Mr. Salcetti each received 37,175 restricted share units as a result of their election to defer receipt of their equity compensation pursuant to the Deferral Plan for Directors as discussed below.</w:t>
      </w:r>
    </w:p>
    <w:p>
      <w:pPr>
        <w:spacing w:after="0" w:line="204" w:lineRule="exact"/>
        <w:rPr>
          <w:rFonts w:ascii="Arial" w:cs="Arial" w:eastAsia="Arial" w:hAnsi="Arial"/>
          <w:sz w:val="25"/>
          <w:szCs w:val="25"/>
          <w:color w:val="auto"/>
          <w:vertAlign w:val="superscript"/>
        </w:rPr>
      </w:pPr>
    </w:p>
    <w:p>
      <w:pPr>
        <w:ind w:left="340" w:right="480" w:hanging="332"/>
        <w:spacing w:after="0" w:line="227"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Our non-management directors have no shares subject to option awards or other equity awards outstanding as of December 31, 2017, other than the restricted share units issued to Directors deferring their equity compensation pursuant to the Deferral Plan for Directors.</w:t>
      </w:r>
    </w:p>
    <w:p>
      <w:pPr>
        <w:spacing w:after="0" w:line="202" w:lineRule="exact"/>
        <w:rPr>
          <w:rFonts w:ascii="Arial" w:cs="Arial" w:eastAsia="Arial" w:hAnsi="Arial"/>
          <w:sz w:val="24"/>
          <w:szCs w:val="24"/>
          <w:color w:val="auto"/>
          <w:vertAlign w:val="superscript"/>
        </w:rPr>
      </w:pPr>
    </w:p>
    <w:p>
      <w:pPr>
        <w:ind w:left="340" w:right="80" w:hanging="332"/>
        <w:spacing w:after="0" w:line="237"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 June 2017, each of our non-management directors who served during 2016 (which includes Mr. Korn and our present non-management directors other than Mr. Lipstein) received a cash payment of $60,000 in lieu of the vesting of restricted stock each director would have otherwise received for director service during the 2016-2017 term, as discussed in further detail in the “Equity Compensation” section below. Mr. Lipstein, who was appointed as a director effective March 17, 2017, received $15,342 for his service effective from the date of appointment through the unexpired portion of the 2016-2017 term. Because Mr. Salcetti and Dr. Soaries elected to defer their 2016 equity grant, each will receive the $60,000 cash payment in lieu of equity at the time their deferred 2016 equity award is delivered.</w:t>
      </w:r>
    </w:p>
    <w:p>
      <w:pPr>
        <w:spacing w:after="0" w:line="149"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Mr. Korn resigned as a director effective May 22,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Compensation Committee has the responsibility for determining the form and amount of compensation for our non-management directors. Mr. Faris, our management director, does not receive an annual retainer or any other compensation for his service on the Board of Directors. Non-management directors receive the following compensation for their services on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annual cash compensation to our non-management directors in quarterly installments (except as noted below):</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796" w:right="219" w:bottom="1440" w:gutter="0" w:footer="0" w:header="0"/>
        </w:sectPr>
      </w:pPr>
    </w:p>
    <w:bookmarkStart w:id="17" w:name="page18"/>
    <w:bookmarkEnd w:id="17"/>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retainer of $100,000;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$75,000 to the Chair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$30,000 to the Audit Committee, Compensation Committee, and Risk and Compliance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$15,000 to the Nomination/Governance Committee Chair;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additional $12,500 to all Audit Committee, Compensation Committee, and Risk and Compliance Committee members (other than the Chairs).</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Transactions Review Committee operated from August 2017 through April 2018. The Transactions Review Committee Chair received a single lump sum payment of $17,500 for the term of the committee’s work and its members received a single lump sum payment of $12,500.</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previously mentioned in the “Committees of the Board of Directors” section, the Special Litigation Committee was dissolved in March 2017 and the Independent Review Committee was dissolved in May 2017. When it operated, the Special Litigation Committee Chair received an annual fee of $20,000 and the Special Litigation Committee members received an annual fee of $12,500. When it operated, the Independent Review Committee Chair received an annual fee of $15,000 and the Independent Review Committee members received an annual fee of $7,500.</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our directors receive per-meeting fees of $1,000 per meeting for each meeting in excess of eight meetings of the Board of Directors a year. Similarly, each member of the Compensation Committee receives an additional $1,000 for attending each meeting of the Compensation Committee in excess of eight annually. Our other committee members are not compensated on a per-meeting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Prior to May 2017, under the 1996 Directors Plan, we provided our non-management directors an annual award of restricted shares of common stock for their service on our Board of Directors from the date of their election to the anniversary of the date of our previous year’s annual meeting of shareholders. The restricted shares were granted each year following the annual meeting of shareholders to each non-management director who was elected to the Board of Directors. The intended grant date fair value of the annual award for each non-management director was $100,000. Following the 2016 Annual Shareholder Meeting, there were insufficient shares of common stock available to cover the equity awards otherwise contemplated by the 1996 Directors Plan. In May 2016, our Compensation Committee approved the grant date value of the annual equity compensation for non-management directors at $40,000 for the grants in connection with the Company’s 2016 annual meeting. To make up the difference between the grant date value of those awards and the intended $100,000 value, the Compensation Committee approved that each non-management director would be paid $60,000 in cash when the restricted stock awarded in connection with the Company’s 2016 annual meeting vested in June 2017. The number of shares of common stock that were to be awarded was determined based on the average of the high and low prices of a share of common stock as reported on the New York Stock Exchange on the date of grant.</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non-management directors’ right to ownership in shares of restricted stock granted under the 1996 Directors Plan vested on the first day of the month immediately following the expiration of the restriction period (which begins on the grant date and continues through the last day of the grant year) for such shares if the director has attended an aggregate of at least seventy-five percent of all meetings of the Board of Directors and committees of which the director is a member during such period. In the event that the director has attended less than an aggregate of at least seventy-five percent of all such meetings, such director’s right to ownership will vest on a pro rata basis according to the director’s actual attendance percentage, with the remaining shares forfeited. Shares of restricted stock are not transferable, are subject to forfeiture during the restriction period and are subject to a mandatory holding period thereafter, subject in each case to certain exceptions.</w:t>
      </w:r>
    </w:p>
    <w:p>
      <w:pPr>
        <w:spacing w:after="0" w:line="18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May 2017 at our 2017 Annual Shareholder Meeting, our shareholders approved the 2017 Performance Incentive Plan (the “2017 Plan”). Under the 2017 Plan, following the 2017 Annual Shareholder Meeting, each non-management member of the Board of Directors was granted an equity award with a grant date fair value of $100,000, subject to the same attendance-related vesting requirements described above.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Equity awards were granted in the form of restricted shares, or if directors elected to defer their shares, the awards were granted in the form of restricted stock units payable following the applicable deferral period in stock.</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Following our 2018 Annual Shareholder Meeting, each non-management member of the Board of Directors will again be granted an equity award with a grant date fair value of $100,000, subject to their election to defer, as described further below.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director electing deferral must specify the payment date at the time of election for any share units credited as a result of that election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As previously announced, Mr. Faris will retire from our Board of Directors at the Annual Meeting, following which none of our executive officers will be serving on the Board of Directors. Our executive officers are appointed annually by our Board of Directors and generally serve at the discretion of our Board of Directors. There are no arrangements or understandings between us and any person for the appointment of any person as an executive officer except that, as disclosed in the Company’s current report on Form 8-K filed April 19, 2018, the Board of Directors has determined to appoint Glen Messina as the Company’s President and Chief Executive Officer effective upon the date of the Company’s planned merger with PHH Corporation. None of our directors and/or executive officers is related to any other director and/or executive officer of Ocwen or any of its subsidiaries by blood, marriage or adoption.</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0"/>
              </w:rPr>
              <w:t>Age</w:t>
            </w:r>
            <w:r>
              <w:rPr>
                <w:rFonts w:ascii="Arial" w:cs="Arial" w:eastAsia="Arial" w:hAnsi="Arial"/>
                <w:sz w:val="25"/>
                <w:szCs w:val="25"/>
                <w:b w:val="1"/>
                <w:bCs w:val="1"/>
                <w:color w:val="auto"/>
                <w:w w:val="80"/>
                <w:vertAlign w:val="superscript"/>
              </w:rPr>
              <w:t>(1)</w:t>
            </w:r>
          </w:p>
        </w:tc>
        <w:tc>
          <w:tcPr>
            <w:tcW w:w="7300" w:type="dxa"/>
            <w:vAlign w:val="bottom"/>
            <w:tcBorders>
              <w:top w:val="single" w:sz="8" w:color="auto"/>
              <w:bottom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5"/>
                <w:szCs w:val="25"/>
                <w:b w:val="1"/>
                <w:bCs w:val="1"/>
                <w:color w:val="auto"/>
                <w:vertAlign w:val="superscript"/>
              </w:rPr>
              <w:t>(1)</w:t>
            </w: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49</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40</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58</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Moenickheim</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53</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Risk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34"/>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bl>
    <w:p>
      <w:pPr>
        <w:spacing w:after="0" w:line="168"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All age and position information set forth herein is as of April 6, 2018.</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principal occupation for at least the last five years, as well as certain other biographical information, for each of our Executive Officers who is not a director are set forth below.</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Ronald M. Faris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Faris has served as a Director of Ocwen since May 2003. As previously announced, he will retire as a Director at our Annual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will continue to serve as President and Chief Executive Officer through June 30, 2018. He has served as the President of Ocwen since March 2001 and as Chief Executive Officer since October 2010. Mr. Faris 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Scott W. Anderson. </w:t>
      </w:r>
      <w:r>
        <w:rPr>
          <w:rFonts w:ascii="Arial" w:cs="Arial" w:eastAsia="Arial" w:hAnsi="Arial"/>
          <w:sz w:val="18"/>
          <w:szCs w:val="18"/>
          <w:color w:val="auto"/>
        </w:rPr>
        <w:t>Mr. Anderson has served as Executive Vice President and Chief Servicing Officer since 2009, and his career with Ocwen has spanned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Michael R. Bourque, Jr. </w:t>
      </w:r>
      <w:r>
        <w:rPr>
          <w:rFonts w:ascii="Arial" w:cs="Arial" w:eastAsia="Arial" w:hAnsi="Arial"/>
          <w:sz w:val="18"/>
          <w:szCs w:val="18"/>
          <w:color w:val="auto"/>
        </w:rPr>
        <w:t>Mr. Bourque has served as Executive Vice President and Chief Financial Officer since June 2014. Prior to joining Ocwen,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Bourque spent fifteen years in various financial leadership positions in the General Electric Company, spanning both GE's industrial businesses as well as GE Capital. Most recently, from 2013 to April 2014, Mr. Bourque served as Chief Financial Officer for GE Distributed Power, a business within GE Power &amp; Water. Prior to that he served in other CFO, financial planning and analysis and internal audit roles at General Electric. Mr. Bourque holds a Bachelor of Arts in Mathematics from the College of the Holy Cross in Worcester, Massachusetts, and a Master of Business Administration from The Wharton School of the University of Pennsylvania.</w:t>
      </w:r>
    </w:p>
    <w:p>
      <w:pPr>
        <w:spacing w:after="0" w:line="19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b w:val="1"/>
          <w:bCs w:val="1"/>
          <w:i w:val="1"/>
          <w:iCs w:val="1"/>
          <w:color w:val="auto"/>
        </w:rPr>
        <w:t>John V. Britti</w:t>
      </w:r>
      <w:r>
        <w:rPr>
          <w:rFonts w:ascii="Arial" w:cs="Arial" w:eastAsia="Arial" w:hAnsi="Arial"/>
          <w:sz w:val="16"/>
          <w:szCs w:val="16"/>
          <w:color w:val="auto"/>
        </w:rPr>
        <w:t>. Mr. Britti has served as Executive Vice President and Chief Investment Officer since June 2014. From September 2016 to February 2017,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the Interim Head of Risk Management. He previously served as Chief Financial Officer from March 2012 to June 2014 and Executive Vice President of Ocwen responsible for Finance and Business Development from January 2011 to March 2012. He has been with Ocwen since January 2011. Prior to joining Ocwen, Mr. Britti was Chief Operating Officer for mortgage insurer RMIC from 2005 to 2011. Mr. Britti held two positions at Freddie Mac</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796" w:right="219" w:bottom="1440" w:gutter="0" w:footer="0" w:header="0"/>
        </w:sectPr>
      </w:pPr>
    </w:p>
    <w:bookmarkStart w:id="20" w:name="page21"/>
    <w:bookmarkEnd w:id="20"/>
    <w:p>
      <w:pPr>
        <w:ind w:right="80"/>
        <w:spacing w:after="0" w:line="286" w:lineRule="auto"/>
        <w:rPr>
          <w:sz w:val="20"/>
          <w:szCs w:val="20"/>
          <w:color w:val="auto"/>
        </w:rPr>
      </w:pPr>
      <w:r>
        <w:rPr>
          <w:rFonts w:ascii="Arial" w:cs="Arial" w:eastAsia="Arial" w:hAnsi="Arial"/>
          <w:sz w:val="17"/>
          <w:szCs w:val="17"/>
          <w:color w:val="auto"/>
        </w:rPr>
        <w:t>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Catherine M. Dondzila</w:t>
      </w:r>
      <w:r>
        <w:rPr>
          <w:rFonts w:ascii="Arial" w:cs="Arial" w:eastAsia="Arial" w:hAnsi="Arial"/>
          <w:sz w:val="18"/>
          <w:szCs w:val="18"/>
          <w:color w:val="auto"/>
        </w:rPr>
        <w:t>. Ms. Dondzila has served as Senior Vice President and Chief Accounting Officer of Ocwen since March 2013.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 Ms. Dondzila held various positions at Residential Capital LLC, including Controller and Chief Accounting Officer, from 2007 to February 2013, and served as Senior Vice President, Business Area Controller and Finance Transformation at Federal Home Loan Mortgage Corporation from 2004 to 2006, as Senior Managing Director, Business Unit Controller Fixed Income Sales and Trading at Bear Sterns &amp; Co., Inc. from 1992 to 2004 and as Senior Manager at Deloitte &amp; Touche from 1984 to 1991. Ms. Dondzila graduated from Washington University, St. Louis, with a Bachelor of Science in Business Administration with concentrations in Accounting and Finance.</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Timothy M. Hayes</w:t>
      </w:r>
      <w:r>
        <w:rPr>
          <w:rFonts w:ascii="Arial" w:cs="Arial" w:eastAsia="Arial" w:hAnsi="Arial"/>
          <w:sz w:val="17"/>
          <w:szCs w:val="17"/>
          <w:color w:val="auto"/>
        </w:rPr>
        <w:t>. Mr. Hayes has served as Executive Vice President and General Counsel of Ocwen since April 2013. Prior to this role, Mr. Hayes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Chief of Staff to the Chief Executive Officer of Homeward Residential, Inc., a subsidiary of Ocwen since June 2012. From January 2010 to November 2011, Mr. Hayes was Executive Vice President and General Counsel of the Financial Services Division of American International Group, Inc., and from July 2009 through January 2010 was General Counsel of American General Financial Services, Inc., a subsidiary of AIG. Mr. Hayes previously served as Executive Vice President and General Counsel of Citi Residential Lending, Inc., and predecessor companies from 2005 through 2008. Mr. Hayes previously served in other legal roles in the financial services industry. Mr. Hayes holds a Bachelor of Arts from the College of the Holy Cross and a Juris Doctor/Master of Business Administration from Southern Methodist University, and is a member of the State Bar of Texas.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Peter Moenickheim. </w:t>
      </w:r>
      <w:r>
        <w:rPr>
          <w:rFonts w:ascii="Arial" w:cs="Arial" w:eastAsia="Arial" w:hAnsi="Arial"/>
          <w:sz w:val="18"/>
          <w:szCs w:val="18"/>
          <w:color w:val="auto"/>
        </w:rPr>
        <w:t>Mr. Moenickheim has served as Executive Vice President and Chief Risk Officer since January 2017. From 2014 through 2016,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Moenickheim held positions with Santander Consumer, USA including Chief Operational Risk Officer and Chief Risk Officer. From 2009 to 2014, Mr. Moenickheim held various leadership positions with JPMorgan Chase &amp; Co., including the role of Chief Control Officer for their global consumer operations. Prior to that he served as Chief Risk Officer for ThinkCash, as well as the Nationwide Bank, a subsidiary of Nationwide Insurance. He holds a Bachelor of Arts in Economics from Princeton University.</w:t>
      </w:r>
    </w:p>
    <w:p>
      <w:pPr>
        <w:spacing w:after="0" w:line="188"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b w:val="1"/>
          <w:bCs w:val="1"/>
          <w:i w:val="1"/>
          <w:iCs w:val="1"/>
          <w:color w:val="auto"/>
        </w:rPr>
        <w:t>Arthur C. Walker, Jr</w:t>
      </w:r>
      <w:r>
        <w:rPr>
          <w:rFonts w:ascii="Arial" w:cs="Arial" w:eastAsia="Arial" w:hAnsi="Arial"/>
          <w:sz w:val="16"/>
          <w:szCs w:val="16"/>
          <w:color w:val="auto"/>
        </w:rPr>
        <w:t>. Mr. Walker serves as our Senior Vice President, Global Tax and has been with Ocwen since August 2013. In that capacity he leads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tax department functions for Ocwen. Mr. Walker has over nineteen years of tax experience advising public companies on domestic and international tax matters. Prior to joining Ocwen, Mr. Walker was a tax partner with the law firm of Mayer Brown LLP and had been with Mayer Brown for fourteen years.</w:t>
      </w:r>
    </w:p>
    <w:p>
      <w:pPr>
        <w:ind w:right="20"/>
        <w:spacing w:after="0" w:line="281" w:lineRule="auto"/>
        <w:rPr>
          <w:sz w:val="20"/>
          <w:szCs w:val="20"/>
          <w:color w:val="auto"/>
        </w:rPr>
      </w:pPr>
      <w:r>
        <w:rPr>
          <w:rFonts w:ascii="Arial" w:cs="Arial" w:eastAsia="Arial" w:hAnsi="Arial"/>
          <w:sz w:val="16"/>
          <w:szCs w:val="16"/>
          <w:color w:val="auto"/>
        </w:rPr>
        <w:t>Mr. Walker has advised companies in many different industries throughout his career including technology, software, service provider, pharmaceutical, financial services, transportation, healthcare, and manufacturing. His tax practice experience has included planning, intercompany transfer pricing, structuring</w:t>
      </w:r>
    </w:p>
    <w:p>
      <w:pPr>
        <w:spacing w:after="0" w:line="1" w:lineRule="exact"/>
        <w:rPr>
          <w:sz w:val="20"/>
          <w:szCs w:val="20"/>
          <w:color w:val="auto"/>
        </w:rPr>
      </w:pPr>
    </w:p>
    <w:p>
      <w:pPr>
        <w:ind w:right="40" w:firstLine="8"/>
        <w:spacing w:after="0" w:line="277" w:lineRule="auto"/>
        <w:tabs>
          <w:tab w:leader="none" w:pos="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restructuring of business operations, offshore intangibles, contract manufacturing, cross-border financing, mergers and acquisitions, legislation, private letter rulings, examinations and administrative appeals. Mr. Walker holds a Bachelor of Science in Business Administration from Georgetown University’s McDonough School of Business and a Juris Doctor and Master of Laws in Taxation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Corporate Headquarters at 1661 Worthington Road, Suite 100, West Palm Beach, Florida 33409.</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133,912,425 shares of our common stock outstanding as of April 16, 2018, unless otherwise noted.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796" w:right="27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304"/>
        </w:trPr>
        <w:tc>
          <w:tcPr>
            <w:tcW w:w="6920" w:type="dxa"/>
            <w:vAlign w:val="bottom"/>
            <w:tcBorders>
              <w:top w:val="single" w:sz="8" w:color="auto"/>
              <w:left w:val="single" w:sz="8" w:color="auto"/>
              <w:bottom w:val="single" w:sz="8" w:color="auto"/>
              <w:right w:val="single" w:sz="8" w:color="C0C0C0"/>
            </w:tcBorders>
            <w:shd w:val="clear" w:color="auto" w:fill="C0C0C0"/>
          </w:tcPr>
          <w:p>
            <w:pPr>
              <w:ind w:left="4640"/>
              <w:spacing w:after="0"/>
              <w:rPr>
                <w:sz w:val="20"/>
                <w:szCs w:val="20"/>
                <w:color w:val="auto"/>
              </w:rPr>
            </w:pPr>
            <w:r>
              <w:rPr>
                <w:rFonts w:ascii="Arial" w:cs="Arial" w:eastAsia="Arial" w:hAnsi="Arial"/>
                <w:sz w:val="18"/>
                <w:szCs w:val="18"/>
                <w:b w:val="1"/>
                <w:bCs w:val="1"/>
                <w:color w:val="auto"/>
                <w:w w:val="91"/>
              </w:rPr>
              <w:t>Shares Beneficially Owned</w:t>
            </w:r>
            <w:r>
              <w:rPr>
                <w:rFonts w:ascii="Arial" w:cs="Arial" w:eastAsia="Arial" w:hAnsi="Arial"/>
                <w:sz w:val="18"/>
                <w:szCs w:val="18"/>
                <w:color w:val="auto"/>
                <w:w w:val="91"/>
                <w:vertAlign w:val="superscript"/>
              </w:rPr>
              <w:t>(1)</w:t>
            </w:r>
          </w:p>
        </w:tc>
        <w:tc>
          <w:tcPr>
            <w:tcW w:w="226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r>
      <w:tr>
        <w:trPr>
          <w:trHeight w:val="225"/>
        </w:trPr>
        <w:tc>
          <w:tcPr>
            <w:tcW w:w="692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 of Beneficial</w:t>
            </w:r>
          </w:p>
        </w:tc>
        <w:tc>
          <w:tcPr>
            <w:tcW w:w="2260" w:type="dxa"/>
            <w:vAlign w:val="bottom"/>
            <w:tcBorders>
              <w:right w:val="single" w:sz="8" w:color="auto"/>
            </w:tcBorders>
          </w:tcPr>
          <w:p>
            <w:pPr>
              <w:spacing w:after="0"/>
              <w:rPr>
                <w:sz w:val="19"/>
                <w:szCs w:val="19"/>
                <w:color w:val="auto"/>
              </w:rPr>
            </w:pPr>
          </w:p>
        </w:tc>
      </w:tr>
      <w:tr>
        <w:trPr>
          <w:trHeight w:val="234"/>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26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Ownership</w:t>
            </w:r>
          </w:p>
        </w:tc>
        <w:tc>
          <w:tcPr>
            <w:tcW w:w="22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Percent of Class</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9"/>
        </w:trPr>
        <w:tc>
          <w:tcPr>
            <w:tcW w:w="692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18"/>
                <w:szCs w:val="18"/>
                <w:color w:val="auto"/>
              </w:rPr>
              <w:t xml:space="preserve">Leon G. Cooperman </w:t>
            </w:r>
            <w:r>
              <w:rPr>
                <w:rFonts w:ascii="Arial" w:cs="Arial" w:eastAsia="Arial" w:hAnsi="Arial"/>
                <w:sz w:val="25"/>
                <w:szCs w:val="25"/>
                <w:color w:val="auto"/>
                <w:vertAlign w:val="superscript"/>
              </w:rPr>
              <w:t>(2)</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 Andrew’s Country Club</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7118 Melrose Castle Lane</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15,924,184</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Boca Raton, FL 33428</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43"/>
        </w:trPr>
        <w:tc>
          <w:tcPr>
            <w:tcW w:w="692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D. John Devaney</w:t>
            </w:r>
            <w:r>
              <w:rPr>
                <w:rFonts w:ascii="Arial" w:cs="Arial" w:eastAsia="Arial" w:hAnsi="Arial"/>
                <w:sz w:val="25"/>
                <w:szCs w:val="25"/>
                <w:color w:val="auto"/>
                <w:vertAlign w:val="superscript"/>
              </w:rPr>
              <w:t>(3)</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240 Crandon Boulevard, Suite 167</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12,951,161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 Biscayne, FL 33149</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5"/>
                <w:szCs w:val="25"/>
                <w:color w:val="auto"/>
                <w:vertAlign w:val="superscript"/>
              </w:rPr>
              <w:t>(4)</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1195 Bangtail Way</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12,691,147</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Steamboat Springs, CO 80487</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(5)</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 Box 25437</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10,340,361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Christiansted, VI 00824</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The Vanguard Group</w:t>
            </w:r>
            <w:r>
              <w:rPr>
                <w:rFonts w:ascii="Arial" w:cs="Arial" w:eastAsia="Arial" w:hAnsi="Arial"/>
                <w:sz w:val="25"/>
                <w:szCs w:val="25"/>
                <w:color w:val="auto"/>
                <w:vertAlign w:val="superscript"/>
              </w:rPr>
              <w:t>(6)</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 Vanguard Boulevard</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8,215,331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Malvern, PA 19355</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(7)</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 East 52nd Street</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6,933,425</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10055</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98"/>
        </w:trPr>
        <w:tc>
          <w:tcPr>
            <w:tcW w:w="6920" w:type="dxa"/>
            <w:vAlign w:val="bottom"/>
            <w:tcBorders>
              <w:left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auto"/>
            </w:tcBorders>
            <w:shd w:val="clear" w:color="auto" w:fill="C0C0C0"/>
          </w:tcPr>
          <w:p>
            <w:pPr>
              <w:spacing w:after="0"/>
              <w:rPr>
                <w:sz w:val="24"/>
                <w:szCs w:val="24"/>
                <w:color w:val="auto"/>
              </w:rPr>
            </w:pPr>
          </w:p>
        </w:tc>
      </w:tr>
      <w:tr>
        <w:trPr>
          <w:trHeight w:val="243"/>
        </w:trPr>
        <w:tc>
          <w:tcPr>
            <w:tcW w:w="69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260" w:type="dxa"/>
            <w:vAlign w:val="bottom"/>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34"/>
        </w:trPr>
        <w:tc>
          <w:tcPr>
            <w:tcW w:w="6920" w:type="dxa"/>
            <w:vAlign w:val="bottom"/>
            <w:tcBorders>
              <w:left w:val="single" w:sz="8" w:color="auto"/>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70"/>
        </w:trPr>
        <w:tc>
          <w:tcPr>
            <w:tcW w:w="6920" w:type="dxa"/>
            <w:vAlign w:val="bottom"/>
            <w:tcBorders>
              <w:left w:val="single" w:sz="8" w:color="auto"/>
              <w:bottom w:val="single" w:sz="8" w:color="auto"/>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Scott W. Anderson</w:t>
            </w:r>
            <w:r>
              <w:rPr>
                <w:rFonts w:ascii="Arial" w:cs="Arial" w:eastAsia="Arial" w:hAnsi="Arial"/>
                <w:sz w:val="25"/>
                <w:szCs w:val="25"/>
                <w:color w:val="auto"/>
                <w:vertAlign w:val="superscript"/>
              </w:rPr>
              <w:t>(8)</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196,147</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(9)</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149,286</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66,943</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John V. Britti </w:t>
            </w:r>
            <w:r>
              <w:rPr>
                <w:rFonts w:ascii="Arial" w:cs="Arial" w:eastAsia="Arial" w:hAnsi="Arial"/>
                <w:sz w:val="25"/>
                <w:szCs w:val="25"/>
                <w:color w:val="auto"/>
                <w:vertAlign w:val="superscript"/>
              </w:rPr>
              <w:t>(10)</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211,010</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64,445</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69,316</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(11)</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1,930,488</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Carol J. Galante </w:t>
            </w:r>
            <w:r>
              <w:rPr>
                <w:rFonts w:ascii="Arial" w:cs="Arial" w:eastAsia="Arial" w:hAnsi="Arial"/>
                <w:sz w:val="25"/>
                <w:szCs w:val="25"/>
                <w:color w:val="auto"/>
                <w:vertAlign w:val="superscript"/>
              </w:rPr>
              <w:t>(12)</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25,544</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37,175</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Robert A. Salcetti</w:t>
            </w:r>
            <w:r>
              <w:rPr>
                <w:rFonts w:ascii="Arial" w:cs="Arial" w:eastAsia="Arial" w:hAnsi="Arial"/>
                <w:sz w:val="25"/>
                <w:szCs w:val="25"/>
                <w:color w:val="auto"/>
                <w:vertAlign w:val="superscript"/>
              </w:rPr>
              <w:t>(13)</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19,928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5"/>
                <w:szCs w:val="25"/>
                <w:color w:val="auto"/>
                <w:vertAlign w:val="superscript"/>
              </w:rPr>
              <w:t>(14)</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37,175</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Arthur C. Walker, Jr.</w:t>
            </w:r>
            <w:r>
              <w:rPr>
                <w:rFonts w:ascii="Arial" w:cs="Arial" w:eastAsia="Arial" w:hAnsi="Arial"/>
                <w:sz w:val="25"/>
                <w:szCs w:val="25"/>
                <w:color w:val="auto"/>
                <w:vertAlign w:val="superscript"/>
              </w:rPr>
              <w:t>(15)</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82,031</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1"/>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All Current Directors and Executive Officers as a Group (15 persons)</w:t>
            </w:r>
            <w:r>
              <w:rPr>
                <w:rFonts w:ascii="Arial" w:cs="Arial" w:eastAsia="Arial" w:hAnsi="Arial"/>
                <w:sz w:val="25"/>
                <w:szCs w:val="25"/>
                <w:color w:val="auto"/>
                <w:vertAlign w:val="superscript"/>
              </w:rPr>
              <w:t>(16)</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3,072,639</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   Less than 1%</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187" w:lineRule="exact"/>
        <w:rPr>
          <w:sz w:val="20"/>
          <w:szCs w:val="20"/>
          <w:color w:val="auto"/>
        </w:rPr>
      </w:pPr>
    </w:p>
    <w:p>
      <w:pPr>
        <w:ind w:left="340" w:right="100" w:hanging="332"/>
        <w:spacing w:after="0" w:line="245"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has the right to acquire within 60 days of April 16, 2018 such common stock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200" w:lineRule="exact"/>
        <w:rPr>
          <w:rFonts w:ascii="Arial" w:cs="Arial" w:eastAsia="Arial" w:hAnsi="Arial"/>
          <w:sz w:val="24"/>
          <w:szCs w:val="24"/>
          <w:color w:val="auto"/>
          <w:vertAlign w:val="superscript"/>
        </w:rPr>
      </w:pPr>
    </w:p>
    <w:p>
      <w:pPr>
        <w:ind w:left="340" w:right="20" w:hanging="332"/>
        <w:spacing w:after="0" w:line="250"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Based solely on information contained in a Form 4 filed with the Securities and Exchange Commission on March 2, 2018 reporting securities beneficially owned on such date. Includes 3,680,644 shares held in the account of Omega Capital Partners, LP, a private investment entity over which Mr. Cooperman has investment discretion, 2,171,039 shares held in the account of Omega Equity Investors, LP, a private investment entity over which Mr. Cooperman has investment discretion, 963,980 held in the account of Omega Capital Investors, LP, a private investment entity over which Mr. Cooperman has investment discretion, 1,750,666 held in the account of Omega Overseas Partners Ltd, a private</w:t>
      </w:r>
    </w:p>
    <w:p>
      <w:pPr>
        <w:sectPr>
          <w:pgSz w:w="11900" w:h="16838" w:orient="portrait"/>
          <w:cols w:equalWidth="0" w:num="1">
            <w:col w:w="11440"/>
          </w:cols>
          <w:pgMar w:left="240" w:top="714" w:right="219" w:bottom="1440" w:gutter="0" w:footer="0" w:header="0"/>
        </w:sect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714" w:right="219" w:bottom="1440" w:gutter="0" w:footer="0" w:header="0"/>
          <w:type w:val="continuous"/>
        </w:sectPr>
      </w:pPr>
    </w:p>
    <w:bookmarkStart w:id="23" w:name="page24"/>
    <w:bookmarkEnd w:id="23"/>
    <w:p>
      <w:pPr>
        <w:ind w:left="340" w:right="60"/>
        <w:spacing w:after="0" w:line="306" w:lineRule="auto"/>
        <w:rPr>
          <w:sz w:val="20"/>
          <w:szCs w:val="20"/>
          <w:color w:val="auto"/>
        </w:rPr>
      </w:pPr>
      <w:r>
        <w:rPr>
          <w:rFonts w:ascii="Arial" w:cs="Arial" w:eastAsia="Arial" w:hAnsi="Arial"/>
          <w:sz w:val="18"/>
          <w:szCs w:val="18"/>
          <w:color w:val="auto"/>
        </w:rPr>
        <w:t>investment entity over which Mr. Cooperman has investment discretion, 5,857,855 shares held in the account of Omega Credit Opportunities Master Fund L.P., a private investment entity over which Mr. Cooperman has investment discretion, and 500,000 shares held in the account of Mrs. Toby Cooperman over which Mr. Cooperman has investment discretion. Mr. Cooperman disclaims beneficial ownership of all of the foregoing securities. Also includes 1,000,000 shares held directly by Mr. Cooperman.</w:t>
      </w:r>
    </w:p>
    <w:p>
      <w:pPr>
        <w:spacing w:after="0" w:line="160" w:lineRule="exact"/>
        <w:rPr>
          <w:sz w:val="20"/>
          <w:szCs w:val="20"/>
          <w:color w:val="auto"/>
        </w:rPr>
      </w:pPr>
    </w:p>
    <w:p>
      <w:pPr>
        <w:ind w:left="340" w:hanging="332"/>
        <w:spacing w:after="0" w:line="25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8"/>
          <w:szCs w:val="18"/>
          <w:color w:val="auto"/>
        </w:rPr>
        <w:t>Based solely on information contained in a Schedule 13G/A filed with the Securities and Exchange Commission on February 1, 2018, reporting securities deemed to be beneficially owned as of December 31, 2017 by D. John Devaney, United Aviation Holdings, Inc. (“UAHI”), United Capital Markets Holding, Inc. (“UCMHI”), and United Real Estate Ventures, Inc. (“UREVI”). UCMHI is the beneficial owner of 5,109,991 shares indirectly through UAHI, a wholly-owned subsidiary of UCMHI. Mr. Devaney controls UAHI and UCMHI and therefore may be deemed to be the beneficial owner of the 8,133,108 shares owned directly and indirectly by UAHI and UCMHI. Mr. Devaney may also be deemed to be the beneficial owner of 5,109,991 shares controlled personally and through retirement accounts.</w:t>
      </w:r>
    </w:p>
    <w:p>
      <w:pPr>
        <w:spacing w:after="0" w:line="193" w:lineRule="exact"/>
        <w:rPr>
          <w:rFonts w:ascii="Arial" w:cs="Arial" w:eastAsia="Arial" w:hAnsi="Arial"/>
          <w:sz w:val="14"/>
          <w:szCs w:val="14"/>
          <w:color w:val="auto"/>
        </w:rPr>
      </w:pPr>
    </w:p>
    <w:p>
      <w:pPr>
        <w:ind w:left="340" w:hanging="332"/>
        <w:spacing w:after="0" w:line="257" w:lineRule="auto"/>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Based solely on information contained in a Schedule 13G/A filed with the Securities and Exchange Commission on February 14, 2018, reporting securities deemed to be beneficially owned as of December 31, 2017, by Deer Park Road Management Company, LP (“Deer Park”); Deer Park Road Management GP, LLC (“DPRM”); Deer Park Road Corporation (“DPRC”); Michael David Craig-Scheckman (“Mr. Craig-Scheckman”); AgateCreek LLC (“AgateCreek”); and Scott Edward Burg (“Mr. Burg”), each of which reports shared voting and dispositive power of 12,691,147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190" w:lineRule="exact"/>
        <w:rPr>
          <w:rFonts w:ascii="Arial" w:cs="Arial" w:eastAsia="Arial" w:hAnsi="Arial"/>
          <w:sz w:val="24"/>
          <w:szCs w:val="24"/>
          <w:color w:val="auto"/>
          <w:vertAlign w:val="superscript"/>
        </w:rPr>
      </w:pPr>
    </w:p>
    <w:p>
      <w:pPr>
        <w:ind w:left="340" w:right="40" w:hanging="332"/>
        <w:spacing w:after="0" w:line="285"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6"/>
          <w:szCs w:val="16"/>
          <w:color w:val="auto"/>
        </w:rPr>
        <w:t>Based solely on information contained in a Form 4 filed with the Securities and Exchange Commission on January 23, 2018 reporting securities beneficially owned as of January 19, 2018, includes the following: 69,805 shares held directly by Mr. Erbey, 5,849,704 shares held by Munus L.P., and 1,020,852 shares held by Tribue Limited Partnership. Mr. Erbey’s Schedule 13G filed with the Securities and Exchange Commission on February 14, 2018 reporting securities deemed to be beneficially owned as of December 31, 2017 reports the following: Munus, L.P. is a Georgia limited partnership (“Munus”), in which Elaine Erbey, Mr. Erbey’s spouse (“Mrs. Erbey”), has a 0.18% preferred limited partner interest; The Community Foundation of West Georgia, Inc., a Georgia nonprofit corporation, has a 89.64% preferred limited partner interest with no right to vote or control the assets of Munus; Erbey Holding Corporation, Inc., a Delaware corporation (“Erbey Holding”), has a 9% common limited partner interest; and Carisma Trust, a Nevada trust of which Venia, LLC, a Nevada limited liability company (“Venia”) is trustee, has a 1.0% general partner interest and a 0.18% preferred limited partner interest. Tribue Limited Partnership is a U.S. Virgin Islands limited partnership (“Tribue”), in which Mr. Erbey has a 0.1% general partner interest, and Salt Pond Holdings, LLC, a U.S. Virgin Islands limited liability company (“Salt Pond”), has a 90% preferred limited partner interest and a 9.9% common limited partner interest. The members of Salt Pond are Erbey Holding (19.3%), Christiansted Trust (56.2%), a U.S. Virgin Islands trust (the “C-Trust”), and Frederiksted Trust (24.5%), a U.S. Virgin Islands trust (the “F-Trust” and together with Mr. Erbey, Mrs. Erbey, Erbey Holding, Munus, Tribue, Salt Pond, the C-Trust, Carisma Trust and Venia, the “Reporting Persons”); Erbey Holding is wholly owned by Carisma Trust. The members of Venia are Mrs. Erbey, John Erbey (Mr. Erbey’s brother) and Andrew Burnett, although Mr. Erbey is given sole investment and voting control over any securities owned by Venia or Carisma Trust. Mr. Erbey, John Erbey, Mrs. Erbey and Salt Pond are co-trustees of the C-Trust, with Mr. Erbey and Salt Pond having authority over investment decisions of the C-Trust. Mr. Erbey, John Erbey, and Salt Pond are co-trustees of the F-Trust. Based solely on Mr. Erbey’s Schedule 13G filed with the Securities and Exchange Commission on February 14, 2018, also includes options to acquire 3,400,000 shares which are exercisable on or within 60 days from December 31, 2017.</w:t>
      </w:r>
    </w:p>
    <w:p>
      <w:pPr>
        <w:spacing w:after="0" w:line="118" w:lineRule="exact"/>
        <w:rPr>
          <w:rFonts w:ascii="Arial" w:cs="Arial" w:eastAsia="Arial" w:hAnsi="Arial"/>
          <w:sz w:val="13"/>
          <w:szCs w:val="13"/>
          <w:color w:val="auto"/>
        </w:rPr>
      </w:pPr>
    </w:p>
    <w:p>
      <w:pPr>
        <w:ind w:left="340" w:right="60" w:hanging="332"/>
        <w:spacing w:after="0" w:line="297" w:lineRule="auto"/>
        <w:tabs>
          <w:tab w:leader="none" w:pos="219" w:val="left"/>
        </w:tabs>
        <w:numPr>
          <w:ilvl w:val="0"/>
          <w:numId w:val="17"/>
        </w:numPr>
        <w:rPr>
          <w:rFonts w:ascii="Arial" w:cs="Arial" w:eastAsia="Arial" w:hAnsi="Arial"/>
          <w:sz w:val="13"/>
          <w:szCs w:val="13"/>
          <w:color w:val="auto"/>
        </w:rPr>
      </w:pPr>
      <w:r>
        <w:rPr>
          <w:rFonts w:ascii="Arial" w:cs="Arial" w:eastAsia="Arial" w:hAnsi="Arial"/>
          <w:sz w:val="16"/>
          <w:szCs w:val="16"/>
          <w:color w:val="auto"/>
        </w:rPr>
        <w:t>Based solely on information contained in a Schedule 13G/A filed with the Securities and Exchange Commission on February 9, 2018, reporting securities deemed to be beneficially owned as of December 31, 2017, by The Vanguard Group, Inc. Vanguard Fiduciary Trust Company (“VFTC”), a wholly-owned subsidiary of The Vanguard Group, Inc., is the beneficial owner of 114,246 shares as a result of its serving as investment manager of collective trust accounts. Vanguard Investments Australia, Ltd. (“VIA”), a wholly-owned subsidiary of The Vanguard Group, Inc., is the beneficial owner of 9,760 shares as a result of its serving as investment manager of Australian investment offerings. The Vanguard Group, Inc., has sole voting power over 119,446 shares, shared voting power over 4,560 shares, sole dispositive power over 8,096,525 shares and shared dispositive power over 118,806 shares.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4" w:name="page25"/>
    <w:bookmarkEnd w:id="24"/>
    <w:p>
      <w:pPr>
        <w:ind w:left="340" w:right="60" w:hanging="332"/>
        <w:spacing w:after="0" w:line="274" w:lineRule="auto"/>
        <w:tabs>
          <w:tab w:leader="none" w:pos="194"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13G/A filed with the Securities and Exchange Commission on January 23, 20187, reporting securities deemed to be beneficially owned as of December 31, 2017, by BlackRock, Inc. Pursuant to the Schedule 13G/A, BlackRock, Inc. has sole voting power of 6,672,804 shares and sole dispositive power of 6,933,425 shares and is reporting beneficial ownership of the shares as the parent holding company or control person of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and BlackRock Investment Management, LLC.</w:t>
      </w:r>
    </w:p>
    <w:p>
      <w:pPr>
        <w:spacing w:after="0" w:line="122"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63,954 shares which are exercisable on or within 60 days of April 16, 2018.</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68,329 shares which are exercisable on or within 60 days of April 16, 2018.</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124,579 shares which are exercisable on or within 60 days of April 16, 2018.</w:t>
      </w:r>
    </w:p>
    <w:p>
      <w:pPr>
        <w:spacing w:after="0" w:line="201" w:lineRule="exact"/>
        <w:rPr>
          <w:rFonts w:ascii="Arial" w:cs="Arial" w:eastAsia="Arial" w:hAnsi="Arial"/>
          <w:sz w:val="25"/>
          <w:szCs w:val="25"/>
          <w:color w:val="auto"/>
          <w:vertAlign w:val="superscript"/>
        </w:rPr>
      </w:pPr>
    </w:p>
    <w:p>
      <w:pPr>
        <w:ind w:left="340" w:right="18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1,240,000 shares which are exercisable on or within 60 days of April 16, 2018. Also includes 115,582 shares jointly held by Mr. and Mrs. Ronald M. Faris.</w:t>
      </w:r>
    </w:p>
    <w:p>
      <w:pPr>
        <w:spacing w:after="0" w:line="203" w:lineRule="exact"/>
        <w:rPr>
          <w:rFonts w:ascii="Arial" w:cs="Arial" w:eastAsia="Arial" w:hAnsi="Arial"/>
          <w:sz w:val="25"/>
          <w:szCs w:val="25"/>
          <w:color w:val="auto"/>
          <w:vertAlign w:val="superscript"/>
        </w:rPr>
      </w:pPr>
    </w:p>
    <w:p>
      <w:pPr>
        <w:ind w:left="340" w:right="50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Does not include 37,175 shares credited to Carol J. Galante pursuant to our Deferral Plan for Directors, which are not settleable until the six-month anniversary of the director’s termination of service.</w:t>
      </w:r>
    </w:p>
    <w:p>
      <w:pPr>
        <w:spacing w:after="0" w:line="203" w:lineRule="exact"/>
        <w:rPr>
          <w:rFonts w:ascii="Arial" w:cs="Arial" w:eastAsia="Arial" w:hAnsi="Arial"/>
          <w:sz w:val="25"/>
          <w:szCs w:val="25"/>
          <w:color w:val="auto"/>
          <w:vertAlign w:val="superscript"/>
        </w:rPr>
      </w:pPr>
    </w:p>
    <w:p>
      <w:pPr>
        <w:ind w:left="340" w:right="36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Does not include 57,076 shares credited to Robert A. Salcetti pursuant to our Deferral Plan for Directors, which are not settleable until the six-month anniversary of the director’s termination of service.</w:t>
      </w:r>
    </w:p>
    <w:p>
      <w:pPr>
        <w:spacing w:after="0" w:line="203" w:lineRule="exact"/>
        <w:rPr>
          <w:rFonts w:ascii="Arial" w:cs="Arial" w:eastAsia="Arial" w:hAnsi="Arial"/>
          <w:sz w:val="25"/>
          <w:szCs w:val="25"/>
          <w:color w:val="auto"/>
          <w:vertAlign w:val="superscript"/>
        </w:rPr>
      </w:pPr>
    </w:p>
    <w:p>
      <w:pPr>
        <w:ind w:left="340" w:right="220" w:hanging="332"/>
        <w:spacing w:after="0" w:line="227"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Does not include 32,141 shares credited to DeForest B. Soaries, Jr. pursuant to our Deferral Plan for Directors, of which 12,240 share are not settleable until the six-month anniversary of the director’s termination of service and 19,901 of which are not settleable until January 1, 2023.</w:t>
      </w:r>
    </w:p>
    <w:p>
      <w:pPr>
        <w:spacing w:after="0" w:line="145"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24,790 shares which are exercisable on or within 60 days of April 16, 2018.</w:t>
      </w:r>
    </w:p>
    <w:p>
      <w:pPr>
        <w:spacing w:after="0" w:line="201" w:lineRule="exact"/>
        <w:rPr>
          <w:rFonts w:ascii="Arial" w:cs="Arial" w:eastAsia="Arial" w:hAnsi="Arial"/>
          <w:sz w:val="25"/>
          <w:szCs w:val="25"/>
          <w:color w:val="auto"/>
          <w:vertAlign w:val="superscript"/>
        </w:rPr>
      </w:pPr>
    </w:p>
    <w:p>
      <w:pPr>
        <w:ind w:left="340" w:right="260" w:hanging="332"/>
        <w:spacing w:after="0" w:line="252"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Includes options to acquire 1,584,771 shares which are exercisable on or within 60 days of April 16, 2018. In addition to shares beneficially owned by Executive Officers listed in table, also includes shares beneficially owned by Catherine M. Dondzila, Timothy M. Hayes, and Peter Moenickheim.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certain information regarding the beneficial ownership of preferred stock of our subsidiary, Ocwen Mortgage Servicing, Inc. (“OMS” and such stock, “OMS Preferred Stock”), as of April 16, 2018 by (i) each of our directors and director nominees (ii) each named executive officer and (iii) all of our directors and current executive officers as a group. See “OMS Preferred Stock Plan” under “Compensation Discussion and Analysis” below for additional detail on OMS Preferred Stock.</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149225</wp:posOffset>
            </wp:positionH>
            <wp:positionV relativeFrom="page">
              <wp:posOffset>466090</wp:posOffset>
            </wp:positionV>
            <wp:extent cx="7075170" cy="3653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3653155"/>
                    </a:xfrm>
                    <a:prstGeom prst="rect">
                      <a:avLst/>
                    </a:prstGeom>
                    <a:noFill/>
                  </pic:spPr>
                </pic:pic>
              </a:graphicData>
            </a:graphic>
          </wp:anchor>
        </w:drawing>
        <w:t>Shares Beneficially Owned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0" w:type="dxa"/>
            <w:vAlign w:val="bottom"/>
            <w:tcBorders>
              <w:top w:val="single" w:sz="8" w:color="auto"/>
              <w:right w:val="single" w:sz="8" w:color="auto"/>
            </w:tcBorders>
          </w:tcPr>
          <w:p>
            <w:pPr>
              <w:spacing w:after="0"/>
              <w:rPr>
                <w:sz w:val="21"/>
                <w:szCs w:val="21"/>
                <w:color w:val="auto"/>
              </w:rPr>
            </w:pPr>
          </w:p>
        </w:tc>
        <w:tc>
          <w:tcPr>
            <w:tcW w:w="2220" w:type="dxa"/>
            <w:vAlign w:val="bottom"/>
            <w:tcBorders>
              <w:top w:val="single" w:sz="8" w:color="auto"/>
              <w:right w:val="single" w:sz="8" w:color="auto"/>
            </w:tcBorders>
          </w:tcPr>
          <w:p>
            <w:pPr>
              <w:spacing w:after="0"/>
              <w:rPr>
                <w:sz w:val="21"/>
                <w:szCs w:val="21"/>
                <w:color w:val="auto"/>
              </w:rPr>
            </w:pPr>
          </w:p>
        </w:tc>
        <w:tc>
          <w:tcPr>
            <w:tcW w:w="2780" w:type="dxa"/>
            <w:vAlign w:val="bottom"/>
            <w:tcBorders>
              <w:top w:val="single" w:sz="8" w:color="auto"/>
              <w:right w:val="single" w:sz="8" w:color="auto"/>
            </w:tcBorders>
          </w:tcPr>
          <w:p>
            <w:pPr>
              <w:spacing w:after="0"/>
              <w:rPr>
                <w:sz w:val="21"/>
                <w:szCs w:val="21"/>
                <w:color w:val="auto"/>
              </w:rPr>
            </w:pPr>
          </w:p>
        </w:tc>
        <w:tc>
          <w:tcPr>
            <w:tcW w:w="2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1"/>
              </w:rPr>
              <w:t>Percent of Class (as of April 16,</w:t>
            </w:r>
          </w:p>
        </w:tc>
      </w:tr>
      <w:tr>
        <w:trPr>
          <w:trHeight w:val="234"/>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Amount of Beneficial Ownership</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2018)</w:t>
            </w:r>
          </w:p>
        </w:tc>
      </w:tr>
      <w:tr>
        <w:trPr>
          <w:trHeight w:val="34"/>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I Preferred</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Class B Preferred</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2"/>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Current Directors and Executive Officers as</w:t>
            </w:r>
          </w:p>
        </w:tc>
        <w:tc>
          <w:tcPr>
            <w:tcW w:w="222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2540" w:type="dxa"/>
            <w:vAlign w:val="bottom"/>
          </w:tcPr>
          <w:p>
            <w:pPr>
              <w:spacing w:after="0"/>
              <w:rPr>
                <w:sz w:val="19"/>
                <w:szCs w:val="19"/>
                <w:color w:val="auto"/>
              </w:rPr>
            </w:pPr>
          </w:p>
        </w:tc>
      </w:tr>
      <w:tr>
        <w:trPr>
          <w:trHeight w:val="257"/>
        </w:trPr>
        <w:tc>
          <w:tcPr>
            <w:tcW w:w="3600" w:type="dxa"/>
            <w:vAlign w:val="bottom"/>
            <w:tcBorders>
              <w:bottom w:val="single" w:sz="8" w:color="auto"/>
              <w:right w:val="single" w:sz="8" w:color="auto"/>
            </w:tcBorders>
          </w:tcPr>
          <w:p>
            <w:pPr>
              <w:ind w:left="40"/>
              <w:spacing w:after="0" w:line="257" w:lineRule="exact"/>
              <w:rPr>
                <w:sz w:val="20"/>
                <w:szCs w:val="20"/>
                <w:color w:val="auto"/>
              </w:rPr>
            </w:pPr>
            <w:r>
              <w:rPr>
                <w:rFonts w:ascii="Arial" w:cs="Arial" w:eastAsia="Arial" w:hAnsi="Arial"/>
                <w:sz w:val="18"/>
                <w:szCs w:val="18"/>
                <w:color w:val="auto"/>
              </w:rPr>
              <w:t>a Group (15 persons)</w:t>
            </w:r>
            <w:r>
              <w:rPr>
                <w:rFonts w:ascii="Arial" w:cs="Arial" w:eastAsia="Arial" w:hAnsi="Arial"/>
                <w:sz w:val="25"/>
                <w:szCs w:val="25"/>
                <w:color w:val="auto"/>
                <w:vertAlign w:val="superscript"/>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Class D Preferred</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2"/>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Current Directors and Executive Officers as</w:t>
            </w:r>
          </w:p>
        </w:tc>
        <w:tc>
          <w:tcPr>
            <w:tcW w:w="222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2540" w:type="dxa"/>
            <w:vAlign w:val="bottom"/>
          </w:tcPr>
          <w:p>
            <w:pPr>
              <w:spacing w:after="0"/>
              <w:rPr>
                <w:sz w:val="19"/>
                <w:szCs w:val="19"/>
                <w:color w:val="auto"/>
              </w:rPr>
            </w:pPr>
          </w:p>
        </w:tc>
      </w:tr>
      <w:tr>
        <w:trPr>
          <w:trHeight w:val="230"/>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Group (15 persons)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I Preferred</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2"/>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Current Directors and Executive Officers as</w:t>
            </w:r>
          </w:p>
        </w:tc>
        <w:tc>
          <w:tcPr>
            <w:tcW w:w="222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2540" w:type="dxa"/>
            <w:vAlign w:val="bottom"/>
          </w:tcPr>
          <w:p>
            <w:pPr>
              <w:spacing w:after="0"/>
              <w:rPr>
                <w:sz w:val="19"/>
                <w:szCs w:val="19"/>
                <w:color w:val="auto"/>
              </w:rPr>
            </w:pPr>
          </w:p>
        </w:tc>
      </w:tr>
      <w:tr>
        <w:trPr>
          <w:trHeight w:val="230"/>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Group (15 persons)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Class B Preferred</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34"/>
        </w:trPr>
        <w:tc>
          <w:tcPr>
            <w:tcW w:w="3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20" w:right="4320" w:hanging="5612"/>
        <w:spacing w:after="0" w:line="507" w:lineRule="auto"/>
        <w:tabs>
          <w:tab w:leader="none" w:pos="112"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Includes Timothy M. Hayes, who beneficially owns 1,000 shares of Class D Preferred Stock. 24</w:t>
      </w:r>
    </w:p>
    <w:p>
      <w:pPr>
        <w:sectPr>
          <w:pgSz w:w="11900" w:h="16838" w:orient="portrait"/>
          <w:cols w:equalWidth="0" w:num="1">
            <w:col w:w="11140"/>
          </w:cols>
          <w:pgMar w:left="240" w:top="769"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95" w:lineRule="exact"/>
        <w:rPr>
          <w:sz w:val="20"/>
          <w:szCs w:val="20"/>
          <w:color w:val="auto"/>
        </w:rPr>
      </w:pPr>
    </w:p>
    <w:tbl>
      <w:tblPr>
        <w:tblLayout w:type="fixed"/>
        <w:tblInd w:w="230" w:type="dxa"/>
        <w:tblCellMar>
          <w:top w:w="0" w:type="dxa"/>
          <w:left w:w="0" w:type="dxa"/>
          <w:bottom w:w="0" w:type="dxa"/>
          <w:right w:w="0" w:type="dxa"/>
        </w:tblCellMar>
      </w:tblPr>
      <w:tr>
        <w:trPr>
          <w:trHeight w:val="279"/>
        </w:trPr>
        <w:tc>
          <w:tcPr>
            <w:tcW w:w="3540" w:type="dxa"/>
            <w:vAlign w:val="bottom"/>
            <w:tcBorders>
              <w:top w:val="single" w:sz="8" w:color="auto"/>
              <w:left w:val="single" w:sz="8" w:color="auto"/>
              <w:right w:val="single" w:sz="8" w:color="auto"/>
            </w:tcBorders>
            <w:shd w:val="clear" w:color="auto" w:fill="ACACAC"/>
          </w:tcPr>
          <w:p>
            <w:pPr>
              <w:spacing w:after="0"/>
              <w:rPr>
                <w:sz w:val="24"/>
                <w:szCs w:val="24"/>
                <w:color w:val="auto"/>
              </w:rPr>
            </w:pPr>
          </w:p>
        </w:tc>
        <w:tc>
          <w:tcPr>
            <w:tcW w:w="2640" w:type="dxa"/>
            <w:vAlign w:val="bottom"/>
            <w:tcBorders>
              <w:top w:val="single" w:sz="8" w:color="auto"/>
              <w:right w:val="single" w:sz="8" w:color="auto"/>
            </w:tcBorders>
            <w:shd w:val="clear" w:color="auto" w:fill="ACACAC"/>
          </w:tcPr>
          <w:p>
            <w:pPr>
              <w:spacing w:after="0"/>
              <w:rPr>
                <w:sz w:val="24"/>
                <w:szCs w:val="24"/>
                <w:color w:val="auto"/>
              </w:rPr>
            </w:pPr>
          </w:p>
        </w:tc>
        <w:tc>
          <w:tcPr>
            <w:tcW w:w="2620" w:type="dxa"/>
            <w:vAlign w:val="bottom"/>
            <w:tcBorders>
              <w:top w:val="single" w:sz="8" w:color="auto"/>
              <w:right w:val="single" w:sz="8" w:color="auto"/>
            </w:tcBorders>
            <w:shd w:val="clear" w:color="auto" w:fill="ACACAC"/>
          </w:tcPr>
          <w:p>
            <w:pPr>
              <w:spacing w:after="0"/>
              <w:rPr>
                <w:sz w:val="24"/>
                <w:szCs w:val="24"/>
                <w:color w:val="auto"/>
              </w:rPr>
            </w:pPr>
          </w:p>
        </w:tc>
        <w:tc>
          <w:tcPr>
            <w:tcW w:w="2180" w:type="dxa"/>
            <w:vAlign w:val="bottom"/>
            <w:tcBorders>
              <w:top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8"/>
              </w:rPr>
              <w:t>Number of securities to</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8"/>
              </w:rPr>
              <w:t>Weighted average</w:t>
            </w:r>
          </w:p>
        </w:tc>
        <w:tc>
          <w:tcPr>
            <w:tcW w:w="21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1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of outstanding options,</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1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180" w:type="dxa"/>
            <w:vAlign w:val="bottom"/>
            <w:tcBorders>
              <w:right w:val="single" w:sz="8" w:color="auto"/>
            </w:tcBorders>
            <w:shd w:val="clear" w:color="auto" w:fill="ACACAC"/>
          </w:tcPr>
          <w:p>
            <w:pPr>
              <w:jc w:val="center"/>
              <w:spacing w:after="0" w:line="216" w:lineRule="exact"/>
              <w:rPr>
                <w:sz w:val="20"/>
                <w:szCs w:val="20"/>
                <w:color w:val="auto"/>
              </w:rPr>
            </w:pPr>
            <w:r>
              <w:rPr>
                <w:rFonts w:ascii="Arial" w:cs="Arial" w:eastAsia="Arial" w:hAnsi="Arial"/>
                <w:sz w:val="18"/>
                <w:szCs w:val="18"/>
                <w:b w:val="1"/>
                <w:bCs w:val="1"/>
                <w:color w:val="auto"/>
                <w:w w:val="83"/>
              </w:rPr>
              <w:t>plans</w:t>
            </w:r>
            <w:r>
              <w:rPr>
                <w:rFonts w:ascii="Arial" w:cs="Arial" w:eastAsia="Arial" w:hAnsi="Arial"/>
                <w:sz w:val="25"/>
                <w:szCs w:val="25"/>
                <w:color w:val="auto"/>
                <w:w w:val="83"/>
                <w:vertAlign w:val="superscript"/>
              </w:rPr>
              <w:t>(3)</w:t>
            </w:r>
          </w:p>
        </w:tc>
      </w:tr>
      <w:tr>
        <w:trPr>
          <w:trHeight w:val="295"/>
        </w:trPr>
        <w:tc>
          <w:tcPr>
            <w:tcW w:w="3540" w:type="dxa"/>
            <w:vAlign w:val="bottom"/>
            <w:tcBorders>
              <w:left w:val="single" w:sz="8" w:color="auto"/>
              <w:bottom w:val="single" w:sz="8" w:color="auto"/>
              <w:right w:val="single" w:sz="8" w:color="auto"/>
            </w:tcBorders>
            <w:shd w:val="clear" w:color="auto" w:fill="ACACAC"/>
          </w:tcPr>
          <w:p>
            <w:pPr>
              <w:ind w:left="60"/>
              <w:spacing w:after="0"/>
              <w:rPr>
                <w:sz w:val="20"/>
                <w:szCs w:val="20"/>
                <w:color w:val="auto"/>
              </w:rPr>
            </w:pPr>
            <w:r>
              <w:rPr>
                <w:rFonts w:ascii="Arial" w:cs="Arial" w:eastAsia="Arial" w:hAnsi="Arial"/>
                <w:sz w:val="18"/>
                <w:szCs w:val="18"/>
                <w:b w:val="1"/>
                <w:bCs w:val="1"/>
                <w:color w:val="auto"/>
              </w:rPr>
              <w:t>Plan Category</w:t>
            </w:r>
          </w:p>
        </w:tc>
        <w:tc>
          <w:tcPr>
            <w:tcW w:w="264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(1)</w:t>
            </w:r>
          </w:p>
        </w:tc>
        <w:tc>
          <w:tcPr>
            <w:tcW w:w="262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(2)</w:t>
            </w:r>
          </w:p>
        </w:tc>
        <w:tc>
          <w:tcPr>
            <w:tcW w:w="21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56"/>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w:t>
            </w:r>
          </w:p>
        </w:tc>
        <w:tc>
          <w:tcPr>
            <w:tcW w:w="264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r>
      <w:tr>
        <w:trPr>
          <w:trHeight w:val="25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9,462,573</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9.97</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4,696,602</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9"/>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 not</w:t>
            </w:r>
          </w:p>
        </w:tc>
        <w:tc>
          <w:tcPr>
            <w:tcW w:w="26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5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9,462,573</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9.97</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4,696,602</w:t>
            </w:r>
          </w:p>
        </w:tc>
      </w:tr>
      <w:tr>
        <w:trPr>
          <w:trHeight w:val="34"/>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7"/>
          <w:szCs w:val="17"/>
          <w:color w:val="auto"/>
        </w:rPr>
        <w:t>Includes 6,708,655 shares subject to outstanding stock option awards and 2,753,918 shares subject to outstanding restricted stock unit awards.</w:t>
      </w:r>
    </w:p>
    <w:p>
      <w:pPr>
        <w:spacing w:after="0" w:line="179" w:lineRule="exact"/>
        <w:rPr>
          <w:rFonts w:ascii="Arial" w:cs="Arial" w:eastAsia="Arial" w:hAnsi="Arial"/>
          <w:sz w:val="12"/>
          <w:szCs w:val="12"/>
          <w:color w:val="auto"/>
        </w:rPr>
      </w:pPr>
    </w:p>
    <w:p>
      <w:pPr>
        <w:ind w:left="340" w:hanging="332"/>
        <w:spacing w:after="0"/>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Calculated exclusive of outstanding restricted stock unit awards.</w:t>
      </w:r>
    </w:p>
    <w:p>
      <w:pPr>
        <w:spacing w:after="0" w:line="201" w:lineRule="exact"/>
        <w:rPr>
          <w:rFonts w:ascii="Arial" w:cs="Arial" w:eastAsia="Arial" w:hAnsi="Arial"/>
          <w:sz w:val="25"/>
          <w:szCs w:val="25"/>
          <w:color w:val="auto"/>
          <w:vertAlign w:val="superscript"/>
        </w:rPr>
      </w:pPr>
    </w:p>
    <w:p>
      <w:pPr>
        <w:ind w:left="340" w:right="20" w:hanging="332"/>
        <w:spacing w:after="0" w:line="239"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4,696,602 shares available for new award grants under the Company’s 2017 Performance Incentive Plan (the “2017 Plan”) as of December 31, 2017. Each share issued under the 2017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2017 Plan, any shares subject to (1) restricted stock and restricted stock unit awards or (2) stock options granted under our 2007 Equity Incentive Plan that are presently outstanding which are subsequently forfeited, terminated, canceled, or otherwise reacquired by the Company will increase the pool of shares available for new awards under the 2017 Plan at the rate of 1.2 shares or 1.0 shares,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9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Based solely upon a review of the copies of the forms furnished to the Company, or written representations from certain reporting persons that no Forms 5 were required, we believe that all filing requirements applicable to our officers and directors and greater than 10% beneficial owners were complied with during the 2017 fiscal year, except for one late Form 4 filing disclosing 26 transactions by Mr. Devaney.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580" w:right="31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Philosophy and Objectives</w:t>
      </w:r>
    </w:p>
    <w:p>
      <w:pPr>
        <w:spacing w:after="0" w:line="225"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We believe an effective executive compensation program is one that aligns the interests of executives and shareholders by rewarding performance that achieves or exceeds specific financial targets and strategic goals designed to improve long-term shareholder value. In addition, we believe executive compensation should promote individual service longevity through long-term incentive opportunities that are designed to reward consistent high-level performance. The Compensation Committee evaluates performance annually and compensation periodically to help ensure that we maintain our ability to attract and retain superior employees in key positions and that compensation provided to key employees remains competitive.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25" w:lineRule="exact"/>
        <w:rPr>
          <w:sz w:val="20"/>
          <w:szCs w:val="20"/>
          <w:color w:val="auto"/>
        </w:rPr>
      </w:pPr>
    </w:p>
    <w:p>
      <w:pPr>
        <w:ind w:left="660" w:right="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for our Chief Executive Officer, Chief Financial Officer and three other most highly compensated executive officers who were serving as executive officers at the end of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determinations of the amount for each element of compensation;</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consideration of the results of the most recent shareholder advisory vote on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2017 are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54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890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0"/>
        </w:trPr>
        <w:tc>
          <w:tcPr>
            <w:tcW w:w="2540" w:type="dxa"/>
            <w:vAlign w:val="bottom"/>
            <w:tcBorders>
              <w:top w:val="single" w:sz="8" w:color="auto"/>
              <w:left w:val="single" w:sz="8" w:color="auto"/>
              <w:bottom w:val="single" w:sz="8" w:color="auto"/>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(1)</w:t>
            </w:r>
          </w:p>
        </w:tc>
        <w:tc>
          <w:tcPr>
            <w:tcW w:w="89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As previously announced, Mr. Faris will retire from his position as President and Chief Executive Officer effective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Corporate Performance Highlights</w:t>
      </w:r>
    </w:p>
    <w:p>
      <w:pPr>
        <w:spacing w:after="0" w:line="18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 an environment that continued to be challenging, our President and Chief Executive Officer and our other named executive officers contributed significantly to the following 2017 corporate performance highlights:</w:t>
      </w:r>
    </w:p>
    <w:p>
      <w:pPr>
        <w:spacing w:after="0" w:line="130" w:lineRule="exact"/>
        <w:rPr>
          <w:sz w:val="20"/>
          <w:szCs w:val="20"/>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Identified the potential acquisition of PHH Corporation as a strategic opportunity for the Company and negotiated the terms of the transaction, which culminated in the February 2018 signing of a definitive merger agreement.</w:t>
      </w:r>
    </w:p>
    <w:p>
      <w:pPr>
        <w:spacing w:after="0" w:line="8"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an agreement with New Residential Investment Corp. and its subsidiaries (NRZ) to convert NRZ’s existing rights to mortgage servicing rights (MSRs) to fully-owned MSRs, which strengthened Ocwen’s liquidity position and significantly reduced market uncertainty around our relationship with NRZ.</w:t>
      </w:r>
    </w:p>
    <w:p>
      <w:pPr>
        <w:spacing w:after="0" w:line="19"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Refocused our operations on Ocwen’s core businesses, including servicing, and improved the performance of our retail recapture business and reverse mortgage business, with the reverse mortgage business turning in its most profitable year ever.</w:t>
      </w:r>
    </w:p>
    <w:p>
      <w:pPr>
        <w:spacing w:after="0" w:line="8"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Exited the unprofitable forward correspondent and wholesale lending channels in 2017 and laid the groundwork for exiting our auto floor plan lending business in early 2018.</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to reduce CFPB complaint volume, with a 29.7% reduction in complaint volume compared to 2016.</w:t>
      </w:r>
    </w:p>
    <w:p>
      <w:pPr>
        <w:spacing w:after="0" w:line="63"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Helped over 45,000 homeowners through loan modification, and quickly mobilized home retention specialists to provide support for borrowers affected by storms in Houston, Puerto Rico and other areas of the country.</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40"/>
          </w:cols>
          <w:pgMar w:left="240" w:top="580"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its authority to retain independent counsel or other advisers as it deems necessary, during 2017 the Compensation Committee conducted a request for proposal process and after a thorough review, retained Willis Towers Watson as its independent compensation consultant. As the Compensation Committee’s independent compensation consultant, Willis Towers Watson formulates reports relating to the Company’s compensation programs, broader market practices and peer company compensation programs, and makes recommendations to the Compensation Committee regarding our compensation programs and appropriate levels of compensation for our executives and non-management directors, among other duties. Willis Towers Watson was engaged in May 2017, replacing Frederic W. Cook &amp; Co., Inc. During 2017, prior to our engagement of Willis Towers Watson, Frederic W. Cook &amp; Co., Inc. provided services relating to review and analysis of our executive and employee compensation practices.</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Willis Towers Watson provides no other services to us or any of our affiliates other than the compensation consulting services for the Compensation Committee described above. The Compensation Committee has assessed the independence of Willis Towers Watson and has concluded that its engagement does not raise any conflict of interest with the Company or any of its directors or executive officers.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as otherwise noted in this Compensation Discussion and Analysis, the Compensation Committee’s executive compensation determinations are subjective and the result of the Compensation Committee’s business judgment, which is informed by the experiences of the members of the Compensation Committee, the analysis and input from the Compensation Committee’s independent compensation consultant, as well as the Compensation Committee’s assessment of compensation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principal elements of compensation for our named executive officers for 2017 include a base salary and annual incentive opportunity. In addition, long-term incentive opportunities are provided through equity awards. This structure is intended to provide each executive officer with a competitive salary and incentive compensation tied to the achievement of corporate goals, strategic initiatives, individual performance and goals related to creating long-term shareholder value. We have no employment agreements with our executive officers. We believe that our compensation structure is appropriate in light of our performance, our industry, the opportunities and challenges facing our industry, our business and the current business environment.</w:t>
      </w:r>
    </w:p>
    <w:p>
      <w:pPr>
        <w:spacing w:after="0" w:line="15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Compensation (including base salaries and annual incentives) of the President and Chief Executive Officer and our other named executive officers is reviewed periodically by the Compensation Committee. Adjustments are made by the Compensation Committee in its judgment, taking into account compensation arrangements for comparable positions at the peer group companies (discussed below), analysis prepared by Willis Towers Watson, individual performance of the executive officer,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 (discussed below). The Compensation Committee made no changes to the base salary or annual incentive opportunity of our named executive officers during 2017. In addition, no equity grants were made to our named executive officers during 2017.</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Consideration of Shareholder Advisory Say-on-Pay Votes</w:t>
      </w:r>
      <w:r>
        <w:rPr>
          <w:rFonts w:ascii="Arial" w:cs="Arial" w:eastAsia="Arial" w:hAnsi="Arial"/>
          <w:sz w:val="18"/>
          <w:szCs w:val="18"/>
          <w:color w:val="auto"/>
        </w:rPr>
        <w:t>. In recent years, shareholder feedback in the form of shareholder advisory votes on Ocwen’s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has been very positive. At each of our Annual Meetings of Shareholders since 2014, we have received at least 96% of votes cast on our Say-on-Pay proposal in favor of our executive compensation. As a result, the Compensation Committee has continued to apply the same principles and philosophy it has used in previous years in determining executive compensation levels. The Compensation Committee and our Board of Directors intend to continue to consider shareholder feedback in the future.</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the base salary of the President and Chief Executive Officer. The base salaries for all other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are determined by the Compensation Committee after taking into account recommendations from the President and Chief Executive Officer. The Senior Vice President, Human Resources assists the President and Chief Executive Officer and the Compensation Committee by providing them with market data and other reference materials. As discussed above, the Compensation Committee also receives advice from its independent compensation consultant when it determines base salaries.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Ocwen’s annual incentive compensation opportunity for eligible employees, including our executive officers, is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1998 Annual Incentive Plan, as amended, which has been approved by our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29" w:name="page30"/>
    <w:bookmarkEnd w:id="29"/>
    <w:p>
      <w:pPr>
        <w:ind w:right="140"/>
        <w:spacing w:after="0" w:line="257" w:lineRule="auto"/>
        <w:rPr>
          <w:sz w:val="20"/>
          <w:szCs w:val="20"/>
          <w:color w:val="auto"/>
        </w:rPr>
      </w:pPr>
      <w:r>
        <w:rPr>
          <w:rFonts w:ascii="Arial" w:cs="Arial" w:eastAsia="Arial" w:hAnsi="Arial"/>
          <w:sz w:val="18"/>
          <w:szCs w:val="18"/>
          <w:color w:val="auto"/>
        </w:rPr>
        <w:t>shareholders. Awards under the plan are paid in cash or, in the Compensation Committee’s discretion, all or a portion of the total award value may be paid in the form of equity awards of our stock. Awards under the plan for 2017 were in the form of cash. The plan provides the Compensation Committee with the authority to establish incentive award guidelines which are further discussed below. If equity awards are granted as payment of an award under the 1998 Annual Incentive Plan, they will be granted pursuant to the 2017 Performance Incentive Plan discussed below. Other equity awards may also be made under the 2017 Performance Incentive Plan as discussed below.</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named executive officer has a target annual incentive award that is expressed as a percentage of total target cash compensation. The target annual incentive award for each named executive officer was determined by the Compensation Committee based on its assessment of the nature and scope of each executive officer’s responsibilities and an assessment of compensation levels necessary to maintain and attract quality personnel. The table below reflects the percentage of each executive officer’s target total cash compensation in 2017 that was allocated to each of base salary and annual incentive compensation under the 1998 Annual Incentive Plan and each executive officer’s actual total compensation that was allocated to each of base salary and such annual incentive compensation.</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860" w:type="dxa"/>
            <w:vAlign w:val="bottom"/>
            <w:tcBorders>
              <w:top w:val="single" w:sz="8" w:color="auto"/>
              <w:left w:val="single" w:sz="8" w:color="auto"/>
              <w:right w:val="single" w:sz="8" w:color="auto"/>
            </w:tcBorders>
            <w:shd w:val="clear" w:color="auto" w:fill="C0C0C0"/>
          </w:tcPr>
          <w:p>
            <w:pPr>
              <w:spacing w:after="0"/>
              <w:rPr>
                <w:sz w:val="21"/>
                <w:szCs w:val="21"/>
                <w:color w:val="auto"/>
              </w:rPr>
            </w:pPr>
          </w:p>
        </w:tc>
        <w:tc>
          <w:tcPr>
            <w:tcW w:w="1620" w:type="dxa"/>
            <w:vAlign w:val="bottom"/>
            <w:tcBorders>
              <w:top w:val="single" w:sz="8" w:color="auto"/>
              <w:right w:val="single" w:sz="8" w:color="auto"/>
            </w:tcBorders>
            <w:shd w:val="clear" w:color="auto" w:fill="C0C0C0"/>
          </w:tcPr>
          <w:p>
            <w:pPr>
              <w:spacing w:after="0"/>
              <w:rPr>
                <w:sz w:val="21"/>
                <w:szCs w:val="21"/>
                <w:color w:val="auto"/>
              </w:rPr>
            </w:pPr>
          </w:p>
        </w:tc>
        <w:tc>
          <w:tcPr>
            <w:tcW w:w="1580" w:type="dxa"/>
            <w:vAlign w:val="bottom"/>
            <w:tcBorders>
              <w:top w:val="single" w:sz="8" w:color="auto"/>
              <w:right w:val="single" w:sz="8" w:color="auto"/>
            </w:tcBorders>
            <w:shd w:val="clear" w:color="auto" w:fill="C0C0C0"/>
          </w:tcPr>
          <w:p>
            <w:pPr>
              <w:spacing w:after="0"/>
              <w:rPr>
                <w:sz w:val="21"/>
                <w:szCs w:val="21"/>
                <w:color w:val="auto"/>
              </w:rPr>
            </w:pPr>
          </w:p>
        </w:tc>
        <w:tc>
          <w:tcPr>
            <w:tcW w:w="1600" w:type="dxa"/>
            <w:vAlign w:val="bottom"/>
            <w:tcBorders>
              <w:top w:val="single" w:sz="8" w:color="auto"/>
              <w:right w:val="single" w:sz="8" w:color="auto"/>
            </w:tcBorders>
            <w:shd w:val="clear" w:color="auto" w:fill="C0C0C0"/>
          </w:tcPr>
          <w:p>
            <w:pPr>
              <w:spacing w:after="0"/>
              <w:rPr>
                <w:sz w:val="21"/>
                <w:szCs w:val="21"/>
                <w:color w:val="auto"/>
              </w:rPr>
            </w:pPr>
          </w:p>
        </w:tc>
        <w:tc>
          <w:tcPr>
            <w:tcW w:w="16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 Incentive</w:t>
            </w:r>
          </w:p>
        </w:tc>
        <w:tc>
          <w:tcPr>
            <w:tcW w:w="1580" w:type="dxa"/>
            <w:vAlign w:val="bottom"/>
            <w:tcBorders>
              <w:top w:val="single" w:sz="8" w:color="auto"/>
              <w:right w:val="single" w:sz="8" w:color="auto"/>
            </w:tcBorders>
            <w:shd w:val="clear" w:color="auto" w:fill="C0C0C0"/>
          </w:tcPr>
          <w:p>
            <w:pPr>
              <w:spacing w:after="0"/>
              <w:rPr>
                <w:sz w:val="21"/>
                <w:szCs w:val="21"/>
                <w:color w:val="auto"/>
              </w:rPr>
            </w:pPr>
          </w:p>
        </w:tc>
        <w:tc>
          <w:tcPr>
            <w:tcW w:w="16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 Incentive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shd w:val="clear" w:color="auto" w:fill="C0C0C0"/>
          </w:tcPr>
          <w:p>
            <w:pPr>
              <w:spacing w:after="0"/>
              <w:rPr>
                <w:sz w:val="18"/>
                <w:szCs w:val="18"/>
                <w:color w:val="auto"/>
              </w:rPr>
            </w:pPr>
          </w:p>
        </w:tc>
        <w:tc>
          <w:tcPr>
            <w:tcW w:w="16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Incentive</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Base Salary % of</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Compensation %</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Compensation %</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62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Actual Total</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6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in 2017</w:t>
            </w: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62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2017</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Actual Total</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6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shd w:val="clear" w:color="auto" w:fill="C0C0C0"/>
          </w:tcPr>
          <w:p>
            <w:pPr>
              <w:spacing w:after="0"/>
              <w:rPr>
                <w:sz w:val="10"/>
                <w:szCs w:val="10"/>
                <w:color w:val="auto"/>
              </w:rPr>
            </w:pPr>
          </w:p>
        </w:tc>
        <w:tc>
          <w:tcPr>
            <w:tcW w:w="1620" w:type="dxa"/>
            <w:vAlign w:val="bottom"/>
            <w:tcBorders>
              <w:right w:val="single" w:sz="8" w:color="auto"/>
            </w:tcBorders>
            <w:vMerge w:val="continue"/>
            <w:shd w:val="clear" w:color="auto" w:fill="C0C0C0"/>
          </w:tcPr>
          <w:p>
            <w:pPr>
              <w:spacing w:after="0"/>
              <w:rPr>
                <w:sz w:val="10"/>
                <w:szCs w:val="10"/>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2017</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2017</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0" w:type="dxa"/>
            <w:vAlign w:val="bottom"/>
          </w:tcPr>
          <w:p>
            <w:pPr>
              <w:spacing w:after="0"/>
              <w:rPr>
                <w:sz w:val="1"/>
                <w:szCs w:val="1"/>
                <w:color w:val="auto"/>
              </w:rPr>
            </w:pPr>
          </w:p>
        </w:tc>
      </w:tr>
      <w:tr>
        <w:trPr>
          <w:trHeight w:val="90"/>
        </w:trPr>
        <w:tc>
          <w:tcPr>
            <w:tcW w:w="1860" w:type="dxa"/>
            <w:vAlign w:val="bottom"/>
            <w:tcBorders>
              <w:left w:val="single" w:sz="8" w:color="auto"/>
              <w:right w:val="single" w:sz="8" w:color="auto"/>
            </w:tcBorders>
            <w:shd w:val="clear" w:color="auto" w:fill="C0C0C0"/>
          </w:tcPr>
          <w:p>
            <w:pPr>
              <w:spacing w:after="0"/>
              <w:rPr>
                <w:sz w:val="7"/>
                <w:szCs w:val="7"/>
                <w:color w:val="auto"/>
              </w:rPr>
            </w:pPr>
          </w:p>
        </w:tc>
        <w:tc>
          <w:tcPr>
            <w:tcW w:w="1620" w:type="dxa"/>
            <w:vAlign w:val="bottom"/>
            <w:tcBorders>
              <w:right w:val="single" w:sz="8" w:color="auto"/>
            </w:tcBorders>
            <w:shd w:val="clear" w:color="auto" w:fill="C0C0C0"/>
          </w:tcPr>
          <w:p>
            <w:pPr>
              <w:spacing w:after="0"/>
              <w:rPr>
                <w:sz w:val="7"/>
                <w:szCs w:val="7"/>
                <w:color w:val="auto"/>
              </w:rPr>
            </w:pPr>
          </w:p>
        </w:tc>
        <w:tc>
          <w:tcPr>
            <w:tcW w:w="1580" w:type="dxa"/>
            <w:vAlign w:val="bottom"/>
            <w:tcBorders>
              <w:right w:val="single" w:sz="8" w:color="auto"/>
            </w:tcBorders>
            <w:vMerge w:val="continue"/>
            <w:shd w:val="clear" w:color="auto" w:fill="C0C0C0"/>
          </w:tcPr>
          <w:p>
            <w:pPr>
              <w:spacing w:after="0"/>
              <w:rPr>
                <w:sz w:val="7"/>
                <w:szCs w:val="7"/>
                <w:color w:val="auto"/>
              </w:rPr>
            </w:pPr>
          </w:p>
        </w:tc>
        <w:tc>
          <w:tcPr>
            <w:tcW w:w="1600" w:type="dxa"/>
            <w:vAlign w:val="bottom"/>
            <w:tcBorders>
              <w:right w:val="single" w:sz="8" w:color="auto"/>
            </w:tcBorders>
            <w:vMerge w:val="continue"/>
            <w:shd w:val="clear" w:color="auto" w:fill="C0C0C0"/>
          </w:tcPr>
          <w:p>
            <w:pPr>
              <w:spacing w:after="0"/>
              <w:rPr>
                <w:sz w:val="7"/>
                <w:szCs w:val="7"/>
                <w:color w:val="auto"/>
              </w:rPr>
            </w:pPr>
          </w:p>
        </w:tc>
        <w:tc>
          <w:tcPr>
            <w:tcW w:w="1600" w:type="dxa"/>
            <w:vAlign w:val="bottom"/>
            <w:tcBorders>
              <w:right w:val="single" w:sz="8" w:color="auto"/>
            </w:tcBorders>
            <w:vMerge w:val="continue"/>
            <w:shd w:val="clear" w:color="auto" w:fill="C0C0C0"/>
          </w:tcPr>
          <w:p>
            <w:pPr>
              <w:spacing w:after="0"/>
              <w:rPr>
                <w:sz w:val="7"/>
                <w:szCs w:val="7"/>
                <w:color w:val="auto"/>
              </w:rPr>
            </w:pPr>
          </w:p>
        </w:tc>
        <w:tc>
          <w:tcPr>
            <w:tcW w:w="1580" w:type="dxa"/>
            <w:vAlign w:val="bottom"/>
            <w:tcBorders>
              <w:right w:val="single" w:sz="8" w:color="auto"/>
            </w:tcBorders>
            <w:vMerge w:val="continue"/>
            <w:shd w:val="clear" w:color="auto" w:fill="C0C0C0"/>
          </w:tcPr>
          <w:p>
            <w:pPr>
              <w:spacing w:after="0"/>
              <w:rPr>
                <w:sz w:val="7"/>
                <w:szCs w:val="7"/>
                <w:color w:val="auto"/>
              </w:rPr>
            </w:pPr>
          </w:p>
        </w:tc>
        <w:tc>
          <w:tcPr>
            <w:tcW w:w="1600" w:type="dxa"/>
            <w:vAlign w:val="bottom"/>
            <w:tcBorders>
              <w:right w:val="single" w:sz="8" w:color="auto"/>
            </w:tcBorders>
            <w:vMerge w:val="continue"/>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860" w:type="dxa"/>
            <w:vAlign w:val="bottom"/>
            <w:tcBorders>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620" w:type="dxa"/>
            <w:vAlign w:val="bottom"/>
            <w:tcBorders>
              <w:bottom w:val="single" w:sz="8" w:color="C0C0C0"/>
              <w:right w:val="single" w:sz="8" w:color="auto"/>
            </w:tcBorders>
            <w:shd w:val="clear" w:color="auto" w:fill="C0C0C0"/>
          </w:tcPr>
          <w:p>
            <w:pPr>
              <w:spacing w:after="0"/>
              <w:rPr>
                <w:sz w:val="23"/>
                <w:szCs w:val="23"/>
                <w:color w:val="auto"/>
              </w:rPr>
            </w:pPr>
          </w:p>
        </w:tc>
        <w:tc>
          <w:tcPr>
            <w:tcW w:w="1580" w:type="dxa"/>
            <w:vAlign w:val="bottom"/>
            <w:tcBorders>
              <w:bottom w:val="single" w:sz="8" w:color="C0C0C0"/>
              <w:right w:val="single" w:sz="8" w:color="auto"/>
            </w:tcBorders>
            <w:shd w:val="clear" w:color="auto" w:fill="C0C0C0"/>
          </w:tcPr>
          <w:p>
            <w:pPr>
              <w:spacing w:after="0"/>
              <w:rPr>
                <w:sz w:val="23"/>
                <w:szCs w:val="23"/>
                <w:color w:val="auto"/>
              </w:rPr>
            </w:pPr>
          </w:p>
        </w:tc>
        <w:tc>
          <w:tcPr>
            <w:tcW w:w="1600" w:type="dxa"/>
            <w:vAlign w:val="bottom"/>
            <w:tcBorders>
              <w:bottom w:val="single" w:sz="8" w:color="C0C0C0"/>
              <w:right w:val="single" w:sz="8" w:color="auto"/>
            </w:tcBorders>
            <w:shd w:val="clear" w:color="auto" w:fill="C0C0C0"/>
          </w:tcPr>
          <w:p>
            <w:pPr>
              <w:spacing w:after="0"/>
              <w:rPr>
                <w:sz w:val="23"/>
                <w:szCs w:val="23"/>
                <w:color w:val="auto"/>
              </w:rPr>
            </w:pPr>
          </w:p>
        </w:tc>
        <w:tc>
          <w:tcPr>
            <w:tcW w:w="16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2017</w:t>
            </w:r>
          </w:p>
        </w:tc>
        <w:tc>
          <w:tcPr>
            <w:tcW w:w="1580" w:type="dxa"/>
            <w:vAlign w:val="bottom"/>
            <w:tcBorders>
              <w:bottom w:val="single" w:sz="8" w:color="C0C0C0"/>
              <w:right w:val="single" w:sz="8" w:color="auto"/>
            </w:tcBorders>
            <w:shd w:val="clear" w:color="auto" w:fill="C0C0C0"/>
          </w:tcPr>
          <w:p>
            <w:pPr>
              <w:spacing w:after="0"/>
              <w:rPr>
                <w:sz w:val="23"/>
                <w:szCs w:val="23"/>
                <w:color w:val="auto"/>
              </w:rPr>
            </w:pPr>
          </w:p>
        </w:tc>
        <w:tc>
          <w:tcPr>
            <w:tcW w:w="16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43"/>
        </w:trPr>
        <w:tc>
          <w:tcPr>
            <w:tcW w:w="1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875,000</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1,400,000</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38%</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62%</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Michael R. Bourque, Jr.</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500,000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250,000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67%</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33%</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67%</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82"/>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(1)</w:t>
            </w:r>
          </w:p>
        </w:tc>
        <w:tc>
          <w:tcPr>
            <w:tcW w:w="162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860" w:type="dxa"/>
            <w:vAlign w:val="bottom"/>
            <w:tcBorders>
              <w:left w:val="single" w:sz="8" w:color="auto"/>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48%</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450,000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86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w w:val="94"/>
              </w:rPr>
              <w:t xml:space="preserve">Arthur C. Walker, Jr. </w:t>
            </w:r>
            <w:r>
              <w:rPr>
                <w:rFonts w:ascii="Arial" w:cs="Arial" w:eastAsia="Arial" w:hAnsi="Arial"/>
                <w:sz w:val="25"/>
                <w:szCs w:val="25"/>
                <w:color w:val="auto"/>
                <w:w w:val="94"/>
                <w:vertAlign w:val="superscript"/>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530,400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216,964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300" w:hanging="652"/>
        <w:spacing w:after="0" w:line="216" w:lineRule="auto"/>
        <w:tabs>
          <w:tab w:leader="none" w:pos="336"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Mr. Bourque and Mr. Walker received OMS cash dividends in the amount of $250,000 and $217,000, respectively, in 2017 (as described under “OMS Preferred Stock Plan” below).</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Compensation Committee structures the annual incentive award opportunity under the 1998 Annual Incentive Plan to help motivate executives to achieve pre-established key performance indicators that it believes will enhance Company performance and long-term shareholder value. In doing so, the Compensation Committee has incorporated a variety of quantitative and qualitative performance measures that it believes will help to incentivize performance that perpetuates the long-term success of the Company and discourages executives from pursuing short-term risks that may not be consistent with achieving such long-term success.</w:t>
      </w:r>
    </w:p>
    <w:p>
      <w:pPr>
        <w:spacing w:after="0" w:line="18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Effective January 1, 2017, the annual incentive award opportunity for our executives (other than the President and Chief Executive Officer) was redesigned to increase the weighting assigned to overall Company performance compared to 2016. For each executive other than the President and Chief Executive Officer, the annual incentive award opportunity was based on (i) the Company’s performance in meeting the objectives established in the corporate scorecard (the Corporate Component) and (ii) a discretionary allocation based on a performance appraisal of the executive officer and the performance of the executive’s business unit or support unit (the Individual Component). For the President and Chief Executive Officer, the annual incentive award opportunity was based on</w:t>
      </w:r>
    </w:p>
    <w:p>
      <w:pPr>
        <w:spacing w:after="0" w:line="2" w:lineRule="exact"/>
        <w:rPr>
          <w:sz w:val="20"/>
          <w:szCs w:val="20"/>
          <w:color w:val="auto"/>
        </w:rPr>
      </w:pPr>
    </w:p>
    <w:p>
      <w:pPr>
        <w:ind w:right="400" w:firstLine="8"/>
        <w:spacing w:after="0" w:line="255"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performance in meeting the objectives established in the corporate scorecard and (ii) a performance appraisal by the Compensation Committee. For 2017, the applicable percentage weight assigned to each component of each executive officer’s incentive compensation award is detailed below:</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584" w:right="219" w:bottom="1440" w:gutter="0" w:footer="0" w:header="0"/>
        </w:sectPr>
      </w:pPr>
    </w:p>
    <w:bookmarkStart w:id="30" w:name="page31"/>
    <w:bookmarkEnd w:id="30"/>
    <w:tbl>
      <w:tblPr>
        <w:tblLayout w:type="fixed"/>
        <w:tblInd w:w="2470" w:type="dxa"/>
        <w:tblCellMar>
          <w:top w:w="0" w:type="dxa"/>
          <w:left w:w="0" w:type="dxa"/>
          <w:bottom w:w="0" w:type="dxa"/>
          <w:right w:w="0" w:type="dxa"/>
        </w:tblCellMar>
      </w:tblPr>
      <w:tr>
        <w:trPr>
          <w:trHeight w:val="289"/>
        </w:trPr>
        <w:tc>
          <w:tcPr>
            <w:tcW w:w="224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214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Corporate Component</w:t>
            </w:r>
          </w:p>
        </w:tc>
        <w:tc>
          <w:tcPr>
            <w:tcW w:w="214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Individual Component</w:t>
            </w:r>
          </w:p>
        </w:tc>
      </w:tr>
      <w:tr>
        <w:trPr>
          <w:trHeight w:val="237"/>
        </w:trPr>
        <w:tc>
          <w:tcPr>
            <w:tcW w:w="2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Corporate Component. </w:t>
      </w:r>
      <w:r>
        <w:rPr>
          <w:rFonts w:ascii="Arial" w:cs="Arial" w:eastAsia="Arial" w:hAnsi="Arial"/>
          <w:sz w:val="16"/>
          <w:szCs w:val="16"/>
          <w:color w:val="auto"/>
        </w:rPr>
        <w:t>The corporate scorecard is approved annually by the Compensation Committee. The 2017 corporate scorecard contained both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goals and other non-financial goals that are aligned to key business, risk management and other initiatives.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performance at a level that is challenging to achieve, a “threshold” level for each goal that must be met in order for any portion of the incentive to be paid with respect to that goal, and a maximum or “outstanding” level for each goal that would result in payment of the maximum bonus opportunity with respect to that goal. On occasion, the Compensation Committee may assign a “target plus” level where the target level has been significantly surpassed but the outstanding level has not been met. If the “threshold” level is achieved for a particular goal, 50% of the amount allocated to such goal will be earned, if the “target” level is achieved for a particular goal, 100% of the amount allocated to such goal will be earned, if the “target plus” level is achieved, 125% of the amount allocated to such goal will be earned and if the “outstanding” level is achieved for a particular goal, 150% of the amount allocated to such goal will be earned. In addition, the 2017 corporate scorecard provided for extra credit of up to 35% that could be earned based on the Compensation Committee’s evaluation with respect to management identifying and executing appropriate strategic transactions that promote creation of shareholder value through improved scale, branding, cost structure, asset generation capabilities or liquidity. During 2017, an additional 8.75% credit was earned for identifying and executing on such strategic transactions.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1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Our corporate scorecard for 2017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5676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567690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2017 Corporate Scorecard Elements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top w:val="single" w:sz="8" w:color="auto"/>
              <w:bottom w:val="single" w:sz="8" w:color="C0C0C0"/>
              <w:right w:val="single" w:sz="8" w:color="C0C0C0"/>
            </w:tcBorders>
            <w:shd w:val="clear" w:color="auto" w:fill="C0C0C0"/>
          </w:tcPr>
          <w:p>
            <w:pPr>
              <w:spacing w:after="0"/>
              <w:rPr>
                <w:sz w:val="23"/>
                <w:szCs w:val="23"/>
                <w:color w:val="auto"/>
              </w:rPr>
            </w:pPr>
          </w:p>
        </w:tc>
        <w:tc>
          <w:tcPr>
            <w:tcW w:w="3760" w:type="dxa"/>
            <w:vAlign w:val="bottom"/>
            <w:tcBorders>
              <w:top w:val="single" w:sz="8" w:color="auto"/>
              <w:bottom w:val="single" w:sz="8" w:color="C0C0C0"/>
              <w:right w:val="single" w:sz="8" w:color="auto"/>
            </w:tcBorders>
            <w:shd w:val="clear" w:color="auto" w:fill="C0C0C0"/>
          </w:tcPr>
          <w:p>
            <w:pPr>
              <w:spacing w:after="0"/>
              <w:rPr>
                <w:sz w:val="23"/>
                <w:szCs w:val="23"/>
                <w:color w:val="auto"/>
              </w:rPr>
            </w:pPr>
          </w:p>
        </w:tc>
        <w:tc>
          <w:tcPr>
            <w:tcW w:w="152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c>
          <w:tcPr>
            <w:tcW w:w="148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60" w:type="dxa"/>
            <w:vAlign w:val="bottom"/>
            <w:tcBorders>
              <w:top w:val="single" w:sz="8" w:color="auto"/>
              <w:bottom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Achievement Levels</w:t>
            </w:r>
          </w:p>
        </w:tc>
        <w:tc>
          <w:tcPr>
            <w:tcW w:w="150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c>
          <w:tcPr>
            <w:tcW w:w="1320" w:type="dxa"/>
            <w:vAlign w:val="bottom"/>
            <w:tcBorders>
              <w:top w:val="single" w:sz="8" w:color="auto"/>
              <w:bottom w:val="single" w:sz="8" w:color="C0C0C0"/>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Level</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auto"/>
              <w:right w:val="single" w:sz="8" w:color="auto"/>
            </w:tcBorders>
            <w:gridSpan w:val="2"/>
            <w:shd w:val="clear" w:color="auto" w:fill="C0C0C0"/>
          </w:tcPr>
          <w:p>
            <w:pPr>
              <w:ind w:left="40"/>
              <w:spacing w:after="0"/>
              <w:rPr>
                <w:sz w:val="20"/>
                <w:szCs w:val="20"/>
                <w:color w:val="auto"/>
              </w:rPr>
            </w:pPr>
            <w:r>
              <w:rPr>
                <w:rFonts w:ascii="Arial" w:cs="Arial" w:eastAsia="Arial" w:hAnsi="Arial"/>
                <w:sz w:val="14"/>
                <w:szCs w:val="14"/>
                <w:b w:val="1"/>
                <w:bCs w:val="1"/>
                <w:color w:val="auto"/>
              </w:rPr>
              <w:t>Corporate Objectives</w:t>
            </w:r>
          </w:p>
        </w:tc>
        <w:tc>
          <w:tcPr>
            <w:tcW w:w="15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Weight</w:t>
            </w:r>
          </w:p>
        </w:tc>
        <w:tc>
          <w:tcPr>
            <w:tcW w:w="1480" w:type="dxa"/>
            <w:vAlign w:val="bottom"/>
            <w:tcBorders>
              <w:bottom w:val="single" w:sz="8" w:color="auto"/>
              <w:right w:val="single" w:sz="8" w:color="auto"/>
            </w:tcBorders>
            <w:shd w:val="clear" w:color="auto" w:fill="C0C0C0"/>
          </w:tcPr>
          <w:p>
            <w:pPr>
              <w:jc w:val="center"/>
              <w:ind w:right="8"/>
              <w:spacing w:after="0"/>
              <w:rPr>
                <w:sz w:val="20"/>
                <w:szCs w:val="20"/>
                <w:color w:val="auto"/>
              </w:rPr>
            </w:pPr>
            <w:r>
              <w:rPr>
                <w:rFonts w:ascii="Arial" w:cs="Arial" w:eastAsia="Arial" w:hAnsi="Arial"/>
                <w:sz w:val="14"/>
                <w:szCs w:val="14"/>
                <w:b w:val="1"/>
                <w:bCs w:val="1"/>
                <w:color w:val="auto"/>
                <w:w w:val="94"/>
              </w:rPr>
              <w:t>Threshold</w:t>
            </w:r>
          </w:p>
        </w:tc>
        <w:tc>
          <w:tcPr>
            <w:tcW w:w="14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5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32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9"/>
              </w:rPr>
              <w:t>Achieved</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1.</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Earnings Per Share</w:t>
            </w:r>
          </w:p>
        </w:tc>
        <w:tc>
          <w:tcPr>
            <w:tcW w:w="1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Reduce Loss per share by 35% or $0.56/share versus 2016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$(1.05)</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$(0.89)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2.</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Growth</w:t>
            </w:r>
          </w:p>
        </w:tc>
        <w:tc>
          <w:tcPr>
            <w:tcW w:w="1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1. Improve Direct Retail Funded volume by 150% over 2016</w:t>
            </w:r>
          </w:p>
        </w:tc>
        <w:tc>
          <w:tcPr>
            <w:tcW w:w="152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volume of $423 million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4"/>
              </w:rPr>
              <w:t>$952 M</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$1,058 M</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$1,163 M</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Below Threshold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80" w:type="dxa"/>
            <w:vAlign w:val="bottom"/>
            <w:tcBorders>
              <w:bottom w:val="single" w:sz="8" w:color="auto"/>
              <w:right w:val="single" w:sz="8" w:color="auto"/>
            </w:tcBorders>
          </w:tcPr>
          <w:p>
            <w:pPr>
              <w:spacing w:after="0"/>
              <w:rPr>
                <w:sz w:val="13"/>
                <w:szCs w:val="13"/>
                <w:color w:val="auto"/>
              </w:rPr>
            </w:pPr>
          </w:p>
        </w:tc>
        <w:tc>
          <w:tcPr>
            <w:tcW w:w="376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2.Increase number of active Wholesale brokers by 50%,</w:t>
            </w:r>
          </w:p>
        </w:tc>
        <w:tc>
          <w:tcPr>
            <w:tcW w:w="152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corresponding to geographical expansion; Count only brokers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224</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249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274</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5"/>
              </w:rPr>
              <w:t>Below Threshold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with at least three loans funded in Q4 (2016: 166)</w:t>
            </w: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1480" w:type="dxa"/>
            <w:vAlign w:val="bottom"/>
            <w:tcBorders>
              <w:bottom w:val="single" w:sz="8" w:color="auto"/>
              <w:right w:val="single" w:sz="8" w:color="auto"/>
            </w:tcBorders>
            <w:vMerge w:val="continue"/>
          </w:tcPr>
          <w:p>
            <w:pPr>
              <w:spacing w:after="0"/>
              <w:rPr>
                <w:sz w:val="16"/>
                <w:szCs w:val="16"/>
                <w:color w:val="auto"/>
              </w:rPr>
            </w:pPr>
          </w:p>
        </w:tc>
        <w:tc>
          <w:tcPr>
            <w:tcW w:w="1460" w:type="dxa"/>
            <w:vAlign w:val="bottom"/>
            <w:tcBorders>
              <w:bottom w:val="single" w:sz="8" w:color="auto"/>
              <w:right w:val="single" w:sz="8" w:color="auto"/>
            </w:tcBorders>
            <w:vMerge w:val="continue"/>
          </w:tcPr>
          <w:p>
            <w:pPr>
              <w:spacing w:after="0"/>
              <w:rPr>
                <w:sz w:val="16"/>
                <w:szCs w:val="16"/>
                <w:color w:val="auto"/>
              </w:rPr>
            </w:pPr>
          </w:p>
        </w:tc>
        <w:tc>
          <w:tcPr>
            <w:tcW w:w="1500" w:type="dxa"/>
            <w:vAlign w:val="bottom"/>
            <w:tcBorders>
              <w:bottom w:val="single" w:sz="8" w:color="auto"/>
              <w:right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3. Growth within Automotive Capital Services</w:t>
            </w:r>
          </w:p>
        </w:tc>
        <w:tc>
          <w:tcPr>
            <w:tcW w:w="152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Achieve total gross originations of $635 million (2016</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5%</w:t>
            </w:r>
          </w:p>
        </w:tc>
        <w:tc>
          <w:tcPr>
            <w:tcW w:w="14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$508 M</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$635 M</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$762M</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Below Threshold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baseline: $102 million)</w:t>
            </w:r>
          </w:p>
        </w:tc>
        <w:tc>
          <w:tcPr>
            <w:tcW w:w="15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4.Automotive Capital Services: Portfolio Quality</w:t>
            </w:r>
          </w:p>
        </w:tc>
        <w:tc>
          <w:tcPr>
            <w:tcW w:w="152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Achieve loss ratio (new reserves/average monthly</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w w:val="98"/>
              </w:rPr>
              <w:t>3%</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2.5%</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2%</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5"/>
              </w:rPr>
              <w:t>Below Threshold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240"/>
              <w:spacing w:after="0" w:line="149" w:lineRule="exact"/>
              <w:rPr>
                <w:sz w:val="20"/>
                <w:szCs w:val="20"/>
                <w:color w:val="auto"/>
              </w:rPr>
            </w:pPr>
            <w:r>
              <w:rPr>
                <w:rFonts w:ascii="Arial" w:cs="Arial" w:eastAsia="Arial" w:hAnsi="Arial"/>
                <w:sz w:val="14"/>
                <w:szCs w:val="14"/>
                <w:color w:val="auto"/>
                <w:w w:val="99"/>
              </w:rPr>
              <w:t>receivables) in the second half of 2017 of 2.5% (2nd half</w:t>
            </w:r>
          </w:p>
        </w:tc>
        <w:tc>
          <w:tcPr>
            <w:tcW w:w="15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80" w:type="dxa"/>
            <w:vAlign w:val="bottom"/>
            <w:tcBorders>
              <w:right w:val="single" w:sz="8" w:color="auto"/>
            </w:tcBorders>
          </w:tcPr>
          <w:p>
            <w:pPr>
              <w:spacing w:after="0"/>
              <w:rPr>
                <w:sz w:val="4"/>
                <w:szCs w:val="4"/>
                <w:color w:val="auto"/>
              </w:rPr>
            </w:pPr>
          </w:p>
        </w:tc>
        <w:tc>
          <w:tcPr>
            <w:tcW w:w="3760" w:type="dxa"/>
            <w:vAlign w:val="bottom"/>
            <w:tcBorders>
              <w:right w:val="single" w:sz="8" w:color="auto"/>
            </w:tcBorders>
            <w:vMerge w:val="continue"/>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8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2016 baseline: 14.7%)</w:t>
            </w:r>
          </w:p>
        </w:tc>
        <w:tc>
          <w:tcPr>
            <w:tcW w:w="15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3.</w:t>
            </w:r>
          </w:p>
        </w:tc>
        <w:tc>
          <w:tcPr>
            <w:tcW w:w="3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Service Excellence</w:t>
            </w: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8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1. Reduce complaints by the Consumer Financial Protection</w:t>
            </w:r>
          </w:p>
        </w:tc>
        <w:tc>
          <w:tcPr>
            <w:tcW w:w="152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Bureau by 25% over 2016 (2016 baseline: 3,489)</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2"/>
              </w:rPr>
              <w:t>20% Reduction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25% Reduction</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30% Reduction</w:t>
            </w: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80" w:type="dxa"/>
            <w:vAlign w:val="bottom"/>
            <w:tcBorders>
              <w:bottom w:val="single" w:sz="8" w:color="auto"/>
              <w:right w:val="single" w:sz="8" w:color="auto"/>
            </w:tcBorders>
          </w:tcPr>
          <w:p>
            <w:pPr>
              <w:spacing w:after="0"/>
              <w:rPr>
                <w:sz w:val="13"/>
                <w:szCs w:val="13"/>
                <w:color w:val="auto"/>
              </w:rPr>
            </w:pPr>
          </w:p>
        </w:tc>
        <w:tc>
          <w:tcPr>
            <w:tcW w:w="376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2</w:t>
            </w:r>
            <w:r>
              <w:rPr>
                <w:rFonts w:ascii="Arial" w:cs="Arial" w:eastAsia="Arial" w:hAnsi="Arial"/>
                <w:sz w:val="14"/>
                <w:szCs w:val="14"/>
                <w:b w:val="1"/>
                <w:bCs w:val="1"/>
                <w:color w:val="auto"/>
              </w:rPr>
              <w:t>.</w:t>
            </w:r>
            <w:r>
              <w:rPr>
                <w:rFonts w:ascii="Arial" w:cs="Arial" w:eastAsia="Arial" w:hAnsi="Arial"/>
                <w:sz w:val="14"/>
                <w:szCs w:val="14"/>
                <w:color w:val="auto"/>
              </w:rPr>
              <w:t xml:space="preserve"> Continued positive impact of the Corporate Customer</w:t>
            </w:r>
          </w:p>
        </w:tc>
        <w:tc>
          <w:tcPr>
            <w:tcW w:w="1520" w:type="dxa"/>
            <w:vAlign w:val="bottom"/>
            <w:tcBorders>
              <w:right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Service Excellence Initiative company-wide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w:t>
            </w:r>
          </w:p>
        </w:tc>
        <w:tc>
          <w:tcPr>
            <w:tcW w:w="44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32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80" w:type="dxa"/>
            <w:vAlign w:val="bottom"/>
            <w:tcBorders>
              <w:bottom w:val="single" w:sz="8" w:color="auto"/>
              <w:right w:val="single" w:sz="8" w:color="auto"/>
            </w:tcBorders>
          </w:tcPr>
          <w:p>
            <w:pPr>
              <w:spacing w:after="0"/>
              <w:rPr>
                <w:sz w:val="13"/>
                <w:szCs w:val="13"/>
                <w:color w:val="auto"/>
              </w:rPr>
            </w:pPr>
          </w:p>
        </w:tc>
        <w:tc>
          <w:tcPr>
            <w:tcW w:w="376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8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 Improve Forward Retail Originations Net Promoter Score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35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45</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55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8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4.</w:t>
            </w:r>
          </w:p>
        </w:tc>
        <w:tc>
          <w:tcPr>
            <w:tcW w:w="3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Financial Risk Management</w:t>
            </w: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8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 Achieve year-end Balance Sheet cash of $180 million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4"/>
              </w:rPr>
              <w:t>$150 M</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$180 M</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$210 M</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8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2. Achieve year-end Corporate Debt-to-Equity ratio target of</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1.8</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1.5</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1.2</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1.50:1</w:t>
            </w:r>
          </w:p>
        </w:tc>
        <w:tc>
          <w:tcPr>
            <w:tcW w:w="15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5.</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Resolve Legacy Matters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44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6.</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Continue Enhancing the Ocwen Culture</w:t>
            </w:r>
          </w:p>
        </w:tc>
        <w:tc>
          <w:tcPr>
            <w:tcW w:w="1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1. Continue to foster a culture of effective and efficient Risk</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10%</w:t>
            </w: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5"/>
              </w:rPr>
              <w:t>and Compliance Management across all three lines of defense</w:t>
            </w:r>
          </w:p>
        </w:tc>
        <w:tc>
          <w:tcPr>
            <w:tcW w:w="1520" w:type="dxa"/>
            <w:vAlign w:val="bottom"/>
            <w:tcBorders>
              <w:right w:val="single" w:sz="8" w:color="auto"/>
            </w:tcBorders>
            <w:vMerge w:val="continue"/>
          </w:tcPr>
          <w:p>
            <w:pPr>
              <w:spacing w:after="0"/>
              <w:rPr>
                <w:sz w:val="8"/>
                <w:szCs w:val="8"/>
                <w:color w:val="auto"/>
              </w:rPr>
            </w:pPr>
          </w:p>
        </w:tc>
        <w:tc>
          <w:tcPr>
            <w:tcW w:w="14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2. Continued positive impact of the Corporate Employee</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w:t>
            </w:r>
          </w:p>
        </w:tc>
        <w:tc>
          <w:tcPr>
            <w:tcW w:w="44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Engagement Initiative</w:t>
            </w:r>
          </w:p>
        </w:tc>
        <w:tc>
          <w:tcPr>
            <w:tcW w:w="1520" w:type="dxa"/>
            <w:vAlign w:val="bottom"/>
            <w:tcBorders>
              <w:right w:val="single" w:sz="8" w:color="auto"/>
            </w:tcBorders>
            <w:vMerge w:val="continue"/>
          </w:tcPr>
          <w:p>
            <w:pPr>
              <w:spacing w:after="0"/>
              <w:rPr>
                <w:sz w:val="8"/>
                <w:szCs w:val="8"/>
                <w:color w:val="auto"/>
              </w:rPr>
            </w:pPr>
          </w:p>
        </w:tc>
        <w:tc>
          <w:tcPr>
            <w:tcW w:w="4440" w:type="dxa"/>
            <w:vAlign w:val="bottom"/>
            <w:tcBorders>
              <w:right w:val="single" w:sz="8" w:color="auto"/>
            </w:tcBorders>
            <w:gridSpan w:val="3"/>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3. Continued positive impact of the Corporate Diversity and</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w:t>
            </w: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89"/>
              </w:rPr>
              <w:t>Target Plus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Inclusion Initiative</w:t>
            </w:r>
          </w:p>
        </w:tc>
        <w:tc>
          <w:tcPr>
            <w:tcW w:w="1520" w:type="dxa"/>
            <w:vAlign w:val="bottom"/>
            <w:tcBorders>
              <w:right w:val="single" w:sz="8" w:color="auto"/>
            </w:tcBorders>
            <w:vMerge w:val="continue"/>
          </w:tcPr>
          <w:p>
            <w:pPr>
              <w:spacing w:after="0"/>
              <w:rPr>
                <w:sz w:val="8"/>
                <w:szCs w:val="8"/>
                <w:color w:val="auto"/>
              </w:rPr>
            </w:pPr>
          </w:p>
        </w:tc>
        <w:tc>
          <w:tcPr>
            <w:tcW w:w="14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7.</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Strategic and Corporate Transactions</w:t>
            </w:r>
          </w:p>
        </w:tc>
        <w:tc>
          <w:tcPr>
            <w:tcW w:w="1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8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Find and execute on appropriate strategic transactions that</w:t>
            </w:r>
          </w:p>
        </w:tc>
        <w:tc>
          <w:tcPr>
            <w:tcW w:w="1520" w:type="dxa"/>
            <w:vAlign w:val="bottom"/>
            <w:tcBorders>
              <w:right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create added shareholder value through improved scale,</w:t>
            </w:r>
          </w:p>
        </w:tc>
        <w:tc>
          <w:tcPr>
            <w:tcW w:w="1520" w:type="dxa"/>
            <w:vAlign w:val="bottom"/>
            <w:tcBorders>
              <w:righ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branding, cost structure, asset generation capabilities or</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Extra credit up to 35%</w:t>
            </w:r>
          </w:p>
        </w:tc>
        <w:tc>
          <w:tcPr>
            <w:tcW w:w="44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5"/>
              </w:rPr>
              <w:t>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liquidity, including acquisitions, sales, capital structure</w:t>
            </w:r>
          </w:p>
        </w:tc>
        <w:tc>
          <w:tcPr>
            <w:tcW w:w="1520" w:type="dxa"/>
            <w:vAlign w:val="bottom"/>
            <w:tcBorders>
              <w:right w:val="single" w:sz="8" w:color="auto"/>
            </w:tcBorders>
            <w:vMerge w:val="continue"/>
          </w:tcPr>
          <w:p>
            <w:pPr>
              <w:spacing w:after="0"/>
              <w:rPr>
                <w:sz w:val="8"/>
                <w:szCs w:val="8"/>
                <w:color w:val="auto"/>
              </w:rPr>
            </w:pPr>
          </w:p>
        </w:tc>
        <w:tc>
          <w:tcPr>
            <w:tcW w:w="4440" w:type="dxa"/>
            <w:vAlign w:val="bottom"/>
            <w:tcBorders>
              <w:right w:val="single" w:sz="8" w:color="auto"/>
            </w:tcBorders>
            <w:gridSpan w:val="3"/>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80" w:type="dxa"/>
            <w:vAlign w:val="bottom"/>
            <w:tcBorders>
              <w:right w:val="single" w:sz="8" w:color="auto"/>
            </w:tcBorders>
          </w:tcPr>
          <w:p>
            <w:pPr>
              <w:spacing w:after="0"/>
              <w:rPr>
                <w:sz w:val="4"/>
                <w:szCs w:val="4"/>
                <w:color w:val="auto"/>
              </w:rPr>
            </w:pPr>
          </w:p>
        </w:tc>
        <w:tc>
          <w:tcPr>
            <w:tcW w:w="3760" w:type="dxa"/>
            <w:vAlign w:val="bottom"/>
            <w:tcBorders>
              <w:right w:val="single" w:sz="8" w:color="auto"/>
            </w:tcBorders>
            <w:vMerge w:val="continue"/>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revisions, joint ventures, capital raises and NRZ relationship</w:t>
            </w:r>
          </w:p>
        </w:tc>
        <w:tc>
          <w:tcPr>
            <w:tcW w:w="1520" w:type="dxa"/>
            <w:vAlign w:val="bottom"/>
            <w:tcBorders>
              <w:righ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restructure.</w:t>
            </w:r>
          </w:p>
        </w:tc>
        <w:tc>
          <w:tcPr>
            <w:tcW w:w="15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Based on the Company’s actual 2017 performance and weightings assigned to each goal, the overall corporate scorecard payout for 2017 was 97.5%.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Component.</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i w:val="1"/>
          <w:iCs w:val="1"/>
          <w:color w:val="auto"/>
        </w:rPr>
        <w:t>Business Unit Scorecard</w:t>
      </w:r>
      <w:r>
        <w:rPr>
          <w:rFonts w:ascii="Arial" w:cs="Arial" w:eastAsia="Arial" w:hAnsi="Arial"/>
          <w:sz w:val="18"/>
          <w:szCs w:val="18"/>
          <w:color w:val="auto"/>
        </w:rPr>
        <w:t>. Each named executive officer’s business unit scorecard contained components of the Company’s corporate scorecard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initiatives related to the respective executive officer’s area of responsibility. As noted above, the incentive opportunity for our President and Chief Executive Officer during 2017 was based on the corporate scorecard and an individual performance appraisal, given his overall responsibility for the performance of the Company. Accordingly, he did not have a business unit scorecard.</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584"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For 2017:</w:t>
      </w:r>
    </w:p>
    <w:p>
      <w:pPr>
        <w:spacing w:after="0" w:line="225" w:lineRule="exact"/>
        <w:rPr>
          <w:sz w:val="20"/>
          <w:szCs w:val="20"/>
          <w:color w:val="auto"/>
        </w:rPr>
      </w:pPr>
    </w:p>
    <w:p>
      <w:pPr>
        <w:ind w:left="660" w:right="22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Bourque’s and Mr. Walker’s business unit scorecard was based on the overall finance function’s performance initiatives. In 2017, the finance scorecard had five equally weighted goals. One goal focused on enhancing the finance organization’s processes, one goal related to supporting key initiatives of the Company, one goal related to meeting finance department budgets, one goal was related to customer service and one goal was related to compliance and risk management initiatives of the finance department.</w:t>
      </w:r>
    </w:p>
    <w:p>
      <w:pPr>
        <w:spacing w:after="0" w:line="2"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Britti’s overall business unit scorecard was based on his oversight of the both the capital markets function and the Company’s investment organization. The goals included customer service, function budgets, compliance and risk, supporting strategic initiatives of the Company and the originations organization.</w:t>
      </w:r>
    </w:p>
    <w:p>
      <w:pPr>
        <w:spacing w:after="0" w:line="1" w:lineRule="exact"/>
        <w:rPr>
          <w:rFonts w:ascii="Arial" w:cs="Arial" w:eastAsia="Arial" w:hAnsi="Arial"/>
          <w:sz w:val="18"/>
          <w:szCs w:val="18"/>
          <w:color w:val="auto"/>
        </w:rPr>
      </w:pPr>
    </w:p>
    <w:p>
      <w:pPr>
        <w:ind w:left="660" w:right="80" w:hanging="328"/>
        <w:spacing w:after="0" w:line="273"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Anderson’s overall business unit scorecard was based on eight equally weighted departmental scorecards within residential servicing. The departmental scorecards included investor services, default servicing, servicing operations, operational control, call center operations, customer experience, financial operations and record services. Each departmental scorecard included goals related to meeting departmental budgets, achieving customer service targets and risk and compliance goals along with other specific departmental goals.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 value of the various goals in each named executive officer’s business unit scorecard varies depending upon the relative importance of the goals. Additionally, in developing the goals in the executive officer scorecards, we endeavor to incorporate a variety of quantitative and qualitative measures that we believe will help to incentivize performance that perpetuates the long-term success of the Company and discourages executives from pursuing short-term goals that may not be consistent with achieving such long-term success.</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Within each component of the business unit scorecard, there are three established levels of achievement: Threshold, Target and Outstanding. Outlined below is the percentage of their target incentive opportunities that our named executive officers are eligible to earn based on their level of achievement under their business unit scorecards (with different structures applying to our named executive officers based in the U.S. Virgin Islands (“USVI”), Messrs. Bourque and Walker).</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92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Level of Achievement</w:t>
            </w:r>
          </w:p>
        </w:tc>
        <w:tc>
          <w:tcPr>
            <w:tcW w:w="3760" w:type="dxa"/>
            <w:vAlign w:val="bottom"/>
            <w:tcBorders>
              <w:top w:val="single" w:sz="8" w:color="auto"/>
              <w:bottom w:val="single" w:sz="8" w:color="C0C0C0"/>
              <w:right w:val="single" w:sz="8" w:color="auto"/>
            </w:tcBorders>
            <w:shd w:val="clear" w:color="auto" w:fill="C0C0C0"/>
          </w:tcPr>
          <w:p>
            <w:pPr>
              <w:ind w:left="180"/>
              <w:spacing w:after="0"/>
              <w:rPr>
                <w:sz w:val="20"/>
                <w:szCs w:val="20"/>
                <w:color w:val="auto"/>
              </w:rPr>
            </w:pPr>
            <w:r>
              <w:rPr>
                <w:rFonts w:ascii="Arial" w:cs="Arial" w:eastAsia="Arial" w:hAnsi="Arial"/>
                <w:sz w:val="18"/>
                <w:szCs w:val="18"/>
                <w:b w:val="1"/>
                <w:bCs w:val="1"/>
                <w:color w:val="auto"/>
                <w:w w:val="95"/>
              </w:rPr>
              <w:t>Non-USVI-Based Named Executive Officers</w:t>
            </w:r>
          </w:p>
        </w:tc>
        <w:tc>
          <w:tcPr>
            <w:tcW w:w="3760" w:type="dxa"/>
            <w:vAlign w:val="bottom"/>
            <w:tcBorders>
              <w:top w:val="single" w:sz="8" w:color="auto"/>
              <w:bottom w:val="single" w:sz="8" w:color="C0C0C0"/>
              <w:right w:val="single" w:sz="8" w:color="auto"/>
            </w:tcBorders>
            <w:shd w:val="clear" w:color="auto" w:fill="C0C0C0"/>
          </w:tcPr>
          <w:p>
            <w:pPr>
              <w:ind w:left="360"/>
              <w:spacing w:after="0"/>
              <w:rPr>
                <w:sz w:val="20"/>
                <w:szCs w:val="20"/>
                <w:color w:val="auto"/>
              </w:rPr>
            </w:pPr>
            <w:r>
              <w:rPr>
                <w:rFonts w:ascii="Arial" w:cs="Arial" w:eastAsia="Arial" w:hAnsi="Arial"/>
                <w:sz w:val="18"/>
                <w:szCs w:val="18"/>
                <w:b w:val="1"/>
                <w:bCs w:val="1"/>
                <w:color w:val="auto"/>
              </w:rPr>
              <w:t>USVI-Based Named Executive Officers</w:t>
            </w:r>
          </w:p>
        </w:tc>
      </w:tr>
      <w:tr>
        <w:trPr>
          <w:trHeight w:val="237"/>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Below Threshold</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Outstanding</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believe that different incentive compensation structures for eligible USVI-based and non-USVI based employees are appropriate in light of the overall compensation packages available to each executive officer, including eligibility to participate in the plans and programs available in each jurisdiction.</w:t>
      </w:r>
    </w:p>
    <w:p>
      <w:pPr>
        <w:spacing w:after="0" w:line="178"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i w:val="1"/>
          <w:iCs w:val="1"/>
          <w:color w:val="auto"/>
        </w:rPr>
        <w:t>Performance Appraisal</w:t>
      </w:r>
      <w:r>
        <w:rPr>
          <w:rFonts w:ascii="Arial" w:cs="Arial" w:eastAsia="Arial" w:hAnsi="Arial"/>
          <w:sz w:val="16"/>
          <w:szCs w:val="16"/>
          <w:color w:val="auto"/>
        </w:rPr>
        <w:t>. The President and Chief Executive Officer’s performance appraisal rating is determined by the Compensation Committee in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 with the other non-management directors. The performance appraisal ratings of the other named executive officers are determined by the Compensation Committee after taking into account recommendations from the President and Chief Executive Officer. Named executive officers are rated based on five rating categories: Outstanding, Exceeds Expectations, Meets Expectations, Needs Improvement and Unsatisfactory. In 2017, no named executive officer received a performance appraisal rating that was deemed to Need Improvement or as Unsatisfactory. The performance appraisal for each named executive officer is utilized in determining the discretionary allocation of their individual component.</w:t>
      </w:r>
    </w:p>
    <w:p>
      <w:pPr>
        <w:spacing w:after="0" w:line="27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Each year, the President and Chief Executive Officer, Executive Vice President, Chief Investment Officer and the Senior Vice President, Human Resources present the proposed corporate scorecard results and the business unit scorecard results for each executive officer to the Compensation Committee, together with a recommended performance appraisal rating for each executive (other than the President and Chief Executive Officer). The Compensation Committee evaluates the proposed results and performance appraisal recommendations and determines the final incentive compensation awards for each executive.</w:t>
      </w:r>
    </w:p>
    <w:p>
      <w:pPr>
        <w:spacing w:after="0" w:line="2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Outlined below are the payout results (expressed as a percentage) for each component of the annual incentive opportunity: Corporate Component (based on the corporate scorecard), Individual Component (combined business unit scorecard and performance appraisal) and total payout as a percentage of target annual incentive for each named executive officer.</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584" w:right="21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912495</wp:posOffset>
            </wp:positionH>
            <wp:positionV relativeFrom="page">
              <wp:posOffset>466090</wp:posOffset>
            </wp:positionV>
            <wp:extent cx="5746115" cy="156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1569085"/>
                    </a:xfrm>
                    <a:prstGeom prst="rect">
                      <a:avLst/>
                    </a:prstGeom>
                    <a:noFill/>
                  </pic:spPr>
                </pic:pic>
              </a:graphicData>
            </a:graphic>
          </wp:anchor>
        </w:drawing>
        <w:t>Payout for Incentive Compensation Components</w:t>
      </w:r>
    </w:p>
    <w:p>
      <w:pPr>
        <w:spacing w:after="0" w:line="34" w:lineRule="exact"/>
        <w:rPr>
          <w:sz w:val="20"/>
          <w:szCs w:val="20"/>
          <w:color w:val="auto"/>
        </w:rPr>
      </w:pPr>
    </w:p>
    <w:tbl>
      <w:tblPr>
        <w:tblLayout w:type="fixed"/>
        <w:tblInd w:w="1200" w:type="dxa"/>
        <w:tblCellMar>
          <w:top w:w="0" w:type="dxa"/>
          <w:left w:w="0" w:type="dxa"/>
          <w:bottom w:w="0" w:type="dxa"/>
          <w:right w:w="0" w:type="dxa"/>
        </w:tblCellMar>
      </w:tblPr>
      <w:tr>
        <w:trPr>
          <w:trHeight w:val="252"/>
        </w:trPr>
        <w:tc>
          <w:tcPr>
            <w:tcW w:w="20" w:type="dxa"/>
            <w:vAlign w:val="bottom"/>
            <w:tcBorders>
              <w:top w:val="single" w:sz="8" w:color="auto"/>
            </w:tcBorders>
          </w:tcPr>
          <w:p>
            <w:pPr>
              <w:spacing w:after="0"/>
              <w:rPr>
                <w:sz w:val="21"/>
                <w:szCs w:val="21"/>
                <w:color w:val="auto"/>
              </w:rPr>
            </w:pPr>
          </w:p>
        </w:tc>
        <w:tc>
          <w:tcPr>
            <w:tcW w:w="2640" w:type="dxa"/>
            <w:vAlign w:val="bottom"/>
            <w:tcBorders>
              <w:top w:val="single" w:sz="8" w:color="auto"/>
              <w:right w:val="single" w:sz="8" w:color="auto"/>
            </w:tcBorders>
            <w:shd w:val="clear" w:color="auto" w:fill="C0C0C0"/>
          </w:tcPr>
          <w:p>
            <w:pPr>
              <w:spacing w:after="0"/>
              <w:rPr>
                <w:sz w:val="21"/>
                <w:szCs w:val="21"/>
                <w:color w:val="auto"/>
              </w:rPr>
            </w:pPr>
          </w:p>
        </w:tc>
        <w:tc>
          <w:tcPr>
            <w:tcW w:w="2060" w:type="dxa"/>
            <w:vAlign w:val="bottom"/>
            <w:tcBorders>
              <w:top w:val="single" w:sz="8" w:color="auto"/>
              <w:right w:val="single" w:sz="8" w:color="auto"/>
            </w:tcBorders>
            <w:shd w:val="clear" w:color="auto" w:fill="C0C0C0"/>
          </w:tcPr>
          <w:p>
            <w:pPr>
              <w:spacing w:after="0"/>
              <w:rPr>
                <w:sz w:val="21"/>
                <w:szCs w:val="21"/>
                <w:color w:val="auto"/>
              </w:rPr>
            </w:pPr>
          </w:p>
        </w:tc>
        <w:tc>
          <w:tcPr>
            <w:tcW w:w="2180" w:type="dxa"/>
            <w:vAlign w:val="bottom"/>
            <w:tcBorders>
              <w:top w:val="single" w:sz="8" w:color="auto"/>
              <w:right w:val="single" w:sz="8" w:color="auto"/>
            </w:tcBorders>
            <w:shd w:val="clear" w:color="auto" w:fill="C0C0C0"/>
          </w:tcPr>
          <w:p>
            <w:pPr>
              <w:spacing w:after="0"/>
              <w:rPr>
                <w:sz w:val="21"/>
                <w:szCs w:val="21"/>
                <w:color w:val="auto"/>
              </w:rPr>
            </w:pPr>
          </w:p>
        </w:tc>
        <w:tc>
          <w:tcPr>
            <w:tcW w:w="214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 Incentive Payout</w:t>
            </w:r>
          </w:p>
        </w:tc>
      </w:tr>
      <w:tr>
        <w:trPr>
          <w:trHeight w:val="216"/>
        </w:trPr>
        <w:tc>
          <w:tcPr>
            <w:tcW w:w="20" w:type="dxa"/>
            <w:vAlign w:val="bottom"/>
          </w:tcPr>
          <w:p>
            <w:pPr>
              <w:spacing w:after="0"/>
              <w:rPr>
                <w:sz w:val="18"/>
                <w:szCs w:val="18"/>
                <w:color w:val="auto"/>
              </w:rPr>
            </w:pPr>
          </w:p>
        </w:tc>
        <w:tc>
          <w:tcPr>
            <w:tcW w:w="264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Corporate Component</w:t>
            </w:r>
          </w:p>
        </w:tc>
        <w:tc>
          <w:tcPr>
            <w:tcW w:w="2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Individual Component</w:t>
            </w:r>
          </w:p>
        </w:tc>
        <w:tc>
          <w:tcPr>
            <w:tcW w:w="214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(as a percentage of Target</w:t>
            </w:r>
          </w:p>
        </w:tc>
      </w:tr>
      <w:tr>
        <w:trPr>
          <w:trHeight w:val="261"/>
        </w:trPr>
        <w:tc>
          <w:tcPr>
            <w:tcW w:w="20" w:type="dxa"/>
            <w:vAlign w:val="bottom"/>
          </w:tcPr>
          <w:p>
            <w:pPr>
              <w:spacing w:after="0"/>
              <w:rPr>
                <w:sz w:val="22"/>
                <w:szCs w:val="22"/>
                <w:color w:val="auto"/>
              </w:rPr>
            </w:pPr>
          </w:p>
        </w:tc>
        <w:tc>
          <w:tcPr>
            <w:tcW w:w="26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Name</w:t>
            </w:r>
          </w:p>
        </w:tc>
        <w:tc>
          <w:tcPr>
            <w:tcW w:w="20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Payout</w:t>
            </w:r>
          </w:p>
        </w:tc>
        <w:tc>
          <w:tcPr>
            <w:tcW w:w="21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Payout</w:t>
            </w:r>
          </w:p>
        </w:tc>
        <w:tc>
          <w:tcPr>
            <w:tcW w:w="214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 Incentive)</w:t>
            </w:r>
          </w:p>
        </w:tc>
      </w:tr>
      <w:tr>
        <w:trPr>
          <w:trHeight w:val="237"/>
        </w:trPr>
        <w:tc>
          <w:tcPr>
            <w:tcW w:w="2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Ronald M. Faris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97.5%</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97.5%</w:t>
            </w: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97.5%</w:t>
            </w:r>
          </w:p>
        </w:tc>
      </w:tr>
      <w:tr>
        <w:trPr>
          <w:trHeight w:val="27"/>
        </w:trPr>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Michael R. Bourque, Jr.</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97.5%</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105.0%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98.0%</w:t>
            </w:r>
          </w:p>
        </w:tc>
      </w:tr>
      <w:tr>
        <w:trPr>
          <w:trHeight w:val="27"/>
        </w:trPr>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2640" w:type="dxa"/>
            <w:vAlign w:val="bottom"/>
            <w:tcBorders>
              <w:bottom w:val="single" w:sz="8" w:color="auto"/>
              <w:right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Scott W. Anderson </w:t>
            </w:r>
            <w:r>
              <w:rPr>
                <w:rFonts w:ascii="Arial" w:cs="Arial" w:eastAsia="Arial" w:hAnsi="Arial"/>
                <w:sz w:val="25"/>
                <w:szCs w:val="25"/>
                <w:color w:val="auto"/>
                <w:vertAlign w:val="superscript"/>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97.5%</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153.0%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108.6%</w:t>
            </w:r>
          </w:p>
        </w:tc>
      </w:tr>
      <w:tr>
        <w:trPr>
          <w:trHeight w:val="237"/>
        </w:trPr>
        <w:tc>
          <w:tcPr>
            <w:tcW w:w="20" w:type="dxa"/>
            <w:vAlign w:val="bottom"/>
          </w:tcPr>
          <w:p>
            <w:pPr>
              <w:spacing w:after="0"/>
              <w:rPr>
                <w:sz w:val="20"/>
                <w:szCs w:val="20"/>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John V. Britti</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97.5%</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117.5%</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101.5%</w:t>
            </w:r>
          </w:p>
        </w:tc>
      </w:tr>
      <w:tr>
        <w:trPr>
          <w:trHeight w:val="27"/>
        </w:trPr>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Arthur C. Walker, Jr.</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97.5%</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105.1%</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99.6%</w:t>
            </w:r>
          </w:p>
        </w:tc>
      </w:tr>
      <w:tr>
        <w:trPr>
          <w:trHeight w:val="34"/>
        </w:trPr>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right="240" w:firstLine="8"/>
        <w:spacing w:after="0" w:line="301" w:lineRule="auto"/>
        <w:tabs>
          <w:tab w:leader="none" w:pos="178"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Scott Anderson’s Individual Component Payout reflects a discretionary payout of $42,500, which was approved by the Compensation Committee within the parameters of the 1998 Annual Incentive Plan based on the Compensation Committee’s assessment of his performance in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approved our 2018 corporate scorecard. Corporate objectives covered in the scorecard include:</w:t>
      </w:r>
    </w:p>
    <w:p>
      <w:pPr>
        <w:spacing w:after="0" w:line="26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performance relative to budget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Closing our previously announced strategic transaction with PHH Corporation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enhance our risk and compliance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customer satisfaction and building on employee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resolve key legacy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Achieving targeted investment returns on certain excess cash amounts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and executing strategic transactions that create shareholder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Ocwen’s long-term incentive opportunity for eligible employees, including executive officers, through equity awards is provided under the 2017 Performance Incentive Plan (the “2017 Plan”). The 2017 Plan was adopted by the Compensation Committee and approved by our shareholders during 2017 and replaces the 2007 Equity Incentive Plan (the “2007 Plan”). Any equity awards granted through the 2007 Plan continue to be administered by the Compensation Committee, as are those granted under the 2017 Plan. The 2017 Plan authorizes the grant of restricted stock, restricted stock units, options, stock appreciation rights or other equity-based awards to our employees (including executive officers), directors, advisors and consultants. To date, we have made grants under the 2017 Plan only to employees and directors. We implemented the 2017 Plan to motivate employees to make extraordinary efforts to achieve significant improvements to shareholder value, support retention of key employees and align the interests of our employees with the interests of our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 - 2017 Awards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Compensation Committee periodically reviews the granting of equity awards to employees based on such factors as Company performance, market competitive conditions and advice on executive compensation from the Compensation Committee’s independent compensation consultant. There were no equity awards granted during 2017 to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USVI Relocation Program and OMS Preferred Stock Plan</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Our USVI operations, which are based in St. Croix, USVI, are important structurally to our business model. Generally, the senior executives that we have sought to hire as OMS executives have not been based in St. Croix. Rather, the senior level talent we have recruited has generally been located in major metropolitan centers in the United States that in some cases are thousands of miles from St. Croix. In addition, St. Croix is generally more economically depressed, but has a higher cost of living, compared to many of the major metropolitan areas of the United States where we believe senior talent is located and a number of our peer companies are based.</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USVI Relocation Program</w:t>
      </w:r>
      <w:r>
        <w:rPr>
          <w:rFonts w:ascii="Arial" w:cs="Arial" w:eastAsia="Arial" w:hAnsi="Arial"/>
          <w:sz w:val="18"/>
          <w:szCs w:val="18"/>
          <w:color w:val="auto"/>
        </w:rPr>
        <w:t>. In order to enable us to recruit top talent and incentivize key personnel to relocate, we offer a relocation package to individuals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director level and above who relocate to the USVI to work for OMS (the “USVI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69" w:right="239" w:bottom="1440" w:gutter="0" w:footer="0" w:header="0"/>
        </w:sectPr>
      </w:pPr>
    </w:p>
    <w:bookmarkStart w:id="34" w:name="page35"/>
    <w:bookmarkEnd w:id="34"/>
    <w:p>
      <w:pPr>
        <w:ind w:right="120"/>
        <w:spacing w:after="0" w:line="270" w:lineRule="auto"/>
        <w:rPr>
          <w:sz w:val="20"/>
          <w:szCs w:val="20"/>
          <w:color w:val="auto"/>
        </w:rPr>
      </w:pPr>
      <w:r>
        <w:rPr>
          <w:rFonts w:ascii="Arial" w:cs="Arial" w:eastAsia="Arial" w:hAnsi="Arial"/>
          <w:sz w:val="17"/>
          <w:szCs w:val="17"/>
          <w:color w:val="auto"/>
        </w:rPr>
        <w:t>Relocation Program”). The USVI Relocation Program includes relocation benefits such as moving expenses, home sale support, a housing allowance for up to five years, payment of children’s school tuition fees, payment of “home leave” travel for return trips to the continental United States and tax gross ups on certain taxable benefits, in each case subject to certain limits and exceptions. Upon a participant’s retirement or involuntary termination without cause, such participant is eligible to receive reimbursement for relocation costs back to the continental United States.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We believe that our USVI Relocation Program is necessary to attract and retain talent that is critical to the success of our USVI operations. For 2017, each of Messrs. Bourque and Walker received benefits under the USVI Relocation Program, as set forth in the “Summary Compensation Table” below and accompanying footnotes. Messrs. Faris, Anderson and Britti did not receive any benefits under the USVI Relocation Program because they are US-based executives.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OMS Preferred Stock Plan</w:t>
      </w:r>
      <w:r>
        <w:rPr>
          <w:rFonts w:ascii="Arial" w:cs="Arial" w:eastAsia="Arial" w:hAnsi="Arial"/>
          <w:sz w:val="18"/>
          <w:szCs w:val="18"/>
          <w:color w:val="auto"/>
        </w:rPr>
        <w:t>. The Amended and Restated 2013 Preferred Stock Plan of OMS (the “OMS Preferred Stock Plan”) authorizes the grant of non-voting OMS Preferred Stock to OMS employees. The OMS Preferred Stock Plan was created to induce certain OMS employees to relocate and work in the USVI, remain in the employ of OMS and provide additional incentive to promote the success of OMS.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of OMS authorized the purchase of 1,000 shares of Class B Preferred Stock by Mr. Walker and 1,000 shares of Class I Preferred Stock by Mr. Bourque on March 5, 2014 and February 14, 2015, respectively. OMS declared quarterly dividends on each of the outstanding classes of OMS Preferred Stock, payable on March 31, 2017, June 30, 2017, October 20, 2017 and December 22, 2017 based upon the performance of OMS during 2017. Details regarding these dividends are set forth in the “Summary Compensation Table” below and accompanying footnotes. Messrs. Faris, Anderson and Britti did not participate in the OMS Preferred Stock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policy with respect to employee benefit plans generally is to provide benefits to our employees, including our executive officers, that are comparable to benefits offered by companies of a similar size. We believe that a competitive comprehensive benefit program is essential to achieving the goal of attracting and retaining highly-qualified employees. Our named executive officers participate in the benefit plans offered to our salaried employees, generally, including medical, dental, life and disability insurance plans, and a 401(k) retirement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Say-on-Pay Vote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believes our executive compensation programs are effectively designed, are in alignment with the interests of our shareholders and are instrumental to achieving our business strategy. In recent years, shareholder feedback in the form of shareholder advisory votes on Ocwen’s executive compensation has been very positive. At each of our Annual Meetings of Shareholders since 2014, we have received at least 96% of votes cast on our Say-on-Pay proposal in favor of our executive compensation.</w:t>
      </w:r>
    </w:p>
    <w:p>
      <w:pPr>
        <w:spacing w:after="0" w:line="20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a result, the Compensation Committee has continued to apply the same principles and philosophy it has used in previous years in determining executive compensation levels. The Compensation Committee and our Board of Directors intends to continue to consider shareholder feedback in the future. In light of the voting results with respect to the frequency of shareholder votes on executive compensation at our 2017 Annual Meeting of Shareholders, the Board of Directors decided that the Company will hold an advisory vote on the compensation of named executive officers at each annual meeting of shareholders until the next required vote on the frequency of shareholder votes on executive compensation, which is not required to take place until 2023</w:t>
      </w:r>
      <w:r>
        <w:rPr>
          <w:rFonts w:ascii="Arial" w:cs="Arial" w:eastAsia="Arial" w:hAnsi="Arial"/>
          <w:sz w:val="17"/>
          <w:szCs w:val="17"/>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President and Chief Executive Officer is involved in the recommendation of certain compensation arrangements for approval by the Compensation Committee. The President and Chief Executive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President and Chief Executive Officer presents his conclusions and recommendations regarding annual compensation and annual incentive opportunity amounts for the executive officers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President and Chief Executive Officer are made by the Compensation Committee, which consults with the other non-management directors and outside advisors to the extent it deems appropriate. The Senior Vice President, Human Resources assists the President and Chief Executive Officer and the Compensation Committee by providing them with market data and other reference materials.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Compensation Levels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Compensation Committee periodically reviews the compensation of the President and Chief Executive Officer and our other named executive officers. As discussed above, adjustments are made by the Compensation Committee in its judgment, taking into account compensation arrangements for comparable positions at peer group companies (discussed below), analysis prepared by Willis Towers Watson, individual performance of the executive officer,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 (discussed below). The Compensation Committee considered the compensation of our named executive officers and made no changes during 2017.</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Typically, market reviews for our named executive officers are based on comparisons against a peer group of companies that are recommended to the Compensation Committee by its independent compensation consultant. During 2017, Willis Towers Watson reviewed our peer group and, based on a number of metrics, including industry classification, revenues, number of employees and functional operations, a recommendation was made to refine the peer group. Based on the recommendation of Willis Towers Watson, the Compensation Committee elected to change the peer group. The peer group selected through this process is listed below.</w:t>
      </w:r>
    </w:p>
    <w:p>
      <w:pPr>
        <w:spacing w:after="0" w:line="377" w:lineRule="exact"/>
        <w:rPr>
          <w:sz w:val="20"/>
          <w:szCs w:val="20"/>
          <w:color w:val="auto"/>
        </w:rPr>
      </w:pPr>
    </w:p>
    <w:tbl>
      <w:tblPr>
        <w:tblLayout w:type="fixed"/>
        <w:tblInd w:w="1560" w:type="dxa"/>
        <w:tblCellMar>
          <w:top w:w="0" w:type="dxa"/>
          <w:left w:w="0" w:type="dxa"/>
          <w:bottom w:w="0" w:type="dxa"/>
          <w:right w:w="0" w:type="dxa"/>
        </w:tblCellMar>
      </w:tblPr>
      <w:tr>
        <w:trPr>
          <w:trHeight w:val="230"/>
        </w:trPr>
        <w:tc>
          <w:tcPr>
            <w:tcW w:w="4140" w:type="dxa"/>
            <w:vAlign w:val="bottom"/>
          </w:tcPr>
          <w:p>
            <w:pPr>
              <w:jc w:val="center"/>
              <w:ind w:right="1430"/>
              <w:spacing w:after="0"/>
              <w:rPr>
                <w:sz w:val="20"/>
                <w:szCs w:val="20"/>
                <w:color w:val="auto"/>
              </w:rPr>
            </w:pPr>
            <w:r>
              <w:rPr>
                <w:rFonts w:ascii="Arial" w:cs="Arial" w:eastAsia="Arial" w:hAnsi="Arial"/>
                <w:sz w:val="18"/>
                <w:szCs w:val="18"/>
                <w:color w:val="auto"/>
                <w:w w:val="92"/>
              </w:rPr>
              <w:t>Broadridge Financial Solutions, Inc.</w:t>
            </w:r>
          </w:p>
        </w:tc>
        <w:tc>
          <w:tcPr>
            <w:tcW w:w="4220" w:type="dxa"/>
            <w:vAlign w:val="bottom"/>
          </w:tcPr>
          <w:p>
            <w:pPr>
              <w:jc w:val="center"/>
              <w:ind w:left="1430"/>
              <w:spacing w:after="0"/>
              <w:rPr>
                <w:sz w:val="20"/>
                <w:szCs w:val="20"/>
                <w:color w:val="auto"/>
              </w:rPr>
            </w:pPr>
            <w:r>
              <w:rPr>
                <w:rFonts w:ascii="Arial" w:cs="Arial" w:eastAsia="Arial" w:hAnsi="Arial"/>
                <w:sz w:val="18"/>
                <w:szCs w:val="18"/>
                <w:color w:val="auto"/>
                <w:w w:val="91"/>
              </w:rPr>
              <w:t>Radian Group Inc.</w:t>
            </w:r>
          </w:p>
        </w:tc>
      </w:tr>
      <w:tr>
        <w:trPr>
          <w:trHeight w:val="270"/>
        </w:trPr>
        <w:tc>
          <w:tcPr>
            <w:tcW w:w="4140" w:type="dxa"/>
            <w:vAlign w:val="bottom"/>
          </w:tcPr>
          <w:p>
            <w:pPr>
              <w:jc w:val="center"/>
              <w:ind w:right="1430"/>
              <w:spacing w:after="0"/>
              <w:rPr>
                <w:sz w:val="20"/>
                <w:szCs w:val="20"/>
                <w:color w:val="auto"/>
              </w:rPr>
            </w:pPr>
            <w:r>
              <w:rPr>
                <w:rFonts w:ascii="Arial" w:cs="Arial" w:eastAsia="Arial" w:hAnsi="Arial"/>
                <w:sz w:val="18"/>
                <w:szCs w:val="18"/>
                <w:color w:val="auto"/>
                <w:w w:val="93"/>
              </w:rPr>
              <w:t>Euronet Worldwide, Inc.</w:t>
            </w:r>
          </w:p>
        </w:tc>
        <w:tc>
          <w:tcPr>
            <w:tcW w:w="4220" w:type="dxa"/>
            <w:vAlign w:val="bottom"/>
          </w:tcPr>
          <w:p>
            <w:pPr>
              <w:jc w:val="center"/>
              <w:ind w:left="1430"/>
              <w:spacing w:after="0"/>
              <w:rPr>
                <w:sz w:val="20"/>
                <w:szCs w:val="20"/>
                <w:color w:val="auto"/>
              </w:rPr>
            </w:pPr>
            <w:r>
              <w:rPr>
                <w:rFonts w:ascii="Arial" w:cs="Arial" w:eastAsia="Arial" w:hAnsi="Arial"/>
                <w:sz w:val="18"/>
                <w:szCs w:val="18"/>
                <w:color w:val="auto"/>
                <w:w w:val="90"/>
              </w:rPr>
              <w:t>PennyMac Financial Services, Inc.</w:t>
            </w:r>
          </w:p>
        </w:tc>
      </w:tr>
      <w:tr>
        <w:trPr>
          <w:trHeight w:val="270"/>
        </w:trPr>
        <w:tc>
          <w:tcPr>
            <w:tcW w:w="4140" w:type="dxa"/>
            <w:vAlign w:val="bottom"/>
          </w:tcPr>
          <w:p>
            <w:pPr>
              <w:jc w:val="center"/>
              <w:ind w:right="1430"/>
              <w:spacing w:after="0"/>
              <w:rPr>
                <w:sz w:val="20"/>
                <w:szCs w:val="20"/>
                <w:color w:val="auto"/>
              </w:rPr>
            </w:pPr>
            <w:r>
              <w:rPr>
                <w:rFonts w:ascii="Arial" w:cs="Arial" w:eastAsia="Arial" w:hAnsi="Arial"/>
                <w:sz w:val="18"/>
                <w:szCs w:val="18"/>
                <w:color w:val="auto"/>
                <w:w w:val="94"/>
              </w:rPr>
              <w:t>CoreLogic, Inc.</w:t>
            </w:r>
          </w:p>
        </w:tc>
        <w:tc>
          <w:tcPr>
            <w:tcW w:w="4220" w:type="dxa"/>
            <w:vAlign w:val="bottom"/>
          </w:tcPr>
          <w:p>
            <w:pPr>
              <w:jc w:val="center"/>
              <w:ind w:left="1430"/>
              <w:spacing w:after="0"/>
              <w:rPr>
                <w:sz w:val="20"/>
                <w:szCs w:val="20"/>
                <w:color w:val="auto"/>
              </w:rPr>
            </w:pPr>
            <w:r>
              <w:rPr>
                <w:rFonts w:ascii="Arial" w:cs="Arial" w:eastAsia="Arial" w:hAnsi="Arial"/>
                <w:sz w:val="18"/>
                <w:szCs w:val="18"/>
                <w:color w:val="auto"/>
                <w:w w:val="92"/>
              </w:rPr>
              <w:t>MGIC Investment Corporation</w:t>
            </w:r>
          </w:p>
        </w:tc>
      </w:tr>
      <w:tr>
        <w:trPr>
          <w:trHeight w:val="270"/>
        </w:trPr>
        <w:tc>
          <w:tcPr>
            <w:tcW w:w="4140" w:type="dxa"/>
            <w:vAlign w:val="bottom"/>
          </w:tcPr>
          <w:p>
            <w:pPr>
              <w:jc w:val="center"/>
              <w:ind w:right="1450"/>
              <w:spacing w:after="0"/>
              <w:rPr>
                <w:sz w:val="20"/>
                <w:szCs w:val="20"/>
                <w:color w:val="auto"/>
              </w:rPr>
            </w:pPr>
            <w:r>
              <w:rPr>
                <w:rFonts w:ascii="Arial" w:cs="Arial" w:eastAsia="Arial" w:hAnsi="Arial"/>
                <w:sz w:val="18"/>
                <w:szCs w:val="18"/>
                <w:color w:val="auto"/>
                <w:w w:val="92"/>
              </w:rPr>
              <w:t>Navient Corporation</w:t>
            </w:r>
          </w:p>
        </w:tc>
        <w:tc>
          <w:tcPr>
            <w:tcW w:w="4220" w:type="dxa"/>
            <w:vAlign w:val="bottom"/>
          </w:tcPr>
          <w:p>
            <w:pPr>
              <w:jc w:val="center"/>
              <w:ind w:left="1430"/>
              <w:spacing w:after="0"/>
              <w:rPr>
                <w:sz w:val="20"/>
                <w:szCs w:val="20"/>
                <w:color w:val="auto"/>
              </w:rPr>
            </w:pPr>
            <w:r>
              <w:rPr>
                <w:rFonts w:ascii="Arial" w:cs="Arial" w:eastAsia="Arial" w:hAnsi="Arial"/>
                <w:sz w:val="18"/>
                <w:szCs w:val="18"/>
                <w:color w:val="auto"/>
                <w:w w:val="93"/>
              </w:rPr>
              <w:t>Black Knight Financial Services, Inc.</w:t>
            </w:r>
          </w:p>
        </w:tc>
      </w:tr>
      <w:tr>
        <w:trPr>
          <w:trHeight w:val="270"/>
        </w:trPr>
        <w:tc>
          <w:tcPr>
            <w:tcW w:w="4140" w:type="dxa"/>
            <w:vAlign w:val="bottom"/>
          </w:tcPr>
          <w:p>
            <w:pPr>
              <w:jc w:val="center"/>
              <w:ind w:right="1450"/>
              <w:spacing w:after="0"/>
              <w:rPr>
                <w:sz w:val="20"/>
                <w:szCs w:val="20"/>
                <w:color w:val="auto"/>
              </w:rPr>
            </w:pPr>
            <w:r>
              <w:rPr>
                <w:rFonts w:ascii="Arial" w:cs="Arial" w:eastAsia="Arial" w:hAnsi="Arial"/>
                <w:sz w:val="18"/>
                <w:szCs w:val="18"/>
                <w:color w:val="auto"/>
                <w:w w:val="91"/>
              </w:rPr>
              <w:t>DST Systems, Inc.</w:t>
            </w:r>
          </w:p>
        </w:tc>
        <w:tc>
          <w:tcPr>
            <w:tcW w:w="4220" w:type="dxa"/>
            <w:vAlign w:val="bottom"/>
          </w:tcPr>
          <w:p>
            <w:pPr>
              <w:jc w:val="center"/>
              <w:ind w:left="1430"/>
              <w:spacing w:after="0"/>
              <w:rPr>
                <w:sz w:val="20"/>
                <w:szCs w:val="20"/>
                <w:color w:val="auto"/>
              </w:rPr>
            </w:pPr>
            <w:r>
              <w:rPr>
                <w:rFonts w:ascii="Arial" w:cs="Arial" w:eastAsia="Arial" w:hAnsi="Arial"/>
                <w:sz w:val="18"/>
                <w:szCs w:val="18"/>
                <w:color w:val="auto"/>
                <w:w w:val="91"/>
              </w:rPr>
              <w:t>PHH Corporation</w:t>
            </w:r>
          </w:p>
        </w:tc>
      </w:tr>
      <w:tr>
        <w:trPr>
          <w:trHeight w:val="270"/>
        </w:trPr>
        <w:tc>
          <w:tcPr>
            <w:tcW w:w="4140" w:type="dxa"/>
            <w:vAlign w:val="bottom"/>
          </w:tcPr>
          <w:p>
            <w:pPr>
              <w:jc w:val="center"/>
              <w:ind w:right="1430"/>
              <w:spacing w:after="0"/>
              <w:rPr>
                <w:sz w:val="20"/>
                <w:szCs w:val="20"/>
                <w:color w:val="auto"/>
              </w:rPr>
            </w:pPr>
            <w:r>
              <w:rPr>
                <w:rFonts w:ascii="Arial" w:cs="Arial" w:eastAsia="Arial" w:hAnsi="Arial"/>
                <w:sz w:val="18"/>
                <w:szCs w:val="18"/>
                <w:color w:val="auto"/>
                <w:w w:val="91"/>
              </w:rPr>
              <w:t>Jack Henry &amp; Associates, Inc.</w:t>
            </w:r>
          </w:p>
        </w:tc>
        <w:tc>
          <w:tcPr>
            <w:tcW w:w="4220" w:type="dxa"/>
            <w:vAlign w:val="bottom"/>
          </w:tcPr>
          <w:p>
            <w:pPr>
              <w:jc w:val="center"/>
              <w:ind w:left="1450"/>
              <w:spacing w:after="0"/>
              <w:rPr>
                <w:sz w:val="20"/>
                <w:szCs w:val="20"/>
                <w:color w:val="auto"/>
              </w:rPr>
            </w:pPr>
            <w:r>
              <w:rPr>
                <w:rFonts w:ascii="Arial" w:cs="Arial" w:eastAsia="Arial" w:hAnsi="Arial"/>
                <w:sz w:val="18"/>
                <w:szCs w:val="18"/>
                <w:color w:val="auto"/>
                <w:w w:val="90"/>
              </w:rPr>
              <w:t>Flagstar Bancorp, Inc.</w:t>
            </w:r>
          </w:p>
        </w:tc>
      </w:tr>
      <w:tr>
        <w:trPr>
          <w:trHeight w:val="270"/>
        </w:trPr>
        <w:tc>
          <w:tcPr>
            <w:tcW w:w="4140" w:type="dxa"/>
            <w:vAlign w:val="bottom"/>
          </w:tcPr>
          <w:p>
            <w:pPr>
              <w:jc w:val="center"/>
              <w:ind w:right="1450"/>
              <w:spacing w:after="0"/>
              <w:rPr>
                <w:sz w:val="20"/>
                <w:szCs w:val="20"/>
                <w:color w:val="auto"/>
              </w:rPr>
            </w:pPr>
            <w:r>
              <w:rPr>
                <w:rFonts w:ascii="Arial" w:cs="Arial" w:eastAsia="Arial" w:hAnsi="Arial"/>
                <w:sz w:val="18"/>
                <w:szCs w:val="18"/>
                <w:color w:val="auto"/>
                <w:w w:val="92"/>
              </w:rPr>
              <w:t>Nationstar Mortgage Holdings Inc.</w:t>
            </w:r>
          </w:p>
        </w:tc>
        <w:tc>
          <w:tcPr>
            <w:tcW w:w="4220" w:type="dxa"/>
            <w:vAlign w:val="bottom"/>
          </w:tcPr>
          <w:p>
            <w:pPr>
              <w:jc w:val="center"/>
              <w:ind w:left="1430"/>
              <w:spacing w:after="0"/>
              <w:rPr>
                <w:sz w:val="20"/>
                <w:szCs w:val="20"/>
                <w:color w:val="auto"/>
              </w:rPr>
            </w:pPr>
            <w:r>
              <w:rPr>
                <w:rFonts w:ascii="Arial" w:cs="Arial" w:eastAsia="Arial" w:hAnsi="Arial"/>
                <w:sz w:val="18"/>
                <w:szCs w:val="18"/>
                <w:color w:val="auto"/>
                <w:w w:val="90"/>
              </w:rPr>
              <w:t>Walter Investment Corporation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Prohibition against Short Sales, Hedging and Margin Accounts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do not have stock ownership requirements for our executives,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 We maintain an Insider Trading Prevention Policy that governs the timing of transactions in securities of the Company by directors and executives.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our Insider Trading Prevention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and to discourage active trading or short-term speculation.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maintains an incentive compensation clawback policy that allows our Board of Directors or the Compensation Committee to recoup incentive compensation if the Company restates its financial statements. The policy applies to cash or equity incentive payments or awards to Covered Individuals (as defined below) when (1) the amount of any such payment or award was determined based on the achievement of financial results that were subsequently the subject of an accounting restatement due to noncompliance with any financial reporting requirement under federal securities laws, (2) a lesser (or no) payment or award would have been made based upon the restated financial results, and (3) the payment or award was received (or the applicable vesting event of the award occurred) during the three-year period preceding the date on which the Company is required to prepare such accounting restatement. For purposes of the policy, a “Covered Individual” means any current or former employee who, at the time of receipt of any such payment or award, was an executive officer of the Company or an Executive Vice President or more senior officer of the Company or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All of our named executive officers have executed an intellectual property and non-disclosure agreement. This agreement requires the named executive officer to hold all “confidential information” in trust for us and prohibits the named executive officer from using or disclosing such confidential information except as necessary in the regular course of our business or as otherwise required by law.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new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(the scope of which is currently uncertain). Also under the new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Pay-Ratio Disclosure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 rules for this disclosure and applying the methodology described below, we have determined that our CEO’s total compensation for 2017 was $2,245,301 and the median of the total 2017 compensation of all of our employees (excluding our CEO) was $31,283 (after applying a cost-of-living adjustment and converting foreign currency to U.S. dollars, as described below). Accordingly, we estimate the cost-of-living-adjusted ratio of our CEO’s total compensation for 2017 to the median of the total 2017 compensation of all of our employees (excluding our CEO) to be 72 to 1.</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identified the median employee by taking into account the total cash compensation paid for 2017 to all individuals, excluding our CEO, who were employed by us or one of our subsidiaries on December 30, 2017. We believe this is an appropriate measure of total compensation because we do not distribute equity awards to all employees. We included all employees, whether employed on a full-time, part-time, or seasonal basis. We did not annualize the compensation for any employees who were not employed by us for all of 2017. We applied a cost of living adjustment to employees employed outside of the United States as described below. Once the median employee was identified as described above, that employee’s total compensation for 2017 was determined using the same rules that apply to reporting the compensation of our Named Executive Officers (including our CEO) in the “Total” column of the Summary Compensation Table. The total compensation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ind w:right="620"/>
        <w:spacing w:after="0" w:line="277" w:lineRule="auto"/>
        <w:rPr>
          <w:sz w:val="20"/>
          <w:szCs w:val="20"/>
          <w:color w:val="auto"/>
        </w:rPr>
      </w:pPr>
      <w:r>
        <w:rPr>
          <w:rFonts w:ascii="Arial" w:cs="Arial" w:eastAsia="Arial" w:hAnsi="Arial"/>
          <w:sz w:val="18"/>
          <w:szCs w:val="18"/>
          <w:color w:val="auto"/>
        </w:rPr>
        <w:t>amounts included in the first paragraph of this pay-ratio disclosure were determined based on that methodology (in the case of the median employee’s compensation, as adjusted for cost-of-living and currency conversion as described below).</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permitted under SEC rules, in identifying the median employee and in presenting the median employee’s total 2017 compensation above, we applied a cost-of-living adjustment to the compensation of employees outside the United States based on a purchasing power parity conversion factor published by The World Bank for 2016.</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Using this methodology, we determined that our median employee is employed in Bangalore, India. In calculating the compensation of this employee, which was paid in Indian Rupees, we also applied a currency conversion factor based on the average U.S. dollar to Indian Rupee exchange rate during 2017.</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If we had determined the median employee and total 2017 compensation as described in the preceding paragraph but had not applied a cost-of-living adjustment to identify our median employee or calculate our median employee’s total 2017 compensation, the median of the total 2017 compensation of all of our employees (excluding our CEO) would have been $10,164 and we estimate the resulting ratio of our CEO’s total compensation for 2017 to the median of the total 2017 compensation of all of our employees (excluding our CEO) would have been to 221 to 1.</w:t>
      </w:r>
    </w:p>
    <w:p>
      <w:pPr>
        <w:spacing w:after="0" w:line="18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If we only considered our U.S.-based employees (excluding our CEO) in identifying the median employee using the methodology otherwise described above, we determined that our median U.S.-based employee’s total 2017 compensation was $66,462. Accordingly, we estimate the resulting ratio of our CEO’s total compensation for 2017 to the median of the total 2017 compensation of all our U.S.-based employees (excluding our CEO) to be 34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8"/>
        <w:spacing w:after="0" w:line="261" w:lineRule="auto"/>
        <w:tabs>
          <w:tab w:leader="none" w:pos="108"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The “price level ratio of PPP conversion factor (GDP) to market exchange rate” published by the World Bank indicates how many U.S. dollars are needed to buy one U.S. dollar’s worth of goods in a particular country. For 2016, the most recent data accessible, the ratio reported for India was 0.3, meaning the local currency equivalent of $1 purchased $3.33 worth of goods in India. Similarly, the ratio reported for the Philippines was 0.4, meaning the local currency equivalent of $1 purchased $2.50 worth of goods in the Philippines. Accordingly, we multiplied the 2017 compensation of each employee based in India by</w:t>
      </w:r>
    </w:p>
    <w:p>
      <w:pPr>
        <w:spacing w:after="0" w:line="3" w:lineRule="exact"/>
        <w:rPr>
          <w:rFonts w:ascii="Arial" w:cs="Arial" w:eastAsia="Arial" w:hAnsi="Arial"/>
          <w:sz w:val="22"/>
          <w:szCs w:val="22"/>
          <w:color w:val="auto"/>
          <w:vertAlign w:val="superscript"/>
        </w:rPr>
      </w:pPr>
    </w:p>
    <w:p>
      <w:pPr>
        <w:ind w:right="40"/>
        <w:spacing w:after="0" w:line="261" w:lineRule="auto"/>
        <w:rPr>
          <w:rFonts w:ascii="Arial" w:cs="Arial" w:eastAsia="Arial" w:hAnsi="Arial"/>
          <w:sz w:val="22"/>
          <w:szCs w:val="22"/>
          <w:color w:val="auto"/>
          <w:vertAlign w:val="superscript"/>
        </w:rPr>
      </w:pPr>
      <w:r>
        <w:rPr>
          <w:rFonts w:ascii="Arial" w:cs="Arial" w:eastAsia="Arial" w:hAnsi="Arial"/>
          <w:sz w:val="18"/>
          <w:szCs w:val="18"/>
          <w:color w:val="auto"/>
        </w:rPr>
        <w:t>3.33 and of each employee based in the Philippines by 2.5 prior to identifying the employee with the median of the total 2017 compensation and in presenting such employee’s total compensation in order to reflect a cost-of-living adjustment.</w:t>
      </w:r>
    </w:p>
    <w:p>
      <w:pPr>
        <w:spacing w:after="0" w:line="184" w:lineRule="exact"/>
        <w:rPr>
          <w:sz w:val="20"/>
          <w:szCs w:val="20"/>
          <w:color w:val="auto"/>
        </w:rPr>
      </w:pPr>
    </w:p>
    <w:p>
      <w:pPr>
        <w:ind w:right="860" w:firstLine="8"/>
        <w:spacing w:after="0" w:line="216" w:lineRule="auto"/>
        <w:tabs>
          <w:tab w:leader="none" w:pos="108"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The average U.S. dollar to Indian Rupee exchange rate during 2017, based on the average buy conversion rate for 2017 as published by OANDA Corporation, was 65.2 to 1.</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4320" w:val="left"/>
        </w:tabs>
        <w:rPr>
          <w:sz w:val="20"/>
          <w:szCs w:val="20"/>
          <w:color w:val="auto"/>
        </w:rPr>
      </w:pPr>
      <w:r>
        <w:rPr>
          <w:rFonts w:ascii="Arial" w:cs="Arial" w:eastAsia="Arial" w:hAnsi="Arial"/>
          <w:sz w:val="18"/>
          <w:szCs w:val="18"/>
          <w:color w:val="auto"/>
        </w:rPr>
        <w:t>April 19, 2018</w:t>
      </w:r>
      <w:r>
        <w:rPr>
          <w:sz w:val="20"/>
          <w:szCs w:val="20"/>
          <w:color w:val="auto"/>
        </w:rPr>
        <w:tab/>
      </w:r>
      <w:r>
        <w:rPr>
          <w:rFonts w:ascii="Arial" w:cs="Arial" w:eastAsia="Arial" w:hAnsi="Arial"/>
          <w:sz w:val="16"/>
          <w:szCs w:val="16"/>
          <w:b w:val="1"/>
          <w:bCs w:val="1"/>
          <w:color w:val="auto"/>
        </w:rPr>
        <w:t>Compensation Committee:</w:t>
      </w:r>
    </w:p>
    <w:p>
      <w:pPr>
        <w:spacing w:after="0" w:line="6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DeForest B. Soaries, Jr., Chair</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Jacques J. Busquet, Director</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Robert J. Lipstein,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Summary Compensation Table - 2015, 2016 and 2017</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the compensation of our named executive officers for the 2017, 2016 and 2015 fiscal years.</w:t>
      </w:r>
    </w:p>
    <w:p>
      <w:pPr>
        <w:spacing w:after="0" w:line="231" w:lineRule="exact"/>
        <w:rPr>
          <w:sz w:val="20"/>
          <w:szCs w:val="20"/>
          <w:color w:val="auto"/>
        </w:rPr>
      </w:pPr>
    </w:p>
    <w:tbl>
      <w:tblPr>
        <w:tblLayout w:type="fixed"/>
        <w:tblInd w:w="310" w:type="dxa"/>
        <w:tblCellMar>
          <w:top w:w="0" w:type="dxa"/>
          <w:left w:w="0" w:type="dxa"/>
          <w:bottom w:w="0" w:type="dxa"/>
          <w:right w:w="0" w:type="dxa"/>
        </w:tblCellMar>
      </w:tblPr>
      <w:tr>
        <w:trPr>
          <w:trHeight w:val="270"/>
        </w:trPr>
        <w:tc>
          <w:tcPr>
            <w:tcW w:w="2200" w:type="dxa"/>
            <w:vAlign w:val="bottom"/>
            <w:tcBorders>
              <w:top w:val="single" w:sz="8" w:color="auto"/>
              <w:left w:val="single" w:sz="8" w:color="auto"/>
              <w:right w:val="single" w:sz="8" w:color="C0C0C0"/>
            </w:tcBorders>
            <w:shd w:val="clear" w:color="auto" w:fill="C0C0C0"/>
          </w:tcPr>
          <w:p>
            <w:pPr>
              <w:spacing w:after="0"/>
              <w:rPr>
                <w:sz w:val="23"/>
                <w:szCs w:val="23"/>
                <w:color w:val="auto"/>
              </w:rPr>
            </w:pPr>
          </w:p>
        </w:tc>
        <w:tc>
          <w:tcPr>
            <w:tcW w:w="660" w:type="dxa"/>
            <w:vAlign w:val="bottom"/>
            <w:tcBorders>
              <w:top w:val="single" w:sz="8" w:color="auto"/>
              <w:right w:val="single" w:sz="8" w:color="C0C0C0"/>
            </w:tcBorders>
            <w:shd w:val="clear" w:color="auto" w:fill="C0C0C0"/>
          </w:tcPr>
          <w:p>
            <w:pPr>
              <w:spacing w:after="0"/>
              <w:rPr>
                <w:sz w:val="23"/>
                <w:szCs w:val="23"/>
                <w:color w:val="auto"/>
              </w:rPr>
            </w:pPr>
          </w:p>
        </w:tc>
        <w:tc>
          <w:tcPr>
            <w:tcW w:w="1180" w:type="dxa"/>
            <w:vAlign w:val="bottom"/>
            <w:tcBorders>
              <w:top w:val="single" w:sz="8" w:color="auto"/>
              <w:right w:val="single" w:sz="8" w:color="C0C0C0"/>
            </w:tcBorders>
            <w:shd w:val="clear" w:color="auto" w:fill="C0C0C0"/>
          </w:tcPr>
          <w:p>
            <w:pPr>
              <w:spacing w:after="0"/>
              <w:rPr>
                <w:sz w:val="23"/>
                <w:szCs w:val="23"/>
                <w:color w:val="auto"/>
              </w:rPr>
            </w:pPr>
          </w:p>
        </w:tc>
        <w:tc>
          <w:tcPr>
            <w:tcW w:w="1200" w:type="dxa"/>
            <w:vAlign w:val="bottom"/>
            <w:tcBorders>
              <w:top w:val="single" w:sz="8" w:color="auto"/>
              <w:right w:val="single" w:sz="8" w:color="C0C0C0"/>
            </w:tcBorders>
            <w:shd w:val="clear" w:color="auto" w:fill="C0C0C0"/>
          </w:tcPr>
          <w:p>
            <w:pPr>
              <w:spacing w:after="0"/>
              <w:rPr>
                <w:sz w:val="23"/>
                <w:szCs w:val="23"/>
                <w:color w:val="auto"/>
              </w:rPr>
            </w:pPr>
          </w:p>
        </w:tc>
        <w:tc>
          <w:tcPr>
            <w:tcW w:w="1180" w:type="dxa"/>
            <w:vAlign w:val="bottom"/>
            <w:tcBorders>
              <w:top w:val="single" w:sz="8" w:color="auto"/>
              <w:right w:val="single" w:sz="8" w:color="C0C0C0"/>
            </w:tcBorders>
            <w:shd w:val="clear" w:color="auto" w:fill="C0C0C0"/>
          </w:tcPr>
          <w:p>
            <w:pPr>
              <w:spacing w:after="0"/>
              <w:rPr>
                <w:sz w:val="23"/>
                <w:szCs w:val="23"/>
                <w:color w:val="auto"/>
              </w:rPr>
            </w:pPr>
          </w:p>
        </w:tc>
        <w:tc>
          <w:tcPr>
            <w:tcW w:w="1620" w:type="dxa"/>
            <w:vAlign w:val="bottom"/>
            <w:tcBorders>
              <w:top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1520" w:type="dxa"/>
            <w:vAlign w:val="bottom"/>
            <w:tcBorders>
              <w:top w:val="single" w:sz="8" w:color="auto"/>
              <w:right w:val="single" w:sz="8" w:color="C0C0C0"/>
            </w:tcBorders>
            <w:shd w:val="clear" w:color="auto" w:fill="C0C0C0"/>
          </w:tcPr>
          <w:p>
            <w:pPr>
              <w:spacing w:after="0"/>
              <w:rPr>
                <w:sz w:val="23"/>
                <w:szCs w:val="23"/>
                <w:color w:val="auto"/>
              </w:rPr>
            </w:pPr>
          </w:p>
        </w:tc>
        <w:tc>
          <w:tcPr>
            <w:tcW w:w="1280" w:type="dxa"/>
            <w:vAlign w:val="bottom"/>
            <w:tcBorders>
              <w:top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C0C0C0"/>
            </w:tcBorders>
            <w:shd w:val="clear" w:color="auto" w:fill="C0C0C0"/>
          </w:tcPr>
          <w:p>
            <w:pPr>
              <w:spacing w:after="0"/>
              <w:rPr>
                <w:sz w:val="17"/>
                <w:szCs w:val="17"/>
                <w:color w:val="auto"/>
              </w:rPr>
            </w:pPr>
          </w:p>
        </w:tc>
        <w:tc>
          <w:tcPr>
            <w:tcW w:w="660" w:type="dxa"/>
            <w:vAlign w:val="bottom"/>
            <w:tcBorders>
              <w:right w:val="single" w:sz="8" w:color="C0C0C0"/>
            </w:tcBorders>
            <w:shd w:val="clear" w:color="auto" w:fill="C0C0C0"/>
          </w:tcPr>
          <w:p>
            <w:pPr>
              <w:spacing w:after="0"/>
              <w:rPr>
                <w:sz w:val="17"/>
                <w:szCs w:val="17"/>
                <w:color w:val="auto"/>
              </w:rPr>
            </w:pPr>
          </w:p>
        </w:tc>
        <w:tc>
          <w:tcPr>
            <w:tcW w:w="1180" w:type="dxa"/>
            <w:vAlign w:val="bottom"/>
            <w:tcBorders>
              <w:right w:val="single" w:sz="8" w:color="C0C0C0"/>
            </w:tcBorders>
            <w:shd w:val="clear" w:color="auto" w:fill="C0C0C0"/>
          </w:tcPr>
          <w:p>
            <w:pPr>
              <w:spacing w:after="0"/>
              <w:rPr>
                <w:sz w:val="17"/>
                <w:szCs w:val="17"/>
                <w:color w:val="auto"/>
              </w:rPr>
            </w:pPr>
          </w:p>
        </w:tc>
        <w:tc>
          <w:tcPr>
            <w:tcW w:w="120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Stock</w:t>
            </w:r>
          </w:p>
        </w:tc>
        <w:tc>
          <w:tcPr>
            <w:tcW w:w="118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62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152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280" w:type="dxa"/>
            <w:vAlign w:val="bottom"/>
            <w:tcBorders>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C0C0C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Name and</w:t>
            </w:r>
          </w:p>
        </w:tc>
        <w:tc>
          <w:tcPr>
            <w:tcW w:w="660" w:type="dxa"/>
            <w:vAlign w:val="bottom"/>
            <w:tcBorders>
              <w:right w:val="single" w:sz="8" w:color="C0C0C0"/>
            </w:tcBorders>
            <w:shd w:val="clear" w:color="auto" w:fill="C0C0C0"/>
          </w:tcPr>
          <w:p>
            <w:pPr>
              <w:spacing w:after="0"/>
              <w:rPr>
                <w:sz w:val="17"/>
                <w:szCs w:val="17"/>
                <w:color w:val="auto"/>
              </w:rPr>
            </w:pPr>
          </w:p>
        </w:tc>
        <w:tc>
          <w:tcPr>
            <w:tcW w:w="1180" w:type="dxa"/>
            <w:vAlign w:val="bottom"/>
            <w:tcBorders>
              <w:right w:val="single" w:sz="8" w:color="C0C0C0"/>
            </w:tcBorders>
            <w:shd w:val="clear" w:color="auto" w:fill="C0C0C0"/>
          </w:tcPr>
          <w:p>
            <w:pPr>
              <w:ind w:left="340"/>
              <w:spacing w:after="0"/>
              <w:rPr>
                <w:sz w:val="20"/>
                <w:szCs w:val="20"/>
                <w:color w:val="auto"/>
              </w:rPr>
            </w:pPr>
            <w:r>
              <w:rPr>
                <w:rFonts w:ascii="Arial" w:cs="Arial" w:eastAsia="Arial" w:hAnsi="Arial"/>
                <w:sz w:val="16"/>
                <w:szCs w:val="16"/>
                <w:b w:val="1"/>
                <w:bCs w:val="1"/>
                <w:color w:val="auto"/>
              </w:rPr>
              <w:t>Salary</w:t>
            </w:r>
          </w:p>
        </w:tc>
        <w:tc>
          <w:tcPr>
            <w:tcW w:w="120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4"/>
              </w:rPr>
              <w:t>Awards</w:t>
            </w:r>
            <w:r>
              <w:rPr>
                <w:rFonts w:ascii="Arial" w:cs="Arial" w:eastAsia="Arial" w:hAnsi="Arial"/>
                <w:sz w:val="21"/>
                <w:szCs w:val="21"/>
                <w:b w:val="1"/>
                <w:bCs w:val="1"/>
                <w:color w:val="auto"/>
                <w:w w:val="84"/>
                <w:vertAlign w:val="superscript"/>
              </w:rPr>
              <w:t>(1)(2)</w:t>
            </w:r>
          </w:p>
        </w:tc>
        <w:tc>
          <w:tcPr>
            <w:tcW w:w="118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4"/>
              </w:rPr>
              <w:t>Awards</w:t>
            </w:r>
            <w:r>
              <w:rPr>
                <w:rFonts w:ascii="Arial" w:cs="Arial" w:eastAsia="Arial" w:hAnsi="Arial"/>
                <w:sz w:val="21"/>
                <w:szCs w:val="21"/>
                <w:b w:val="1"/>
                <w:bCs w:val="1"/>
                <w:color w:val="auto"/>
                <w:w w:val="84"/>
                <w:vertAlign w:val="superscript"/>
              </w:rPr>
              <w:t>(1)(2)</w:t>
            </w:r>
          </w:p>
        </w:tc>
        <w:tc>
          <w:tcPr>
            <w:tcW w:w="162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8"/>
              </w:rPr>
              <w:t>Compensation</w:t>
            </w:r>
            <w:r>
              <w:rPr>
                <w:rFonts w:ascii="Arial" w:cs="Arial" w:eastAsia="Arial" w:hAnsi="Arial"/>
                <w:sz w:val="21"/>
                <w:szCs w:val="21"/>
                <w:b w:val="1"/>
                <w:bCs w:val="1"/>
                <w:color w:val="auto"/>
                <w:w w:val="88"/>
                <w:vertAlign w:val="superscript"/>
              </w:rPr>
              <w:t>(3)</w:t>
            </w:r>
          </w:p>
        </w:tc>
        <w:tc>
          <w:tcPr>
            <w:tcW w:w="152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(4)</w:t>
            </w:r>
          </w:p>
        </w:tc>
        <w:tc>
          <w:tcPr>
            <w:tcW w:w="1280" w:type="dxa"/>
            <w:vAlign w:val="bottom"/>
            <w:tcBorders>
              <w:right w:val="single" w:sz="8" w:color="auto"/>
            </w:tcBorders>
            <w:shd w:val="clear" w:color="auto" w:fill="C0C0C0"/>
          </w:tcPr>
          <w:p>
            <w:pPr>
              <w:ind w:lef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2"/>
        </w:trPr>
        <w:tc>
          <w:tcPr>
            <w:tcW w:w="2200" w:type="dxa"/>
            <w:vAlign w:val="bottom"/>
            <w:tcBorders>
              <w:left w:val="single" w:sz="8" w:color="auto"/>
              <w:bottom w:val="single" w:sz="8" w:color="C0C0C0"/>
              <w:right w:val="single" w:sz="8" w:color="C0C0C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Principal Position</w:t>
            </w:r>
          </w:p>
        </w:tc>
        <w:tc>
          <w:tcPr>
            <w:tcW w:w="660" w:type="dxa"/>
            <w:vAlign w:val="bottom"/>
            <w:tcBorders>
              <w:bottom w:val="single" w:sz="8" w:color="C0C0C0"/>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Year</w:t>
            </w:r>
          </w:p>
        </w:tc>
        <w:tc>
          <w:tcPr>
            <w:tcW w:w="1180" w:type="dxa"/>
            <w:vAlign w:val="bottom"/>
            <w:tcBorders>
              <w:bottom w:val="single" w:sz="8" w:color="C0C0C0"/>
              <w:right w:val="single" w:sz="8" w:color="C0C0C0"/>
            </w:tcBorders>
            <w:shd w:val="clear" w:color="auto" w:fill="C0C0C0"/>
          </w:tcPr>
          <w:p>
            <w:pPr>
              <w:ind w:left="5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0C0C0"/>
              <w:right w:val="single" w:sz="8" w:color="C0C0C0"/>
            </w:tcBorders>
            <w:shd w:val="clear" w:color="auto" w:fill="C0C0C0"/>
          </w:tcPr>
          <w:p>
            <w:pPr>
              <w:jc w:val="right"/>
              <w:ind w:right="427"/>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0C0C0"/>
              <w:right w:val="single" w:sz="8" w:color="C0C0C0"/>
            </w:tcBorders>
            <w:shd w:val="clear" w:color="auto" w:fill="C0C0C0"/>
          </w:tcPr>
          <w:p>
            <w:pPr>
              <w:jc w:val="right"/>
              <w:ind w:right="427"/>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C0C0C0"/>
              <w:right w:val="single" w:sz="8" w:color="C0C0C0"/>
            </w:tcBorders>
            <w:shd w:val="clear" w:color="auto" w:fill="C0C0C0"/>
          </w:tcPr>
          <w:p>
            <w:pPr>
              <w:jc w:val="right"/>
              <w:ind w:right="646"/>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0C0C0"/>
              <w:right w:val="single" w:sz="8" w:color="C0C0C0"/>
            </w:tcBorders>
            <w:shd w:val="clear" w:color="auto" w:fill="C0C0C0"/>
          </w:tcPr>
          <w:p>
            <w:pPr>
              <w:jc w:val="right"/>
              <w:ind w:right="587"/>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196"/>
        </w:trPr>
        <w:tc>
          <w:tcPr>
            <w:tcW w:w="2200" w:type="dxa"/>
            <w:vAlign w:val="bottom"/>
            <w:tcBorders>
              <w:top w:val="single" w:sz="8" w:color="auto"/>
              <w:left w:val="single" w:sz="8" w:color="auto"/>
              <w:bottom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Ronald M. Faris </w:t>
            </w:r>
            <w:r>
              <w:rPr>
                <w:rFonts w:ascii="Arial" w:cs="Arial" w:eastAsia="Arial" w:hAnsi="Arial"/>
                <w:sz w:val="8"/>
                <w:szCs w:val="8"/>
                <w:b w:val="1"/>
                <w:bCs w:val="1"/>
                <w:color w:val="auto"/>
              </w:rPr>
              <w:t>(8)</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1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875,000</w:t>
            </w:r>
          </w:p>
        </w:tc>
        <w:tc>
          <w:tcPr>
            <w:tcW w:w="1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1,365,001</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2,245,301</w:t>
            </w:r>
          </w:p>
        </w:tc>
        <w:tc>
          <w:tcPr>
            <w:tcW w:w="0" w:type="dxa"/>
            <w:vAlign w:val="bottom"/>
          </w:tcPr>
          <w:p>
            <w:pPr>
              <w:spacing w:after="0"/>
              <w:rPr>
                <w:sz w:val="1"/>
                <w:szCs w:val="1"/>
                <w:color w:val="auto"/>
              </w:rPr>
            </w:pPr>
          </w:p>
        </w:tc>
      </w:tr>
      <w:tr>
        <w:trPr>
          <w:trHeight w:val="76"/>
        </w:trPr>
        <w:tc>
          <w:tcPr>
            <w:tcW w:w="2200" w:type="dxa"/>
            <w:vAlign w:val="bottom"/>
            <w:tcBorders>
              <w:left w:val="single" w:sz="8" w:color="auto"/>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color w:val="auto"/>
              </w:rPr>
              <w:t>875,000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1,755,375</w:t>
            </w:r>
            <w:r>
              <w:rPr>
                <w:rFonts w:ascii="Arial" w:cs="Arial" w:eastAsia="Arial" w:hAnsi="Arial"/>
                <w:sz w:val="8"/>
                <w:szCs w:val="8"/>
                <w:color w:val="auto"/>
                <w:w w:val="94"/>
              </w:rPr>
              <w:t>(5)</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1,345,030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3,980,704</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3"/>
                <w:szCs w:val="13"/>
                <w:color w:val="auto"/>
              </w:rPr>
              <w:t>President and Chief Executive</w:t>
            </w:r>
          </w:p>
        </w:tc>
        <w:tc>
          <w:tcPr>
            <w:tcW w:w="660" w:type="dxa"/>
            <w:vAlign w:val="bottom"/>
            <w:tcBorders>
              <w:bottom w:val="single" w:sz="8" w:color="auto"/>
              <w:right w:val="single" w:sz="8" w:color="auto"/>
            </w:tcBorders>
            <w:vMerge w:val="continue"/>
          </w:tcPr>
          <w:p>
            <w:pPr>
              <w:spacing w:after="0"/>
              <w:rPr>
                <w:sz w:val="10"/>
                <w:szCs w:val="10"/>
                <w:color w:val="auto"/>
              </w:rPr>
            </w:pPr>
          </w:p>
        </w:tc>
        <w:tc>
          <w:tcPr>
            <w:tcW w:w="1180" w:type="dxa"/>
            <w:vAlign w:val="bottom"/>
            <w:tcBorders>
              <w:bottom w:val="single" w:sz="8" w:color="auto"/>
              <w:right w:val="single" w:sz="8" w:color="auto"/>
            </w:tcBorders>
            <w:vMerge w:val="continue"/>
          </w:tcPr>
          <w:p>
            <w:pPr>
              <w:spacing w:after="0"/>
              <w:rPr>
                <w:sz w:val="10"/>
                <w:szCs w:val="10"/>
                <w:color w:val="auto"/>
              </w:rPr>
            </w:pPr>
          </w:p>
        </w:tc>
        <w:tc>
          <w:tcPr>
            <w:tcW w:w="1200" w:type="dxa"/>
            <w:vAlign w:val="bottom"/>
            <w:tcBorders>
              <w:bottom w:val="single" w:sz="8" w:color="auto"/>
              <w:right w:val="single" w:sz="8" w:color="auto"/>
            </w:tcBorders>
            <w:vMerge w:val="continue"/>
          </w:tcPr>
          <w:p>
            <w:pPr>
              <w:spacing w:after="0"/>
              <w:rPr>
                <w:sz w:val="10"/>
                <w:szCs w:val="10"/>
                <w:color w:val="auto"/>
              </w:rPr>
            </w:pPr>
          </w:p>
        </w:tc>
        <w:tc>
          <w:tcPr>
            <w:tcW w:w="118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850,962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1,339,200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2,195,462</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500,000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244,989</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327,905</w:t>
            </w:r>
            <w:r>
              <w:rPr>
                <w:rFonts w:ascii="Arial" w:cs="Arial" w:eastAsia="Arial" w:hAnsi="Arial"/>
                <w:sz w:val="8"/>
                <w:szCs w:val="8"/>
                <w:color w:val="auto"/>
                <w:w w:val="92"/>
              </w:rPr>
              <w:t>(6)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1,072,894</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Michael R. Bourque, Jr.</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500,000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325,646</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321,227</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328,248</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1,465,121</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vMerge w:val="restart"/>
          </w:tcPr>
          <w:p>
            <w:pPr>
              <w:ind w:left="40"/>
              <w:spacing w:after="0" w:line="130" w:lineRule="exact"/>
              <w:rPr>
                <w:sz w:val="20"/>
                <w:szCs w:val="20"/>
                <w:color w:val="auto"/>
              </w:rPr>
            </w:pPr>
            <w:r>
              <w:rPr>
                <w:rFonts w:ascii="Arial" w:cs="Arial" w:eastAsia="Arial" w:hAnsi="Arial"/>
                <w:sz w:val="14"/>
                <w:szCs w:val="14"/>
                <w:color w:val="auto"/>
              </w:rPr>
              <w:t>Executive Vice President, Chief</w:t>
            </w:r>
          </w:p>
        </w:tc>
        <w:tc>
          <w:tcPr>
            <w:tcW w:w="66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200" w:type="dxa"/>
            <w:vAlign w:val="bottom"/>
            <w:tcBorders>
              <w:left w:val="single" w:sz="8" w:color="auto"/>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429,799</w:t>
            </w:r>
          </w:p>
        </w:tc>
        <w:tc>
          <w:tcPr>
            <w:tcW w:w="1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Financial 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478,846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540,921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143,845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339,200</w:t>
            </w: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1,932,631</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Scott W. Anderson</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500,000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542,984</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750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1,043,734</w:t>
            </w:r>
          </w:p>
        </w:tc>
        <w:tc>
          <w:tcPr>
            <w:tcW w:w="0" w:type="dxa"/>
            <w:vAlign w:val="bottom"/>
          </w:tcPr>
          <w:p>
            <w:pPr>
              <w:spacing w:after="0"/>
              <w:rPr>
                <w:sz w:val="1"/>
                <w:szCs w:val="1"/>
                <w:color w:val="auto"/>
              </w:rPr>
            </w:pPr>
          </w:p>
        </w:tc>
      </w:tr>
      <w:tr>
        <w:trPr>
          <w:trHeight w:val="49"/>
        </w:trPr>
        <w:tc>
          <w:tcPr>
            <w:tcW w:w="2200" w:type="dxa"/>
            <w:vAlign w:val="bottom"/>
            <w:tcBorders>
              <w:left w:val="single" w:sz="8" w:color="auto"/>
              <w:right w:val="single" w:sz="8" w:color="auto"/>
            </w:tcBorders>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color w:val="auto"/>
              </w:rPr>
              <w:t>500,000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303,680</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584,417</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6,050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1,394,147</w:t>
            </w:r>
          </w:p>
        </w:tc>
        <w:tc>
          <w:tcPr>
            <w:tcW w:w="0" w:type="dxa"/>
            <w:vAlign w:val="bottom"/>
          </w:tcPr>
          <w:p>
            <w:pPr>
              <w:spacing w:after="0"/>
              <w:rPr>
                <w:sz w:val="1"/>
                <w:szCs w:val="1"/>
                <w:color w:val="auto"/>
              </w:rPr>
            </w:pPr>
          </w:p>
        </w:tc>
      </w:tr>
      <w:tr>
        <w:trPr>
          <w:trHeight w:val="159"/>
        </w:trPr>
        <w:tc>
          <w:tcPr>
            <w:tcW w:w="2200" w:type="dxa"/>
            <w:vAlign w:val="bottom"/>
            <w:tcBorders>
              <w:left w:val="single" w:sz="8" w:color="auto"/>
              <w:right w:val="single" w:sz="8" w:color="auto"/>
            </w:tcBorders>
          </w:tcPr>
          <w:p>
            <w:pPr>
              <w:ind w:left="40"/>
              <w:spacing w:after="0" w:line="154" w:lineRule="exact"/>
              <w:rPr>
                <w:sz w:val="20"/>
                <w:szCs w:val="20"/>
                <w:color w:val="auto"/>
              </w:rPr>
            </w:pPr>
            <w:r>
              <w:rPr>
                <w:rFonts w:ascii="Arial" w:cs="Arial" w:eastAsia="Arial" w:hAnsi="Arial"/>
                <w:sz w:val="14"/>
                <w:szCs w:val="14"/>
                <w:color w:val="auto"/>
              </w:rPr>
              <w:t>Executive Vice President,</w:t>
            </w:r>
          </w:p>
        </w:tc>
        <w:tc>
          <w:tcPr>
            <w:tcW w:w="660" w:type="dxa"/>
            <w:vAlign w:val="bottom"/>
            <w:tcBorders>
              <w:bottom w:val="single" w:sz="8" w:color="auto"/>
              <w:right w:val="single" w:sz="8" w:color="auto"/>
            </w:tcBorders>
            <w:vMerge w:val="continue"/>
          </w:tcPr>
          <w:p>
            <w:pPr>
              <w:spacing w:after="0"/>
              <w:rPr>
                <w:sz w:val="13"/>
                <w:szCs w:val="13"/>
                <w:color w:val="auto"/>
              </w:rPr>
            </w:pPr>
          </w:p>
        </w:tc>
        <w:tc>
          <w:tcPr>
            <w:tcW w:w="1180" w:type="dxa"/>
            <w:vAlign w:val="bottom"/>
            <w:tcBorders>
              <w:bottom w:val="single" w:sz="8" w:color="auto"/>
              <w:right w:val="single" w:sz="8" w:color="auto"/>
            </w:tcBorders>
            <w:vMerge w:val="continue"/>
          </w:tcPr>
          <w:p>
            <w:pPr>
              <w:spacing w:after="0"/>
              <w:rPr>
                <w:sz w:val="13"/>
                <w:szCs w:val="13"/>
                <w:color w:val="auto"/>
              </w:rPr>
            </w:pPr>
          </w:p>
        </w:tc>
        <w:tc>
          <w:tcPr>
            <w:tcW w:w="1200" w:type="dxa"/>
            <w:vAlign w:val="bottom"/>
            <w:tcBorders>
              <w:bottom w:val="single" w:sz="8" w:color="auto"/>
              <w:right w:val="single" w:sz="8" w:color="auto"/>
            </w:tcBorders>
            <w:vMerge w:val="continue"/>
          </w:tcPr>
          <w:p>
            <w:pPr>
              <w:spacing w:after="0"/>
              <w:rPr>
                <w:sz w:val="13"/>
                <w:szCs w:val="13"/>
                <w:color w:val="auto"/>
              </w:rPr>
            </w:pPr>
          </w:p>
        </w:tc>
        <w:tc>
          <w:tcPr>
            <w:tcW w:w="1180" w:type="dxa"/>
            <w:vAlign w:val="bottom"/>
            <w:tcBorders>
              <w:bottom w:val="single" w:sz="8" w:color="auto"/>
              <w:right w:val="single" w:sz="8" w:color="auto"/>
            </w:tcBorders>
            <w:vMerge w:val="continue"/>
          </w:tcPr>
          <w:p>
            <w:pPr>
              <w:spacing w:after="0"/>
              <w:rPr>
                <w:sz w:val="13"/>
                <w:szCs w:val="13"/>
                <w:color w:val="auto"/>
              </w:rPr>
            </w:pPr>
          </w:p>
        </w:tc>
        <w:tc>
          <w:tcPr>
            <w:tcW w:w="1620" w:type="dxa"/>
            <w:vAlign w:val="bottom"/>
            <w:tcBorders>
              <w:bottom w:val="single" w:sz="8" w:color="auto"/>
              <w:right w:val="single" w:sz="8" w:color="auto"/>
            </w:tcBorders>
            <w:vMerge w:val="continue"/>
          </w:tcPr>
          <w:p>
            <w:pPr>
              <w:spacing w:after="0"/>
              <w:rPr>
                <w:sz w:val="13"/>
                <w:szCs w:val="13"/>
                <w:color w:val="auto"/>
              </w:rPr>
            </w:pPr>
          </w:p>
        </w:tc>
        <w:tc>
          <w:tcPr>
            <w:tcW w:w="1520" w:type="dxa"/>
            <w:vAlign w:val="bottom"/>
            <w:tcBorders>
              <w:bottom w:val="single" w:sz="8" w:color="auto"/>
              <w:right w:val="single" w:sz="8" w:color="auto"/>
            </w:tcBorders>
            <w:vMerge w:val="continue"/>
          </w:tcPr>
          <w:p>
            <w:pPr>
              <w:spacing w:after="0"/>
              <w:rPr>
                <w:sz w:val="13"/>
                <w:szCs w:val="13"/>
                <w:color w:val="auto"/>
              </w:rPr>
            </w:pPr>
          </w:p>
        </w:tc>
        <w:tc>
          <w:tcPr>
            <w:tcW w:w="12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Chief Servicing 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497,644</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540,921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143,845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541,629</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1,729,339</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450,000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456,714</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6,050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912,764</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John V. Britti</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450,000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276,702</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525,413</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6,050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1,258,165</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vMerge w:val="restart"/>
          </w:tcPr>
          <w:p>
            <w:pPr>
              <w:ind w:left="40"/>
              <w:spacing w:after="0" w:line="130" w:lineRule="exact"/>
              <w:rPr>
                <w:sz w:val="20"/>
                <w:szCs w:val="20"/>
                <w:color w:val="auto"/>
              </w:rPr>
            </w:pPr>
            <w:r>
              <w:rPr>
                <w:rFonts w:ascii="Arial" w:cs="Arial" w:eastAsia="Arial" w:hAnsi="Arial"/>
                <w:sz w:val="14"/>
                <w:szCs w:val="14"/>
                <w:color w:val="auto"/>
              </w:rPr>
              <w:t>Executive Vice President, Chief</w:t>
            </w:r>
          </w:p>
        </w:tc>
        <w:tc>
          <w:tcPr>
            <w:tcW w:w="66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200" w:type="dxa"/>
            <w:vAlign w:val="bottom"/>
            <w:tcBorders>
              <w:left w:val="single" w:sz="8" w:color="auto"/>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color w:val="auto"/>
              </w:rPr>
              <w:t>457,673</w:t>
            </w:r>
          </w:p>
        </w:tc>
        <w:tc>
          <w:tcPr>
            <w:tcW w:w="120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Investment 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540,921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143,845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481,866</w:t>
            </w: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1,629,605</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530,400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216,039</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 xml:space="preserve">295,605 </w:t>
            </w:r>
            <w:r>
              <w:rPr>
                <w:rFonts w:ascii="Arial" w:cs="Arial" w:eastAsia="Arial" w:hAnsi="Arial"/>
                <w:sz w:val="8"/>
                <w:szCs w:val="8"/>
                <w:color w:val="auto"/>
                <w:w w:val="93"/>
              </w:rPr>
              <w:t>(7)</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1,042,044</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Arthur C. Walker, Jr.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530,400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181,208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313,777</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295,951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1,321,336</w:t>
            </w:r>
          </w:p>
        </w:tc>
        <w:tc>
          <w:tcPr>
            <w:tcW w:w="0" w:type="dxa"/>
            <w:vAlign w:val="bottom"/>
          </w:tcPr>
          <w:p>
            <w:pPr>
              <w:spacing w:after="0"/>
              <w:rPr>
                <w:sz w:val="1"/>
                <w:szCs w:val="1"/>
                <w:color w:val="auto"/>
              </w:rPr>
            </w:pPr>
          </w:p>
        </w:tc>
      </w:tr>
      <w:tr>
        <w:trPr>
          <w:trHeight w:val="62"/>
        </w:trPr>
        <w:tc>
          <w:tcPr>
            <w:tcW w:w="220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338,265</w:t>
            </w:r>
          </w:p>
        </w:tc>
        <w:tc>
          <w:tcPr>
            <w:tcW w:w="1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Global Tax</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533,146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270,462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71,923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296,539</w:t>
            </w:r>
          </w:p>
        </w:tc>
        <w:tc>
          <w:tcPr>
            <w:tcW w:w="1520" w:type="dxa"/>
            <w:vAlign w:val="bottom"/>
            <w:tcBorders>
              <w:bottom w:val="single" w:sz="8" w:color="auto"/>
              <w:right w:val="single" w:sz="8" w:color="auto"/>
            </w:tcBorders>
            <w:vMerge w:val="continue"/>
          </w:tcPr>
          <w:p>
            <w:pPr>
              <w:spacing w:after="0"/>
              <w:rPr>
                <w:sz w:val="17"/>
                <w:szCs w:val="17"/>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1,510,335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Represents the aggregate grant date fair value of stock awards and stock options. These amounts do not represent the actual amounts paid to or realized by the executive.</w:t>
      </w:r>
    </w:p>
    <w:p>
      <w:pPr>
        <w:spacing w:after="0" w:line="170" w:lineRule="exact"/>
        <w:rPr>
          <w:rFonts w:ascii="Arial" w:cs="Arial" w:eastAsia="Arial" w:hAnsi="Arial"/>
          <w:sz w:val="13"/>
          <w:szCs w:val="13"/>
          <w:color w:val="auto"/>
        </w:rPr>
      </w:pPr>
    </w:p>
    <w:p>
      <w:pPr>
        <w:ind w:left="340" w:hanging="332"/>
        <w:spacing w:after="0" w:line="270"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7"/>
          <w:szCs w:val="17"/>
          <w:color w:val="auto"/>
        </w:rPr>
        <w:t>These amounts represent the grant date fair value of the stock and option awards, computed in accordance with FASB ASC Topic 718. We based the grant date fair value of stock awards with a service condition on the average of the high and low prices of our common stock as reported on the New York Stock Exchange on the date of grant of the awards.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 Additional detail regarding the calculation of these values is included in Note 20 to our audited financial statements for the fiscal year ended December 31, 2017, which are included in our Annual Report on Form 10-K filed with the Securities and Exchange Commission on February 28, 2018.</w:t>
      </w:r>
    </w:p>
    <w:p>
      <w:pPr>
        <w:spacing w:after="0" w:line="181" w:lineRule="exact"/>
        <w:rPr>
          <w:rFonts w:ascii="Arial" w:cs="Arial" w:eastAsia="Arial" w:hAnsi="Arial"/>
          <w:sz w:val="12"/>
          <w:szCs w:val="12"/>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Represents annual incentive compensation earned in the corresponding year and paid in the first quarter of the following year.</w:t>
      </w:r>
    </w:p>
    <w:p>
      <w:pPr>
        <w:spacing w:after="0" w:line="225" w:lineRule="exact"/>
        <w:rPr>
          <w:rFonts w:ascii="Arial" w:cs="Arial" w:eastAsia="Arial" w:hAnsi="Arial"/>
          <w:sz w:val="13"/>
          <w:szCs w:val="13"/>
          <w:color w:val="auto"/>
        </w:rPr>
      </w:pPr>
    </w:p>
    <w:p>
      <w:pPr>
        <w:ind w:left="340" w:right="360" w:hanging="332"/>
        <w:spacing w:after="0" w:line="308"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7"/>
          <w:szCs w:val="17"/>
          <w:color w:val="auto"/>
        </w:rPr>
        <w:t>Consists of contributions by Ocwen pursuant to the Ocwen Financial Corporation 401(k) Savings Plan, the Ocwen Financial Corporation Health and Welfare Plan (Health Savings Account) and, as applicable, the other items specified in the footnotes in this column.</w:t>
      </w:r>
    </w:p>
    <w:p>
      <w:pPr>
        <w:spacing w:after="0" w:line="146" w:lineRule="exact"/>
        <w:rPr>
          <w:rFonts w:ascii="Arial" w:cs="Arial" w:eastAsia="Arial" w:hAnsi="Arial"/>
          <w:sz w:val="12"/>
          <w:szCs w:val="12"/>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These awards represent the first equity awards granted to Mr. Faris in eight years.</w:t>
      </w:r>
    </w:p>
    <w:p>
      <w:pPr>
        <w:spacing w:after="0" w:line="157" w:lineRule="exact"/>
        <w:rPr>
          <w:rFonts w:ascii="Arial" w:cs="Arial" w:eastAsia="Arial" w:hAnsi="Arial"/>
          <w:sz w:val="13"/>
          <w:szCs w:val="13"/>
          <w:color w:val="auto"/>
        </w:rPr>
      </w:pPr>
    </w:p>
    <w:p>
      <w:pPr>
        <w:ind w:left="340" w:right="180" w:hanging="332"/>
        <w:spacing w:after="0" w:line="257"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Consists of USVI Relocation Program benefits in the amount of $67,305 (including a housing allowance of $4,000 per month and amounts to gross-up for taxable USVI Relocation Program expenses in the amount of $19,305), employer contributions to the Ocwen Financial Corporation 401(k) Savings Plan in the amount of $10,600 and dividends of $250 per share on 1,000 shares of OMS Class I Preferred Stock declared by the OMS Board in accordance with the OMS Preferred Stock Plan with respect to OMS’ performance during 2017 (see “OMS Preferred Stock Plan” above for additional discussion).</w:t>
      </w:r>
    </w:p>
    <w:p>
      <w:pPr>
        <w:spacing w:after="0" w:line="188" w:lineRule="exact"/>
        <w:rPr>
          <w:rFonts w:ascii="Arial" w:cs="Arial" w:eastAsia="Arial" w:hAnsi="Arial"/>
          <w:sz w:val="13"/>
          <w:szCs w:val="13"/>
          <w:color w:val="auto"/>
        </w:rPr>
      </w:pPr>
    </w:p>
    <w:p>
      <w:pPr>
        <w:jc w:val="both"/>
        <w:ind w:left="340" w:right="180" w:hanging="332"/>
        <w:spacing w:after="0" w:line="264"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Consists of USVI Relocation Program benefits in the amount of $67,255 (including a housing allowance of $4,000 per month and amounts to gross-up for taxable USVI Relocation Program expenses in the amount of $19,255), employer contributions to the Ocwen Financial Corporation 401(k) Savings Plan in the amount of $10,600, employer contributions to a Health Savings Plan of</w:t>
      </w:r>
    </w:p>
    <w:p>
      <w:pPr>
        <w:sectPr>
          <w:pgSz w:w="11900" w:h="16838" w:orient="portrait"/>
          <w:cols w:equalWidth="0" w:num="1">
            <w:col w:w="11400"/>
          </w:cols>
          <w:pgMar w:left="240" w:top="580"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580" w:right="259" w:bottom="1440" w:gutter="0" w:footer="0" w:header="0"/>
          <w:type w:val="continuous"/>
        </w:sectPr>
      </w:pPr>
    </w:p>
    <w:bookmarkStart w:id="40" w:name="page41"/>
    <w:bookmarkEnd w:id="40"/>
    <w:p>
      <w:pPr>
        <w:ind w:left="340" w:right="260"/>
        <w:spacing w:after="0" w:line="395" w:lineRule="auto"/>
        <w:rPr>
          <w:sz w:val="20"/>
          <w:szCs w:val="20"/>
          <w:color w:val="auto"/>
        </w:rPr>
      </w:pPr>
      <w:r>
        <w:rPr>
          <w:rFonts w:ascii="Arial" w:cs="Arial" w:eastAsia="Arial" w:hAnsi="Arial"/>
          <w:sz w:val="16"/>
          <w:szCs w:val="16"/>
          <w:color w:val="auto"/>
        </w:rPr>
        <w:t>$750 and dividends of $217 per share on 1,000 shares of OMS Class B Preferred Stock declared by the OMS Board in accordance with the OMS Preferred Stock Plan with respect to OMS’ performance during 2017 (see “OMS Preferred Stock Plan” above for additional discussion).</w:t>
      </w:r>
    </w:p>
    <w:p>
      <w:pPr>
        <w:spacing w:after="0" w:line="4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As previously announced, Mr. Faris will retire from his position of President and Chief Executive Officer effective June 30, 2018.</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240" w:top="611" w:right="6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Grants of Plan-Based Awards for 2017</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information related to the non-equity incentive plan awards under our 1998 Annual Incentive Plan, as amended. We granted no equity incentive plan awards under our 2017 Plan to our named executive officers in fiscal year 2017.</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1400" w:type="dxa"/>
            <w:vAlign w:val="bottom"/>
            <w:tcBorders>
              <w:top w:val="single" w:sz="8" w:color="auto"/>
              <w:left w:val="single" w:sz="8" w:color="auto"/>
              <w:right w:val="single" w:sz="8" w:color="auto"/>
            </w:tcBorders>
            <w:shd w:val="clear" w:color="auto" w:fill="C0C0C0"/>
          </w:tcPr>
          <w:p>
            <w:pPr>
              <w:spacing w:after="0"/>
              <w:rPr>
                <w:sz w:val="24"/>
                <w:szCs w:val="24"/>
                <w:color w:val="auto"/>
              </w:rPr>
            </w:pPr>
          </w:p>
        </w:tc>
        <w:tc>
          <w:tcPr>
            <w:tcW w:w="920" w:type="dxa"/>
            <w:vAlign w:val="bottom"/>
            <w:tcBorders>
              <w:top w:val="single" w:sz="8" w:color="auto"/>
              <w:right w:val="single" w:sz="8" w:color="auto"/>
            </w:tcBorders>
            <w:shd w:val="clear" w:color="auto" w:fill="C0C0C0"/>
          </w:tcPr>
          <w:p>
            <w:pPr>
              <w:spacing w:after="0"/>
              <w:rPr>
                <w:sz w:val="24"/>
                <w:szCs w:val="24"/>
                <w:color w:val="auto"/>
              </w:rPr>
            </w:pPr>
          </w:p>
        </w:tc>
        <w:tc>
          <w:tcPr>
            <w:tcW w:w="2760" w:type="dxa"/>
            <w:vAlign w:val="bottom"/>
            <w:tcBorders>
              <w:top w:val="single" w:sz="8" w:color="auto"/>
              <w:right w:val="single" w:sz="8" w:color="auto"/>
            </w:tcBorders>
            <w:gridSpan w:val="5"/>
            <w:shd w:val="clear" w:color="auto" w:fill="C0C0C0"/>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274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90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All Other</w:t>
            </w:r>
          </w:p>
        </w:tc>
        <w:tc>
          <w:tcPr>
            <w:tcW w:w="92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shd w:val="clear" w:color="auto" w:fill="C0C0C0"/>
          </w:tcPr>
          <w:p>
            <w:pPr>
              <w:spacing w:after="0"/>
              <w:rPr>
                <w:sz w:val="5"/>
                <w:szCs w:val="5"/>
                <w:color w:val="auto"/>
              </w:rPr>
            </w:pPr>
          </w:p>
        </w:tc>
        <w:tc>
          <w:tcPr>
            <w:tcW w:w="920" w:type="dxa"/>
            <w:vAlign w:val="bottom"/>
            <w:tcBorders>
              <w:right w:val="single" w:sz="8" w:color="auto"/>
            </w:tcBorders>
            <w:shd w:val="clear" w:color="auto" w:fill="C0C0C0"/>
          </w:tcPr>
          <w:p>
            <w:pPr>
              <w:spacing w:after="0"/>
              <w:rPr>
                <w:sz w:val="5"/>
                <w:szCs w:val="5"/>
                <w:color w:val="auto"/>
              </w:rPr>
            </w:pPr>
          </w:p>
        </w:tc>
        <w:tc>
          <w:tcPr>
            <w:tcW w:w="780" w:type="dxa"/>
            <w:vAlign w:val="bottom"/>
            <w:shd w:val="clear" w:color="auto" w:fill="C0C0C0"/>
          </w:tcPr>
          <w:p>
            <w:pPr>
              <w:spacing w:after="0"/>
              <w:rPr>
                <w:sz w:val="5"/>
                <w:szCs w:val="5"/>
                <w:color w:val="auto"/>
              </w:rPr>
            </w:pPr>
          </w:p>
        </w:tc>
        <w:tc>
          <w:tcPr>
            <w:tcW w:w="1180" w:type="dxa"/>
            <w:vAlign w:val="bottom"/>
            <w:gridSpan w:val="3"/>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Under Non-Equity</w:t>
            </w:r>
          </w:p>
        </w:tc>
        <w:tc>
          <w:tcPr>
            <w:tcW w:w="800" w:type="dxa"/>
            <w:vAlign w:val="bottom"/>
            <w:tcBorders>
              <w:right w:val="single" w:sz="8" w:color="auto"/>
            </w:tcBorders>
            <w:shd w:val="clear" w:color="auto" w:fill="C0C0C0"/>
          </w:tcPr>
          <w:p>
            <w:pPr>
              <w:spacing w:after="0"/>
              <w:rPr>
                <w:sz w:val="5"/>
                <w:szCs w:val="5"/>
                <w:color w:val="auto"/>
              </w:rPr>
            </w:pPr>
          </w:p>
        </w:tc>
        <w:tc>
          <w:tcPr>
            <w:tcW w:w="920" w:type="dxa"/>
            <w:vAlign w:val="bottom"/>
            <w:tcBorders>
              <w:right w:val="single" w:sz="8" w:color="C0C0C0"/>
            </w:tcBorders>
            <w:shd w:val="clear" w:color="auto" w:fill="C0C0C0"/>
          </w:tcPr>
          <w:p>
            <w:pPr>
              <w:spacing w:after="0"/>
              <w:rPr>
                <w:sz w:val="5"/>
                <w:szCs w:val="5"/>
                <w:color w:val="auto"/>
              </w:rPr>
            </w:pPr>
          </w:p>
        </w:tc>
        <w:tc>
          <w:tcPr>
            <w:tcW w:w="920" w:type="dxa"/>
            <w:vAlign w:val="bottom"/>
            <w:tcBorders>
              <w:right w:val="single" w:sz="8" w:color="C0C0C0"/>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900" w:type="dxa"/>
            <w:vAlign w:val="bottom"/>
            <w:tcBorders>
              <w:right w:val="single" w:sz="8" w:color="auto"/>
            </w:tcBorders>
            <w:shd w:val="clear" w:color="auto" w:fill="C0C0C0"/>
          </w:tcPr>
          <w:p>
            <w:pPr>
              <w:spacing w:after="0"/>
              <w:rPr>
                <w:sz w:val="5"/>
                <w:szCs w:val="5"/>
                <w:color w:val="auto"/>
              </w:rPr>
            </w:pPr>
          </w:p>
        </w:tc>
        <w:tc>
          <w:tcPr>
            <w:tcW w:w="900" w:type="dxa"/>
            <w:vAlign w:val="bottom"/>
            <w:tcBorders>
              <w:right w:val="single" w:sz="8" w:color="auto"/>
            </w:tcBorders>
            <w:vMerge w:val="continue"/>
            <w:shd w:val="clear" w:color="auto" w:fill="C0C0C0"/>
          </w:tcPr>
          <w:p>
            <w:pPr>
              <w:spacing w:after="0"/>
              <w:rPr>
                <w:sz w:val="5"/>
                <w:szCs w:val="5"/>
                <w:color w:val="auto"/>
              </w:rPr>
            </w:pPr>
          </w:p>
        </w:tc>
        <w:tc>
          <w:tcPr>
            <w:tcW w:w="920" w:type="dxa"/>
            <w:vAlign w:val="bottom"/>
            <w:tcBorders>
              <w:right w:val="single" w:sz="8" w:color="auto"/>
            </w:tcBorders>
            <w:vMerge w:val="continue"/>
            <w:shd w:val="clear" w:color="auto" w:fill="C0C0C0"/>
          </w:tcPr>
          <w:p>
            <w:pPr>
              <w:spacing w:after="0"/>
              <w:rPr>
                <w:sz w:val="5"/>
                <w:szCs w:val="5"/>
                <w:color w:val="auto"/>
              </w:rPr>
            </w:pPr>
          </w:p>
        </w:tc>
        <w:tc>
          <w:tcPr>
            <w:tcW w:w="900" w:type="dxa"/>
            <w:vAlign w:val="bottom"/>
            <w:tcBorders>
              <w:right w:val="single" w:sz="8" w:color="auto"/>
            </w:tcBorders>
            <w:shd w:val="clear" w:color="auto" w:fill="C0C0C0"/>
          </w:tcPr>
          <w:p>
            <w:pPr>
              <w:spacing w:after="0"/>
              <w:rPr>
                <w:sz w:val="5"/>
                <w:szCs w:val="5"/>
                <w:color w:val="auto"/>
              </w:rPr>
            </w:pPr>
          </w:p>
        </w:tc>
        <w:tc>
          <w:tcPr>
            <w:tcW w:w="9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shd w:val="clear" w:color="auto" w:fill="C0C0C0"/>
          </w:tcPr>
          <w:p>
            <w:pPr>
              <w:spacing w:after="0"/>
              <w:rPr>
                <w:sz w:val="12"/>
                <w:szCs w:val="12"/>
                <w:color w:val="auto"/>
              </w:rPr>
            </w:pPr>
          </w:p>
        </w:tc>
        <w:tc>
          <w:tcPr>
            <w:tcW w:w="780" w:type="dxa"/>
            <w:vAlign w:val="bottom"/>
            <w:shd w:val="clear" w:color="auto" w:fill="C0C0C0"/>
          </w:tcPr>
          <w:p>
            <w:pPr>
              <w:spacing w:after="0"/>
              <w:rPr>
                <w:sz w:val="12"/>
                <w:szCs w:val="12"/>
                <w:color w:val="auto"/>
              </w:rPr>
            </w:pPr>
          </w:p>
        </w:tc>
        <w:tc>
          <w:tcPr>
            <w:tcW w:w="1180" w:type="dxa"/>
            <w:vAlign w:val="bottom"/>
            <w:gridSpan w:val="3"/>
            <w:vMerge w:val="continue"/>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C0C0C0"/>
            </w:tcBorders>
            <w:shd w:val="clear" w:color="auto" w:fill="C0C0C0"/>
          </w:tcPr>
          <w:p>
            <w:pPr>
              <w:spacing w:after="0"/>
              <w:rPr>
                <w:sz w:val="12"/>
                <w:szCs w:val="12"/>
                <w:color w:val="auto"/>
              </w:rPr>
            </w:pPr>
          </w:p>
        </w:tc>
        <w:tc>
          <w:tcPr>
            <w:tcW w:w="920" w:type="dxa"/>
            <w:vAlign w:val="bottom"/>
            <w:tcBorders>
              <w:right w:val="single" w:sz="8" w:color="C0C0C0"/>
            </w:tcBorders>
            <w:vMerge w:val="continue"/>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tcBorders>
              <w:right w:val="single" w:sz="8" w:color="auto"/>
            </w:tcBorders>
            <w:shd w:val="clear" w:color="auto" w:fill="C0C0C0"/>
          </w:tcPr>
          <w:p>
            <w:pPr>
              <w:jc w:val="center"/>
              <w:spacing w:after="0" w:line="145" w:lineRule="exact"/>
              <w:rPr>
                <w:sz w:val="20"/>
                <w:szCs w:val="20"/>
                <w:color w:val="auto"/>
              </w:rPr>
            </w:pPr>
            <w:r>
              <w:rPr>
                <w:rFonts w:ascii="Arial" w:cs="Arial" w:eastAsia="Arial" w:hAnsi="Arial"/>
                <w:sz w:val="14"/>
                <w:szCs w:val="14"/>
                <w:b w:val="1"/>
                <w:bCs w:val="1"/>
                <w:color w:val="auto"/>
                <w:w w:val="97"/>
              </w:rPr>
              <w:t>Option</w:t>
            </w:r>
          </w:p>
        </w:tc>
        <w:tc>
          <w:tcPr>
            <w:tcW w:w="9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Exercise or</w:t>
            </w:r>
          </w:p>
        </w:tc>
        <w:tc>
          <w:tcPr>
            <w:tcW w:w="900" w:type="dxa"/>
            <w:vAlign w:val="bottom"/>
            <w:tcBorders>
              <w:right w:val="single" w:sz="8" w:color="auto"/>
            </w:tcBorders>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bottom w:val="single" w:sz="8" w:color="C0C0C0"/>
              <w:right w:val="single" w:sz="8" w:color="auto"/>
            </w:tcBorders>
            <w:shd w:val="clear" w:color="auto" w:fill="C0C0C0"/>
          </w:tcPr>
          <w:p>
            <w:pPr>
              <w:spacing w:after="0"/>
              <w:rPr>
                <w:sz w:val="13"/>
                <w:szCs w:val="13"/>
                <w:color w:val="auto"/>
              </w:rPr>
            </w:pPr>
          </w:p>
        </w:tc>
        <w:tc>
          <w:tcPr>
            <w:tcW w:w="920" w:type="dxa"/>
            <w:vAlign w:val="bottom"/>
            <w:tcBorders>
              <w:bottom w:val="single" w:sz="8" w:color="C0C0C0"/>
              <w:right w:val="single" w:sz="8" w:color="auto"/>
            </w:tcBorders>
            <w:shd w:val="clear" w:color="auto" w:fill="C0C0C0"/>
          </w:tcPr>
          <w:p>
            <w:pPr>
              <w:spacing w:after="0"/>
              <w:rPr>
                <w:sz w:val="13"/>
                <w:szCs w:val="13"/>
                <w:color w:val="auto"/>
              </w:rPr>
            </w:pPr>
          </w:p>
        </w:tc>
        <w:tc>
          <w:tcPr>
            <w:tcW w:w="2760" w:type="dxa"/>
            <w:vAlign w:val="bottom"/>
            <w:tcBorders>
              <w:bottom w:val="single" w:sz="8" w:color="auto"/>
              <w:right w:val="single" w:sz="8" w:color="auto"/>
            </w:tcBorders>
            <w:gridSpan w:val="5"/>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Incentive Plan Awards</w:t>
            </w:r>
            <w:r>
              <w:rPr>
                <w:rFonts w:ascii="Arial" w:cs="Arial" w:eastAsia="Arial" w:hAnsi="Arial"/>
                <w:sz w:val="8"/>
                <w:szCs w:val="8"/>
                <w:color w:val="auto"/>
                <w:w w:val="94"/>
              </w:rPr>
              <w:t>(1)</w:t>
            </w:r>
          </w:p>
        </w:tc>
        <w:tc>
          <w:tcPr>
            <w:tcW w:w="2740" w:type="dxa"/>
            <w:vAlign w:val="bottom"/>
            <w:tcBorders>
              <w:bottom w:val="single" w:sz="8" w:color="auto"/>
              <w:right w:val="single" w:sz="8" w:color="auto"/>
            </w:tcBorders>
            <w:gridSpan w:val="3"/>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Incentive Plan Awards</w:t>
            </w:r>
          </w:p>
        </w:tc>
        <w:tc>
          <w:tcPr>
            <w:tcW w:w="90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Borders>
              <w:bottom w:val="single" w:sz="8" w:color="C0C0C0"/>
              <w:right w:val="single" w:sz="8" w:color="auto"/>
            </w:tcBorders>
            <w:vMerge w:val="continue"/>
            <w:shd w:val="clear" w:color="auto" w:fill="C0C0C0"/>
          </w:tcPr>
          <w:p>
            <w:pPr>
              <w:spacing w:after="0"/>
              <w:rPr>
                <w:sz w:val="13"/>
                <w:szCs w:val="13"/>
                <w:color w:val="auto"/>
              </w:rPr>
            </w:pPr>
          </w:p>
        </w:tc>
        <w:tc>
          <w:tcPr>
            <w:tcW w:w="90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780" w:type="dxa"/>
            <w:vAlign w:val="bottom"/>
            <w:shd w:val="clear" w:color="auto" w:fill="C0C0C0"/>
          </w:tcPr>
          <w:p>
            <w:pPr>
              <w:spacing w:after="0"/>
              <w:rPr>
                <w:sz w:val="10"/>
                <w:szCs w:val="10"/>
                <w:color w:val="auto"/>
              </w:rPr>
            </w:pPr>
          </w:p>
        </w:tc>
        <w:tc>
          <w:tcPr>
            <w:tcW w:w="14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80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900" w:type="dxa"/>
            <w:vAlign w:val="bottom"/>
            <w:tcBorders>
              <w:right w:val="single" w:sz="8" w:color="auto"/>
            </w:tcBorders>
            <w:shd w:val="clear" w:color="auto" w:fill="C0C0C0"/>
          </w:tcPr>
          <w:p>
            <w:pPr>
              <w:spacing w:after="0"/>
              <w:rPr>
                <w:sz w:val="10"/>
                <w:szCs w:val="10"/>
                <w:color w:val="auto"/>
              </w:rPr>
            </w:pP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0"/>
              </w:rPr>
              <w:t>Base Price of</w:t>
            </w: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shd w:val="clear" w:color="auto" w:fill="C0C0C0"/>
          </w:tcPr>
          <w:p>
            <w:pPr>
              <w:spacing w:after="0"/>
              <w:rPr>
                <w:sz w:val="12"/>
                <w:szCs w:val="12"/>
                <w:color w:val="auto"/>
              </w:rPr>
            </w:pPr>
          </w:p>
        </w:tc>
        <w:tc>
          <w:tcPr>
            <w:tcW w:w="780" w:type="dxa"/>
            <w:vAlign w:val="bottom"/>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w w:val="91"/>
              </w:rPr>
              <w:t>Threshold</w:t>
            </w:r>
          </w:p>
        </w:tc>
        <w:tc>
          <w:tcPr>
            <w:tcW w:w="14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shd w:val="clear" w:color="auto" w:fill="C0C0C0"/>
          </w:tcPr>
          <w:p>
            <w:pPr>
              <w:spacing w:after="0"/>
              <w:rPr>
                <w:sz w:val="12"/>
                <w:szCs w:val="12"/>
                <w:color w:val="auto"/>
              </w:rPr>
            </w:pPr>
          </w:p>
        </w:tc>
        <w:tc>
          <w:tcPr>
            <w:tcW w:w="800" w:type="dxa"/>
            <w:vAlign w:val="bottom"/>
            <w:tcBorders>
              <w:right w:val="single" w:sz="8" w:color="auto"/>
            </w:tcBorders>
            <w:vMerge w:val="restart"/>
            <w:shd w:val="clear" w:color="auto" w:fill="C0C0C0"/>
          </w:tcPr>
          <w:p>
            <w:pPr>
              <w:spacing w:after="0"/>
              <w:rPr>
                <w:sz w:val="20"/>
                <w:szCs w:val="20"/>
                <w:color w:val="auto"/>
              </w:rPr>
            </w:pPr>
            <w:r>
              <w:rPr>
                <w:rFonts w:ascii="Arial" w:cs="Arial" w:eastAsia="Arial" w:hAnsi="Arial"/>
                <w:sz w:val="14"/>
                <w:szCs w:val="14"/>
                <w:b w:val="1"/>
                <w:bCs w:val="1"/>
                <w:color w:val="auto"/>
              </w:rPr>
              <w:t>Maximum</w:t>
            </w:r>
          </w:p>
        </w:tc>
        <w:tc>
          <w:tcPr>
            <w:tcW w:w="920" w:type="dxa"/>
            <w:vAlign w:val="bottom"/>
            <w:tcBorders>
              <w:right w:val="single" w:sz="8" w:color="auto"/>
            </w:tcBorders>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rPr>
              <w:t>Threshold</w:t>
            </w:r>
          </w:p>
        </w:tc>
        <w:tc>
          <w:tcPr>
            <w:tcW w:w="9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tcBorders>
              <w:right w:val="single" w:sz="8" w:color="auto"/>
            </w:tcBorders>
            <w:vMerge w:val="restart"/>
            <w:shd w:val="clear" w:color="auto" w:fill="C0C0C0"/>
          </w:tcPr>
          <w:p>
            <w:pPr>
              <w:ind w:left="120"/>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9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vMerge w:val="restart"/>
            <w:shd w:val="clear" w:color="auto" w:fill="C0C0C0"/>
          </w:tcPr>
          <w:p>
            <w:pPr>
              <w:ind w:left="52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780" w:type="dxa"/>
            <w:vAlign w:val="bottom"/>
            <w:vMerge w:val="continue"/>
            <w:shd w:val="clear" w:color="auto" w:fill="C0C0C0"/>
          </w:tcPr>
          <w:p>
            <w:pPr>
              <w:spacing w:after="0"/>
              <w:rPr>
                <w:sz w:val="12"/>
                <w:szCs w:val="12"/>
                <w:color w:val="auto"/>
              </w:rPr>
            </w:pPr>
          </w:p>
        </w:tc>
        <w:tc>
          <w:tcPr>
            <w:tcW w:w="14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800" w:type="dxa"/>
            <w:vAlign w:val="bottom"/>
            <w:tcBorders>
              <w:right w:val="single" w:sz="8" w:color="auto"/>
            </w:tcBorders>
            <w:vMerge w:val="continue"/>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9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97"/>
        </w:trPr>
        <w:tc>
          <w:tcPr>
            <w:tcW w:w="140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92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jc w:val="center"/>
              <w:ind w:lef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right w:val="single" w:sz="8" w:color="auto"/>
            </w:tcBorders>
            <w:shd w:val="clear" w:color="auto" w:fill="C0C0C0"/>
          </w:tcPr>
          <w:p>
            <w:pPr>
              <w:spacing w:after="0"/>
              <w:rPr>
                <w:sz w:val="17"/>
                <w:szCs w:val="17"/>
                <w:color w:val="auto"/>
              </w:rPr>
            </w:pP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0C0C0"/>
          </w:tcPr>
          <w:p>
            <w:pPr>
              <w:spacing w:after="0"/>
              <w:rPr>
                <w:sz w:val="17"/>
                <w:szCs w:val="17"/>
                <w:color w:val="auto"/>
              </w:rPr>
            </w:pPr>
          </w:p>
        </w:tc>
        <w:tc>
          <w:tcPr>
            <w:tcW w:w="800" w:type="dxa"/>
            <w:vAlign w:val="bottom"/>
            <w:tcBorders>
              <w:bottom w:val="single" w:sz="8" w:color="auto"/>
              <w:right w:val="single" w:sz="8" w:color="auto"/>
            </w:tcBorders>
            <w:shd w:val="clear" w:color="auto" w:fill="C0C0C0"/>
          </w:tcPr>
          <w:p>
            <w:pPr>
              <w:jc w:val="center"/>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Units</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Ronald M. Faris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700,000</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1,400,000</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3"/>
              </w:rPr>
              <w:t>2,100,000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Michael R. Bourque,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250,000</w:t>
            </w:r>
          </w:p>
        </w:tc>
        <w:tc>
          <w:tcPr>
            <w:tcW w:w="120" w:type="dxa"/>
            <w:vAlign w:val="bottom"/>
          </w:tcPr>
          <w:p>
            <w:pPr>
              <w:spacing w:after="0"/>
              <w:rPr>
                <w:sz w:val="13"/>
                <w:szCs w:val="13"/>
                <w:color w:val="auto"/>
              </w:rPr>
            </w:pPr>
          </w:p>
        </w:tc>
        <w:tc>
          <w:tcPr>
            <w:tcW w:w="80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color w:val="auto"/>
                <w:w w:val="90"/>
              </w:rPr>
              <w:t>500,000</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Jr.</w:t>
            </w:r>
          </w:p>
        </w:tc>
        <w:tc>
          <w:tcPr>
            <w:tcW w:w="920" w:type="dxa"/>
            <w:vAlign w:val="bottom"/>
            <w:tcBorders>
              <w:right w:val="single" w:sz="8" w:color="auto"/>
            </w:tcBorders>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Scott W. Anderson</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250,000</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500,000</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750,000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 V. Britti</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225,000</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450,000</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675,000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Arthur C. Walker, Jr.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216,964</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433,928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 w:hanging="332"/>
        <w:spacing w:after="0" w:line="237"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potential non-equity compensation that would have been earned by each respective executive officer for 2017 service under the different achievement levels under their 2017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2017 service is set forth in the “Non-Equity Incentive Plan Compensation” column of the “Summary Compensation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796"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2017 for the individuals named in the Summary Compensation Table.</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80" w:type="dxa"/>
            <w:vAlign w:val="bottom"/>
            <w:tcBorders>
              <w:top w:val="single" w:sz="8" w:color="auto"/>
              <w:left w:val="single" w:sz="8" w:color="auto"/>
              <w:bottom w:val="single" w:sz="8" w:color="C0C0C0"/>
              <w:right w:val="single" w:sz="8" w:color="auto"/>
            </w:tcBorders>
            <w:shd w:val="clear" w:color="auto" w:fill="C0C0C0"/>
          </w:tcPr>
          <w:p>
            <w:pPr>
              <w:spacing w:after="0"/>
              <w:rPr>
                <w:sz w:val="24"/>
                <w:szCs w:val="24"/>
                <w:color w:val="auto"/>
              </w:rPr>
            </w:pPr>
          </w:p>
        </w:tc>
        <w:tc>
          <w:tcPr>
            <w:tcW w:w="116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2440" w:type="dxa"/>
            <w:vAlign w:val="bottom"/>
            <w:tcBorders>
              <w:top w:val="single" w:sz="8" w:color="auto"/>
              <w:bottom w:val="single" w:sz="8" w:color="C0C0C0"/>
              <w:right w:val="single" w:sz="8" w:color="C0C0C0"/>
            </w:tcBorders>
            <w:gridSpan w:val="2"/>
            <w:shd w:val="clear" w:color="auto" w:fill="C0C0C0"/>
          </w:tcPr>
          <w:p>
            <w:pPr>
              <w:ind w:left="1040"/>
              <w:spacing w:after="0"/>
              <w:rPr>
                <w:sz w:val="20"/>
                <w:szCs w:val="20"/>
                <w:color w:val="auto"/>
              </w:rPr>
            </w:pPr>
            <w:r>
              <w:rPr>
                <w:rFonts w:ascii="Arial" w:cs="Arial" w:eastAsia="Arial" w:hAnsi="Arial"/>
                <w:sz w:val="16"/>
                <w:szCs w:val="16"/>
                <w:b w:val="1"/>
                <w:bCs w:val="1"/>
                <w:color w:val="auto"/>
              </w:rPr>
              <w:t>Option Awards</w:t>
            </w:r>
          </w:p>
        </w:tc>
        <w:tc>
          <w:tcPr>
            <w:tcW w:w="84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104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04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1860" w:type="dxa"/>
            <w:vAlign w:val="bottom"/>
            <w:tcBorders>
              <w:top w:val="single" w:sz="8" w:color="auto"/>
              <w:bottom w:val="single" w:sz="8" w:color="C0C0C0"/>
              <w:right w:val="single" w:sz="8" w:color="C0C0C0"/>
            </w:tcBorders>
            <w:gridSpan w:val="2"/>
            <w:shd w:val="clear" w:color="auto" w:fill="C0C0C0"/>
          </w:tcPr>
          <w:p>
            <w:pPr>
              <w:ind w:left="440"/>
              <w:spacing w:after="0"/>
              <w:rPr>
                <w:sz w:val="20"/>
                <w:szCs w:val="20"/>
                <w:color w:val="auto"/>
              </w:rPr>
            </w:pPr>
            <w:r>
              <w:rPr>
                <w:rFonts w:ascii="Arial" w:cs="Arial" w:eastAsia="Arial" w:hAnsi="Arial"/>
                <w:sz w:val="16"/>
                <w:szCs w:val="16"/>
                <w:b w:val="1"/>
                <w:bCs w:val="1"/>
                <w:color w:val="auto"/>
              </w:rPr>
              <w:t>Stock Awards</w:t>
            </w:r>
          </w:p>
        </w:tc>
        <w:tc>
          <w:tcPr>
            <w:tcW w:w="104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80" w:type="dxa"/>
            <w:vAlign w:val="bottom"/>
            <w:tcBorders>
              <w:top w:val="single" w:sz="8" w:color="C0C0C0"/>
              <w:left w:val="single" w:sz="8" w:color="auto"/>
              <w:right w:val="single" w:sz="8" w:color="auto"/>
            </w:tcBorders>
            <w:shd w:val="clear" w:color="auto" w:fill="C0C0C0"/>
          </w:tcPr>
          <w:p>
            <w:pPr>
              <w:spacing w:after="0"/>
              <w:rPr>
                <w:sz w:val="20"/>
                <w:szCs w:val="20"/>
                <w:color w:val="auto"/>
              </w:rPr>
            </w:pPr>
          </w:p>
        </w:tc>
        <w:tc>
          <w:tcPr>
            <w:tcW w:w="1160" w:type="dxa"/>
            <w:vAlign w:val="bottom"/>
            <w:tcBorders>
              <w:top w:val="single" w:sz="8" w:color="auto"/>
              <w:right w:val="single" w:sz="8" w:color="auto"/>
            </w:tcBorders>
            <w:shd w:val="clear" w:color="auto" w:fill="C0C0C0"/>
          </w:tcPr>
          <w:p>
            <w:pPr>
              <w:spacing w:after="0"/>
              <w:rPr>
                <w:sz w:val="20"/>
                <w:szCs w:val="20"/>
                <w:color w:val="auto"/>
              </w:rPr>
            </w:pPr>
          </w:p>
        </w:tc>
        <w:tc>
          <w:tcPr>
            <w:tcW w:w="1280" w:type="dxa"/>
            <w:vAlign w:val="bottom"/>
            <w:tcBorders>
              <w:top w:val="single" w:sz="8" w:color="auto"/>
              <w:right w:val="single" w:sz="8" w:color="auto"/>
            </w:tcBorders>
            <w:shd w:val="clear" w:color="auto" w:fill="C0C0C0"/>
          </w:tcPr>
          <w:p>
            <w:pPr>
              <w:spacing w:after="0"/>
              <w:rPr>
                <w:sz w:val="20"/>
                <w:szCs w:val="20"/>
                <w:color w:val="auto"/>
              </w:rPr>
            </w:pPr>
          </w:p>
        </w:tc>
        <w:tc>
          <w:tcPr>
            <w:tcW w:w="1160" w:type="dxa"/>
            <w:vAlign w:val="bottom"/>
            <w:tcBorders>
              <w:top w:val="single" w:sz="8" w:color="auto"/>
              <w:right w:val="single" w:sz="8" w:color="auto"/>
            </w:tcBorders>
            <w:shd w:val="clear" w:color="auto" w:fill="C0C0C0"/>
          </w:tcPr>
          <w:p>
            <w:pPr>
              <w:spacing w:after="0"/>
              <w:rPr>
                <w:sz w:val="20"/>
                <w:szCs w:val="20"/>
                <w:color w:val="auto"/>
              </w:rPr>
            </w:pPr>
          </w:p>
        </w:tc>
        <w:tc>
          <w:tcPr>
            <w:tcW w:w="84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spacing w:after="0"/>
              <w:rPr>
                <w:sz w:val="20"/>
                <w:szCs w:val="20"/>
                <w:color w:val="auto"/>
              </w:rPr>
            </w:pPr>
          </w:p>
        </w:tc>
        <w:tc>
          <w:tcPr>
            <w:tcW w:w="82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8"/>
              </w:rPr>
              <w:t>Equity</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Plan Awards:</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Plan Awards:</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Market or</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Awards:</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Market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Payout Value</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of Unearned</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Units</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Shares, Units</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Units of</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or Other</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8"/>
              </w:rPr>
              <w:t>or Other</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Units of Stock</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Stock That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Rights That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Rights That</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Exercise</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That Have</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Have Not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Expiration</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Not Vested</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0" w:type="dxa"/>
            <w:vAlign w:val="bottom"/>
          </w:tcPr>
          <w:p>
            <w:pPr>
              <w:spacing w:after="0"/>
              <w:rPr>
                <w:sz w:val="1"/>
                <w:szCs w:val="1"/>
                <w:color w:val="auto"/>
              </w:rPr>
            </w:pPr>
          </w:p>
        </w:tc>
      </w:tr>
      <w:tr>
        <w:trPr>
          <w:trHeight w:val="277"/>
        </w:trPr>
        <w:tc>
          <w:tcPr>
            <w:tcW w:w="108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2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c>
          <w:tcPr>
            <w:tcW w:w="8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Date</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8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(4)</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(4)</w:t>
            </w:r>
          </w:p>
        </w:tc>
        <w:tc>
          <w:tcPr>
            <w:tcW w:w="0" w:type="dxa"/>
            <w:vAlign w:val="bottom"/>
          </w:tcPr>
          <w:p>
            <w:pPr>
              <w:spacing w:after="0"/>
              <w:rPr>
                <w:sz w:val="1"/>
                <w:szCs w:val="1"/>
                <w:color w:val="auto"/>
              </w:rPr>
            </w:pPr>
          </w:p>
        </w:tc>
      </w:tr>
      <w:tr>
        <w:trPr>
          <w:trHeight w:val="197"/>
        </w:trPr>
        <w:tc>
          <w:tcPr>
            <w:tcW w:w="1080" w:type="dxa"/>
            <w:vAlign w:val="bottom"/>
            <w:tcBorders>
              <w:left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310,000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4.82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7/14/2018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Ronald M. Faris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620,000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4.82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7/14/2018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310,000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4.82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7/14/2018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153,417</w:t>
            </w:r>
            <w:r>
              <w:rPr>
                <w:rFonts w:ascii="Arial" w:cs="Arial" w:eastAsia="Arial" w:hAnsi="Arial"/>
                <w:sz w:val="8"/>
                <w:szCs w:val="8"/>
                <w:color w:val="auto"/>
                <w:w w:val="92"/>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480,195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451,226</w:t>
            </w:r>
            <w:r>
              <w:rPr>
                <w:rFonts w:ascii="Arial" w:cs="Arial" w:eastAsia="Arial" w:hAnsi="Arial"/>
                <w:sz w:val="8"/>
                <w:szCs w:val="8"/>
                <w:color w:val="auto"/>
                <w:w w:val="92"/>
              </w:rPr>
              <w:t>(6)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1,412,337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16,386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16,386</w:t>
            </w:r>
            <w:r>
              <w:rPr>
                <w:rFonts w:ascii="Arial" w:cs="Arial" w:eastAsia="Arial" w:hAnsi="Arial"/>
                <w:sz w:val="8"/>
                <w:szCs w:val="8"/>
                <w:color w:val="auto"/>
                <w:w w:val="94"/>
              </w:rPr>
              <w:t>(7)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10,224</w:t>
            </w:r>
            <w:r>
              <w:rPr>
                <w:rFonts w:ascii="Arial" w:cs="Arial" w:eastAsia="Arial" w:hAnsi="Arial"/>
                <w:sz w:val="8"/>
                <w:szCs w:val="8"/>
                <w:color w:val="auto"/>
                <w:w w:val="94"/>
              </w:rPr>
              <w:t>(8)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32,001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150,963</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18,750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6,250</w:t>
            </w:r>
            <w:r>
              <w:rPr>
                <w:rFonts w:ascii="Arial" w:cs="Arial" w:eastAsia="Arial" w:hAnsi="Arial"/>
                <w:sz w:val="8"/>
                <w:szCs w:val="8"/>
                <w:color w:val="auto"/>
                <w:w w:val="97"/>
              </w:rPr>
              <w:t>(10)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4/28/2024</w:t>
            </w:r>
          </w:p>
        </w:tc>
        <w:tc>
          <w:tcPr>
            <w:tcW w:w="10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Michael R.</w:t>
            </w: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50,000</w:t>
            </w:r>
            <w:r>
              <w:rPr>
                <w:rFonts w:ascii="Arial" w:cs="Arial" w:eastAsia="Arial" w:hAnsi="Arial"/>
                <w:sz w:val="8"/>
                <w:szCs w:val="8"/>
                <w:color w:val="auto"/>
                <w:w w:val="98"/>
              </w:rPr>
              <w:t>(11)</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4/28/2024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right w:val="single" w:sz="8" w:color="auto"/>
            </w:tcBorders>
          </w:tcPr>
          <w:p>
            <w:pPr>
              <w:jc w:val="center"/>
              <w:spacing w:after="0" w:line="61" w:lineRule="exact"/>
              <w:rPr>
                <w:sz w:val="20"/>
                <w:szCs w:val="20"/>
                <w:color w:val="auto"/>
              </w:rPr>
            </w:pPr>
            <w:r>
              <w:rPr>
                <w:rFonts w:ascii="Arial" w:cs="Arial" w:eastAsia="Arial" w:hAnsi="Arial"/>
                <w:sz w:val="7"/>
                <w:szCs w:val="7"/>
                <w:color w:val="auto"/>
              </w:rPr>
              <w:t>Bourque, Jr.</w:t>
            </w:r>
          </w:p>
        </w:tc>
        <w:tc>
          <w:tcPr>
            <w:tcW w:w="11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25,000</w:t>
            </w:r>
            <w:r>
              <w:rPr>
                <w:rFonts w:ascii="Arial" w:cs="Arial" w:eastAsia="Arial" w:hAnsi="Arial"/>
                <w:sz w:val="8"/>
                <w:szCs w:val="8"/>
                <w:color w:val="auto"/>
                <w:w w:val="98"/>
              </w:rPr>
              <w:t>(12)</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4/28/2024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43,333</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135,632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63,750</w:t>
            </w:r>
            <w:r>
              <w:rPr>
                <w:rFonts w:ascii="Arial" w:cs="Arial" w:eastAsia="Arial" w:hAnsi="Arial"/>
                <w:sz w:val="8"/>
                <w:szCs w:val="8"/>
                <w:color w:val="auto"/>
                <w:w w:val="94"/>
              </w:rPr>
              <w:t>(6)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199,537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16,386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16,386</w:t>
            </w:r>
            <w:r>
              <w:rPr>
                <w:rFonts w:ascii="Arial" w:cs="Arial" w:eastAsia="Arial" w:hAnsi="Arial"/>
                <w:sz w:val="8"/>
                <w:szCs w:val="8"/>
                <w:color w:val="auto"/>
                <w:w w:val="94"/>
              </w:rPr>
              <w:t>(7)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10,224</w:t>
            </w:r>
            <w:r>
              <w:rPr>
                <w:rFonts w:ascii="Arial" w:cs="Arial" w:eastAsia="Arial" w:hAnsi="Arial"/>
                <w:sz w:val="8"/>
                <w:szCs w:val="8"/>
                <w:color w:val="auto"/>
                <w:w w:val="94"/>
              </w:rPr>
              <w:t>(8)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32,001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150,963</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16,875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5,625</w:t>
            </w:r>
            <w:r>
              <w:rPr>
                <w:rFonts w:ascii="Arial" w:cs="Arial" w:eastAsia="Arial" w:hAnsi="Arial"/>
                <w:sz w:val="8"/>
                <w:szCs w:val="8"/>
                <w:color w:val="auto"/>
                <w:w w:val="97"/>
              </w:rPr>
              <w:t>(13)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Scott W.</w:t>
            </w: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45,000</w:t>
            </w:r>
            <w:r>
              <w:rPr>
                <w:rFonts w:ascii="Arial" w:cs="Arial" w:eastAsia="Arial" w:hAnsi="Arial"/>
                <w:sz w:val="8"/>
                <w:szCs w:val="8"/>
                <w:color w:val="auto"/>
                <w:w w:val="98"/>
              </w:rPr>
              <w:t>(14)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right w:val="single" w:sz="8" w:color="auto"/>
            </w:tcBorders>
          </w:tcPr>
          <w:p>
            <w:pPr>
              <w:jc w:val="center"/>
              <w:spacing w:after="0" w:line="61" w:lineRule="exact"/>
              <w:rPr>
                <w:sz w:val="20"/>
                <w:szCs w:val="20"/>
                <w:color w:val="auto"/>
              </w:rPr>
            </w:pPr>
            <w:r>
              <w:rPr>
                <w:rFonts w:ascii="Arial" w:cs="Arial" w:eastAsia="Arial" w:hAnsi="Arial"/>
                <w:sz w:val="7"/>
                <w:szCs w:val="7"/>
                <w:color w:val="auto"/>
              </w:rPr>
              <w:t>Anderson</w:t>
            </w:r>
          </w:p>
        </w:tc>
        <w:tc>
          <w:tcPr>
            <w:tcW w:w="11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22,500</w:t>
            </w:r>
            <w:r>
              <w:rPr>
                <w:rFonts w:ascii="Arial" w:cs="Arial" w:eastAsia="Arial" w:hAnsi="Arial"/>
                <w:sz w:val="8"/>
                <w:szCs w:val="8"/>
                <w:color w:val="auto"/>
                <w:w w:val="98"/>
              </w:rPr>
              <w:t>(15)</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40,000</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125,200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60,000</w:t>
            </w:r>
            <w:r>
              <w:rPr>
                <w:rFonts w:ascii="Arial" w:cs="Arial" w:eastAsia="Arial" w:hAnsi="Arial"/>
                <w:sz w:val="8"/>
                <w:szCs w:val="8"/>
                <w:color w:val="auto"/>
                <w:w w:val="94"/>
              </w:rPr>
              <w:t>(6)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187,800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16,386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16,386</w:t>
            </w:r>
            <w:r>
              <w:rPr>
                <w:rFonts w:ascii="Arial" w:cs="Arial" w:eastAsia="Arial" w:hAnsi="Arial"/>
                <w:sz w:val="8"/>
                <w:szCs w:val="8"/>
                <w:color w:val="auto"/>
                <w:w w:val="94"/>
              </w:rPr>
              <w:t>(7)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10,224</w:t>
            </w:r>
            <w:r>
              <w:rPr>
                <w:rFonts w:ascii="Arial" w:cs="Arial" w:eastAsia="Arial" w:hAnsi="Arial"/>
                <w:sz w:val="8"/>
                <w:szCs w:val="8"/>
                <w:color w:val="auto"/>
                <w:w w:val="94"/>
              </w:rPr>
              <w:t>(8)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32,001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John V. Britti</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150,963</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vMerge w:val="continue"/>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1080" w:type="dxa"/>
            <w:vAlign w:val="bottom"/>
            <w:tcBorders>
              <w:left w:val="single" w:sz="8" w:color="auto"/>
              <w:right w:val="single" w:sz="8" w:color="auto"/>
            </w:tcBorders>
            <w:vMerge w:val="continue"/>
          </w:tcPr>
          <w:p>
            <w:pPr>
              <w:spacing w:after="0"/>
              <w:rPr>
                <w:sz w:val="10"/>
                <w:szCs w:val="10"/>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100,000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16.17</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3/5/2022</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vMerge w:val="continue"/>
          </w:tcPr>
          <w:p>
            <w:pPr>
              <w:spacing w:after="0"/>
              <w:rPr>
                <w:sz w:val="6"/>
                <w:szCs w:val="6"/>
                <w:color w:val="auto"/>
              </w:rPr>
            </w:pPr>
          </w:p>
        </w:tc>
        <w:tc>
          <w:tcPr>
            <w:tcW w:w="1160" w:type="dxa"/>
            <w:vAlign w:val="bottom"/>
            <w:tcBorders>
              <w:bottom w:val="single" w:sz="8" w:color="auto"/>
              <w:right w:val="single" w:sz="8" w:color="auto"/>
            </w:tcBorders>
            <w:vMerge w:val="continue"/>
          </w:tcPr>
          <w:p>
            <w:pPr>
              <w:spacing w:after="0"/>
              <w:rPr>
                <w:sz w:val="6"/>
                <w:szCs w:val="6"/>
                <w:color w:val="auto"/>
              </w:rPr>
            </w:pPr>
          </w:p>
        </w:tc>
        <w:tc>
          <w:tcPr>
            <w:tcW w:w="84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vMerge w:val="continue"/>
          </w:tcPr>
          <w:p>
            <w:pPr>
              <w:spacing w:after="0"/>
              <w:rPr>
                <w:sz w:val="6"/>
                <w:szCs w:val="6"/>
                <w:color w:val="auto"/>
              </w:rPr>
            </w:pPr>
          </w:p>
        </w:tc>
        <w:tc>
          <w:tcPr>
            <w:tcW w:w="82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36,666</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114,765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54,375</w:t>
            </w:r>
            <w:r>
              <w:rPr>
                <w:rFonts w:ascii="Arial" w:cs="Arial" w:eastAsia="Arial" w:hAnsi="Arial"/>
                <w:sz w:val="8"/>
                <w:szCs w:val="8"/>
                <w:color w:val="auto"/>
                <w:w w:val="94"/>
              </w:rPr>
              <w:t>(6)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170,194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12,500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08/26/2023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25,000</w:t>
            </w:r>
            <w:r>
              <w:rPr>
                <w:rFonts w:ascii="Arial" w:cs="Arial" w:eastAsia="Arial" w:hAnsi="Arial"/>
                <w:sz w:val="8"/>
                <w:szCs w:val="8"/>
                <w:color w:val="auto"/>
                <w:w w:val="98"/>
              </w:rPr>
              <w:t>(16)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08/26/2023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12,500</w:t>
            </w:r>
            <w:r>
              <w:rPr>
                <w:rFonts w:ascii="Arial" w:cs="Arial" w:eastAsia="Arial" w:hAnsi="Arial"/>
                <w:sz w:val="8"/>
                <w:szCs w:val="8"/>
                <w:color w:val="auto"/>
                <w:w w:val="98"/>
              </w:rPr>
              <w:t>(17)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08/26/2023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Arthur C.</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8,193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8,193</w:t>
            </w:r>
            <w:r>
              <w:rPr>
                <w:rFonts w:ascii="Arial" w:cs="Arial" w:eastAsia="Arial" w:hAnsi="Arial"/>
                <w:sz w:val="8"/>
                <w:szCs w:val="8"/>
                <w:color w:val="auto"/>
                <w:w w:val="93"/>
              </w:rPr>
              <w:t>(7)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02/24/2025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1"/>
              </w:rPr>
              <w:t>Walker</w:t>
            </w:r>
          </w:p>
        </w:tc>
        <w:tc>
          <w:tcPr>
            <w:tcW w:w="11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5,112</w:t>
            </w:r>
            <w:r>
              <w:rPr>
                <w:rFonts w:ascii="Arial" w:cs="Arial" w:eastAsia="Arial" w:hAnsi="Arial"/>
                <w:sz w:val="8"/>
                <w:szCs w:val="8"/>
                <w:color w:val="auto"/>
                <w:w w:val="93"/>
              </w:rPr>
              <w:t>(8)</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16,000</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24,115</w:t>
            </w:r>
            <w:r>
              <w:rPr>
                <w:rFonts w:ascii="Arial" w:cs="Arial" w:eastAsia="Arial" w:hAnsi="Arial"/>
                <w:sz w:val="8"/>
                <w:szCs w:val="8"/>
                <w:color w:val="auto"/>
                <w:w w:val="94"/>
              </w:rPr>
              <w:t>(9)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75,480</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24,000</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75,120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35,625</w:t>
            </w:r>
            <w:r>
              <w:rPr>
                <w:rFonts w:ascii="Arial" w:cs="Arial" w:eastAsia="Arial" w:hAnsi="Arial"/>
                <w:sz w:val="8"/>
                <w:szCs w:val="8"/>
                <w:color w:val="auto"/>
                <w:w w:val="94"/>
              </w:rPr>
              <w:t>(6)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111,506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340" w:hanging="332"/>
        <w:spacing w:after="0" w:line="261"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Consists of equity awards with respect to which, as of December 31, 2017, any applicable performance hurdles have been met but awards remain subject to time-based vesting criteria.</w:t>
      </w:r>
    </w:p>
    <w:p>
      <w:pPr>
        <w:spacing w:after="0" w:line="183" w:lineRule="exact"/>
        <w:rPr>
          <w:rFonts w:ascii="Arial" w:cs="Arial" w:eastAsia="Arial" w:hAnsi="Arial"/>
          <w:sz w:val="13"/>
          <w:szCs w:val="13"/>
          <w:color w:val="auto"/>
        </w:rPr>
      </w:pP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Consists of equity awards with respect to which, as of December 31, 2017, the applicable performance hurdles have not been met.</w:t>
      </w:r>
    </w:p>
    <w:p>
      <w:pPr>
        <w:spacing w:after="0" w:line="225" w:lineRule="exact"/>
        <w:rPr>
          <w:rFonts w:ascii="Arial" w:cs="Arial" w:eastAsia="Arial" w:hAnsi="Arial"/>
          <w:sz w:val="13"/>
          <w:szCs w:val="13"/>
          <w:color w:val="auto"/>
        </w:rPr>
      </w:pPr>
    </w:p>
    <w:p>
      <w:pPr>
        <w:ind w:left="340" w:right="260" w:hanging="332"/>
        <w:spacing w:after="0" w:line="277"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Option exercise prices were adjusted for Ocwen stock options outstanding on or before the Altisource Portfolio Solutions, SA (“Altisource”) spin-off transaction completed on August 10, 2009 to reflect the value of Altisource.</w:t>
      </w:r>
    </w:p>
    <w:p>
      <w:pPr>
        <w:sectPr>
          <w:pgSz w:w="11900" w:h="16838" w:orient="portrait"/>
          <w:cols w:equalWidth="0" w:num="1">
            <w:col w:w="11340"/>
          </w:cols>
          <w:pgMar w:left="240" w:top="580" w:right="319" w:bottom="285" w:gutter="0" w:footer="0" w:header="0"/>
        </w:sectPr>
      </w:pP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40"/>
          </w:cols>
          <w:pgMar w:left="240" w:top="580" w:right="319" w:bottom="285" w:gutter="0" w:footer="0" w:header="0"/>
          <w:type w:val="continuous"/>
        </w:sectPr>
      </w:pPr>
    </w:p>
    <w:bookmarkStart w:id="43" w:name="page44"/>
    <w:bookmarkEnd w:id="43"/>
    <w:p>
      <w:pPr>
        <w:ind w:left="340" w:right="380" w:hanging="332"/>
        <w:spacing w:after="0" w:line="342"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6"/>
          <w:szCs w:val="16"/>
          <w:color w:val="auto"/>
        </w:rPr>
        <w:t>The dollar amounts shown in these columns are determined by multiplying the number of unvested shares or units subject to the award by $3.13, the closing price of a share of our common stock on the New York Stock Exchange on December 29, 2017 (the last trading day of 2017).</w:t>
      </w:r>
    </w:p>
    <w:p>
      <w:pPr>
        <w:spacing w:after="0" w:line="123" w:lineRule="exact"/>
        <w:rPr>
          <w:rFonts w:ascii="Arial" w:cs="Arial" w:eastAsia="Arial" w:hAnsi="Arial"/>
          <w:sz w:val="11"/>
          <w:szCs w:val="11"/>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stock units vest in two equal installments on March 29, 2018 and March 29, 2019.</w:t>
      </w:r>
    </w:p>
    <w:p>
      <w:pPr>
        <w:spacing w:after="0" w:line="225"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stock units vest in three equal installments on March 29, 2018, March 29, 2019 and March 29, 2020.</w:t>
      </w:r>
    </w:p>
    <w:p>
      <w:pPr>
        <w:spacing w:after="0" w:line="225"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options vest in two equal installments on February 24, 2018 and February 24, 2019.</w:t>
      </w:r>
    </w:p>
    <w:p>
      <w:pPr>
        <w:spacing w:after="0" w:line="225" w:lineRule="exact"/>
        <w:rPr>
          <w:rFonts w:ascii="Arial" w:cs="Arial" w:eastAsia="Arial" w:hAnsi="Arial"/>
          <w:sz w:val="13"/>
          <w:szCs w:val="13"/>
          <w:color w:val="auto"/>
        </w:rPr>
      </w:pPr>
    </w:p>
    <w:p>
      <w:pPr>
        <w:ind w:left="180" w:hanging="172"/>
        <w:spacing w:after="0"/>
        <w:tabs>
          <w:tab w:leader="none" w:pos="1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stock units vests in two equal installments on February 24, 2018 and February 24, 2019.</w:t>
      </w:r>
    </w:p>
    <w:p>
      <w:pPr>
        <w:spacing w:after="0" w:line="238" w:lineRule="exact"/>
        <w:rPr>
          <w:rFonts w:ascii="Arial" w:cs="Arial" w:eastAsia="Arial" w:hAnsi="Arial"/>
          <w:sz w:val="13"/>
          <w:szCs w:val="13"/>
          <w:color w:val="auto"/>
        </w:rPr>
      </w:pPr>
    </w:p>
    <w:p>
      <w:pPr>
        <w:ind w:left="340" w:hanging="332"/>
        <w:spacing w:after="0" w:line="302"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6"/>
          <w:szCs w:val="16"/>
          <w:color w:val="auto"/>
        </w:rPr>
        <w:t>The stock unit award vests upon the Average Stock Price equaling or exceeding $16.26. For these purposes, “Average Stock Price” means the average of the Adjusted Stock Price for a period of twenty consecutive trading days, and the term “Adjusted Stock Price” shall mean, for a particular trading day, the sum of (i) the closing price of the Corporation’s common stock on such trading day, and (ii) the aggregate amount of dividends paid by the Company on a share of its common stock during the period commencing on the award date and ending on the applicable trading day.</w:t>
      </w:r>
    </w:p>
    <w:p>
      <w:pPr>
        <w:spacing w:after="0" w:line="154" w:lineRule="exact"/>
        <w:rPr>
          <w:rFonts w:ascii="Arial" w:cs="Arial" w:eastAsia="Arial" w:hAnsi="Arial"/>
          <w:sz w:val="11"/>
          <w:szCs w:val="11"/>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options vest on April 28, 2018.</w:t>
      </w:r>
    </w:p>
    <w:p>
      <w:pPr>
        <w:spacing w:after="0" w:line="225" w:lineRule="exact"/>
        <w:rPr>
          <w:rFonts w:ascii="Arial" w:cs="Arial" w:eastAsia="Arial" w:hAnsi="Arial"/>
          <w:sz w:val="13"/>
          <w:szCs w:val="13"/>
          <w:color w:val="auto"/>
        </w:rPr>
      </w:pPr>
    </w:p>
    <w:p>
      <w:pPr>
        <w:ind w:left="340" w:right="4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One-fourth vests upon achieving a stock price of $74.24 and compounded annual gain of 20% over the exercise price with the balance vesting one-fourth each subsequent anniversary.</w:t>
      </w:r>
    </w:p>
    <w:p>
      <w:pPr>
        <w:spacing w:after="0" w:line="170" w:lineRule="exact"/>
        <w:rPr>
          <w:rFonts w:ascii="Arial" w:cs="Arial" w:eastAsia="Arial" w:hAnsi="Arial"/>
          <w:sz w:val="13"/>
          <w:szCs w:val="13"/>
          <w:color w:val="auto"/>
        </w:rPr>
      </w:pPr>
    </w:p>
    <w:p>
      <w:pPr>
        <w:ind w:left="340" w:right="40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One-fourth vests upon achieving a stock price of $111.36 and compounded annual gain of 25% over the exercise price with the balance vesting one-fourth each subsequent anniversary.</w:t>
      </w:r>
    </w:p>
    <w:p>
      <w:pPr>
        <w:spacing w:after="0" w:line="170"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options vest on May 14, 2018.</w:t>
      </w:r>
    </w:p>
    <w:p>
      <w:pPr>
        <w:spacing w:after="0" w:line="225" w:lineRule="exact"/>
        <w:rPr>
          <w:rFonts w:ascii="Arial" w:cs="Arial" w:eastAsia="Arial" w:hAnsi="Arial"/>
          <w:sz w:val="13"/>
          <w:szCs w:val="13"/>
          <w:color w:val="auto"/>
        </w:rPr>
      </w:pPr>
    </w:p>
    <w:p>
      <w:pPr>
        <w:ind w:left="340" w:right="4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One-fourth vests upon achieving a stock price of $66.90 and compounded annual gain of 20% over the exercise price with the balance vesting one-fourth each subsequent anniversary.</w:t>
      </w:r>
    </w:p>
    <w:p>
      <w:pPr>
        <w:spacing w:after="0" w:line="170" w:lineRule="exact"/>
        <w:rPr>
          <w:rFonts w:ascii="Arial" w:cs="Arial" w:eastAsia="Arial" w:hAnsi="Arial"/>
          <w:sz w:val="13"/>
          <w:szCs w:val="13"/>
          <w:color w:val="auto"/>
        </w:rPr>
      </w:pPr>
    </w:p>
    <w:p>
      <w:pPr>
        <w:ind w:left="340" w:right="38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One-fourth vests upon achieving a stock price of $100.35 and compounded annual gain of 25% over the exercise price with the balance vesting one-fourth each subsequent anniversary.</w:t>
      </w:r>
    </w:p>
    <w:p>
      <w:pPr>
        <w:spacing w:after="0" w:line="170" w:lineRule="exact"/>
        <w:rPr>
          <w:rFonts w:ascii="Arial" w:cs="Arial" w:eastAsia="Arial" w:hAnsi="Arial"/>
          <w:sz w:val="13"/>
          <w:szCs w:val="13"/>
          <w:color w:val="auto"/>
        </w:rPr>
      </w:pPr>
    </w:p>
    <w:p>
      <w:pPr>
        <w:ind w:left="340" w:right="28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$103.40 with a 20% or greater annualized rate of return in the stock price measured from the date of grant.</w:t>
      </w:r>
    </w:p>
    <w:p>
      <w:pPr>
        <w:spacing w:after="0" w:line="170" w:lineRule="exact"/>
        <w:rPr>
          <w:rFonts w:ascii="Arial" w:cs="Arial" w:eastAsia="Arial" w:hAnsi="Arial"/>
          <w:sz w:val="13"/>
          <w:szCs w:val="13"/>
          <w:color w:val="auto"/>
        </w:rPr>
      </w:pPr>
    </w:p>
    <w:p>
      <w:pPr>
        <w:ind w:left="340" w:right="28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$155.10 with a 25% or greater annualized rate of return in the stock price measured from the date of grant.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2017</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2017 for the individuals named in the Summary Compensation Table.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1" w:right="25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302"/>
        </w:trPr>
        <w:tc>
          <w:tcPr>
            <w:tcW w:w="3500" w:type="dxa"/>
            <w:vAlign w:val="bottom"/>
            <w:tcBorders>
              <w:top w:val="single" w:sz="8" w:color="auto"/>
              <w:left w:val="single" w:sz="8" w:color="auto"/>
              <w:bottom w:val="single" w:sz="8" w:color="BCBCBC"/>
              <w:right w:val="single" w:sz="8" w:color="auto"/>
            </w:tcBorders>
            <w:shd w:val="clear" w:color="auto" w:fill="BCBCBC"/>
          </w:tcPr>
          <w:p>
            <w:pPr>
              <w:spacing w:after="0"/>
              <w:rPr>
                <w:sz w:val="24"/>
                <w:szCs w:val="24"/>
                <w:color w:val="auto"/>
              </w:rPr>
            </w:pPr>
          </w:p>
        </w:tc>
        <w:tc>
          <w:tcPr>
            <w:tcW w:w="3680" w:type="dxa"/>
            <w:vAlign w:val="bottom"/>
            <w:tcBorders>
              <w:top w:val="single" w:sz="8" w:color="auto"/>
              <w:bottom w:val="single" w:sz="8" w:color="BCBCBC"/>
              <w:right w:val="single" w:sz="8" w:color="auto"/>
            </w:tcBorders>
            <w:gridSpan w:val="2"/>
            <w:shd w:val="clear" w:color="auto" w:fill="BCBCBC"/>
          </w:tcPr>
          <w:p>
            <w:pPr>
              <w:ind w:left="1240"/>
              <w:spacing w:after="0"/>
              <w:rPr>
                <w:sz w:val="20"/>
                <w:szCs w:val="20"/>
                <w:color w:val="auto"/>
              </w:rPr>
            </w:pPr>
            <w:r>
              <w:rPr>
                <w:rFonts w:ascii="Arial" w:cs="Arial" w:eastAsia="Arial" w:hAnsi="Arial"/>
                <w:sz w:val="18"/>
                <w:szCs w:val="18"/>
                <w:b w:val="1"/>
                <w:bCs w:val="1"/>
                <w:color w:val="auto"/>
              </w:rPr>
              <w:t>Option Awards</w:t>
            </w:r>
          </w:p>
        </w:tc>
        <w:tc>
          <w:tcPr>
            <w:tcW w:w="3660" w:type="dxa"/>
            <w:vAlign w:val="bottom"/>
            <w:tcBorders>
              <w:top w:val="single" w:sz="8" w:color="auto"/>
              <w:bottom w:val="single" w:sz="8" w:color="BCBCBC"/>
              <w:right w:val="single" w:sz="8" w:color="auto"/>
            </w:tcBorders>
            <w:gridSpan w:val="2"/>
            <w:shd w:val="clear" w:color="auto" w:fill="BCBCBC"/>
          </w:tcPr>
          <w:p>
            <w:pPr>
              <w:ind w:left="1280"/>
              <w:spacing w:after="0"/>
              <w:rPr>
                <w:sz w:val="20"/>
                <w:szCs w:val="20"/>
                <w:color w:val="auto"/>
              </w:rPr>
            </w:pPr>
            <w:r>
              <w:rPr>
                <w:rFonts w:ascii="Arial" w:cs="Arial" w:eastAsia="Arial" w:hAnsi="Arial"/>
                <w:sz w:val="18"/>
                <w:szCs w:val="18"/>
                <w:b w:val="1"/>
                <w:bCs w:val="1"/>
                <w:color w:val="auto"/>
              </w:rPr>
              <w:t>Stock Awards</w:t>
            </w:r>
          </w:p>
        </w:tc>
      </w:tr>
      <w:tr>
        <w:trPr>
          <w:trHeight w:val="218"/>
        </w:trPr>
        <w:tc>
          <w:tcPr>
            <w:tcW w:w="3500" w:type="dxa"/>
            <w:vAlign w:val="bottom"/>
            <w:tcBorders>
              <w:top w:val="single" w:sz="8" w:color="BCBCBC"/>
              <w:left w:val="single" w:sz="8" w:color="auto"/>
              <w:right w:val="single" w:sz="8" w:color="auto"/>
            </w:tcBorders>
            <w:shd w:val="clear" w:color="auto" w:fill="BCBCBC"/>
          </w:tcPr>
          <w:p>
            <w:pPr>
              <w:spacing w:after="0"/>
              <w:rPr>
                <w:sz w:val="18"/>
                <w:szCs w:val="18"/>
                <w:color w:val="auto"/>
              </w:rPr>
            </w:pPr>
          </w:p>
        </w:tc>
        <w:tc>
          <w:tcPr>
            <w:tcW w:w="1840" w:type="dxa"/>
            <w:vAlign w:val="bottom"/>
            <w:tcBorders>
              <w:top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40" w:type="dxa"/>
            <w:vAlign w:val="bottom"/>
            <w:tcBorders>
              <w:top w:val="single" w:sz="8" w:color="auto"/>
              <w:right w:val="single" w:sz="8" w:color="auto"/>
            </w:tcBorders>
            <w:shd w:val="clear" w:color="auto" w:fill="BCBCBC"/>
          </w:tcPr>
          <w:p>
            <w:pPr>
              <w:spacing w:after="0"/>
              <w:rPr>
                <w:sz w:val="18"/>
                <w:szCs w:val="18"/>
                <w:color w:val="auto"/>
              </w:rPr>
            </w:pPr>
          </w:p>
        </w:tc>
        <w:tc>
          <w:tcPr>
            <w:tcW w:w="1820" w:type="dxa"/>
            <w:vAlign w:val="bottom"/>
            <w:tcBorders>
              <w:top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40" w:type="dxa"/>
            <w:vAlign w:val="bottom"/>
            <w:tcBorders>
              <w:top w:val="single" w:sz="8" w:color="auto"/>
              <w:right w:val="single" w:sz="8" w:color="auto"/>
            </w:tcBorders>
            <w:shd w:val="clear" w:color="auto" w:fill="BCBCBC"/>
          </w:tcPr>
          <w:p>
            <w:pPr>
              <w:spacing w:after="0"/>
              <w:rPr>
                <w:sz w:val="18"/>
                <w:szCs w:val="18"/>
                <w:color w:val="auto"/>
              </w:rPr>
            </w:pPr>
          </w:p>
        </w:tc>
      </w:tr>
      <w:tr>
        <w:trPr>
          <w:trHeight w:val="216"/>
        </w:trPr>
        <w:tc>
          <w:tcPr>
            <w:tcW w:w="3500" w:type="dxa"/>
            <w:vAlign w:val="bottom"/>
            <w:tcBorders>
              <w:left w:val="single" w:sz="8" w:color="auto"/>
              <w:right w:val="single" w:sz="8" w:color="auto"/>
            </w:tcBorders>
            <w:shd w:val="clear" w:color="auto" w:fill="BCBCBC"/>
          </w:tcPr>
          <w:p>
            <w:pPr>
              <w:spacing w:after="0"/>
              <w:rPr>
                <w:sz w:val="18"/>
                <w:szCs w:val="18"/>
                <w:color w:val="auto"/>
              </w:rPr>
            </w:pPr>
          </w:p>
        </w:tc>
        <w:tc>
          <w:tcPr>
            <w:tcW w:w="184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40" w:type="dxa"/>
            <w:vAlign w:val="bottom"/>
            <w:tcBorders>
              <w:right w:val="single" w:sz="8" w:color="auto"/>
            </w:tcBorders>
            <w:shd w:val="clear" w:color="auto" w:fill="BCBCBC"/>
          </w:tcPr>
          <w:p>
            <w:pPr>
              <w:spacing w:after="0"/>
              <w:rPr>
                <w:sz w:val="18"/>
                <w:szCs w:val="18"/>
                <w:color w:val="auto"/>
              </w:rPr>
            </w:pPr>
          </w:p>
        </w:tc>
        <w:tc>
          <w:tcPr>
            <w:tcW w:w="182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40" w:type="dxa"/>
            <w:vAlign w:val="bottom"/>
            <w:tcBorders>
              <w:right w:val="single" w:sz="8" w:color="auto"/>
            </w:tcBorders>
            <w:shd w:val="clear" w:color="auto" w:fill="BCBCBC"/>
          </w:tcPr>
          <w:p>
            <w:pPr>
              <w:spacing w:after="0"/>
              <w:rPr>
                <w:sz w:val="18"/>
                <w:szCs w:val="18"/>
                <w:color w:val="auto"/>
              </w:rPr>
            </w:pPr>
          </w:p>
        </w:tc>
      </w:tr>
      <w:tr>
        <w:trPr>
          <w:trHeight w:val="216"/>
        </w:trPr>
        <w:tc>
          <w:tcPr>
            <w:tcW w:w="3500" w:type="dxa"/>
            <w:vAlign w:val="bottom"/>
            <w:tcBorders>
              <w:left w:val="single" w:sz="8" w:color="auto"/>
              <w:right w:val="single" w:sz="8" w:color="auto"/>
            </w:tcBorders>
            <w:shd w:val="clear" w:color="auto" w:fill="BCBCBC"/>
          </w:tcPr>
          <w:p>
            <w:pPr>
              <w:spacing w:after="0"/>
              <w:rPr>
                <w:sz w:val="18"/>
                <w:szCs w:val="18"/>
                <w:color w:val="auto"/>
              </w:rPr>
            </w:pPr>
          </w:p>
        </w:tc>
        <w:tc>
          <w:tcPr>
            <w:tcW w:w="184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84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8"/>
              </w:rPr>
              <w:t>Value Realized</w:t>
            </w:r>
          </w:p>
        </w:tc>
        <w:tc>
          <w:tcPr>
            <w:tcW w:w="182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84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3500" w:type="dxa"/>
            <w:vAlign w:val="bottom"/>
            <w:tcBorders>
              <w:left w:val="single" w:sz="8" w:color="auto"/>
              <w:right w:val="single" w:sz="8" w:color="auto"/>
            </w:tcBorders>
            <w:shd w:val="clear" w:color="auto" w:fill="BCBCBC"/>
          </w:tcPr>
          <w:p>
            <w:pPr>
              <w:spacing w:after="0"/>
              <w:rPr>
                <w:sz w:val="18"/>
                <w:szCs w:val="18"/>
                <w:color w:val="auto"/>
              </w:rPr>
            </w:pPr>
          </w:p>
        </w:tc>
        <w:tc>
          <w:tcPr>
            <w:tcW w:w="184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840" w:type="dxa"/>
            <w:vAlign w:val="bottom"/>
            <w:tcBorders>
              <w:right w:val="single" w:sz="8" w:color="auto"/>
            </w:tcBorders>
            <w:shd w:val="clear" w:color="auto" w:fill="BCBCBC"/>
          </w:tcPr>
          <w:p>
            <w:pPr>
              <w:jc w:val="center"/>
              <w:spacing w:after="0" w:line="216" w:lineRule="exact"/>
              <w:rPr>
                <w:sz w:val="20"/>
                <w:szCs w:val="20"/>
                <w:color w:val="auto"/>
              </w:rPr>
            </w:pPr>
            <w:r>
              <w:rPr>
                <w:rFonts w:ascii="Arial" w:cs="Arial" w:eastAsia="Arial" w:hAnsi="Arial"/>
                <w:sz w:val="18"/>
                <w:szCs w:val="18"/>
                <w:b w:val="1"/>
                <w:bCs w:val="1"/>
                <w:color w:val="auto"/>
                <w:w w:val="85"/>
              </w:rPr>
              <w:t>on Exercise</w:t>
            </w:r>
            <w:r>
              <w:rPr>
                <w:rFonts w:ascii="Arial" w:cs="Arial" w:eastAsia="Arial" w:hAnsi="Arial"/>
                <w:sz w:val="25"/>
                <w:szCs w:val="25"/>
                <w:b w:val="1"/>
                <w:bCs w:val="1"/>
                <w:color w:val="auto"/>
                <w:w w:val="85"/>
                <w:vertAlign w:val="superscript"/>
              </w:rPr>
              <w:t>(1)</w:t>
            </w:r>
          </w:p>
        </w:tc>
        <w:tc>
          <w:tcPr>
            <w:tcW w:w="182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on Vesting</w:t>
            </w:r>
          </w:p>
        </w:tc>
        <w:tc>
          <w:tcPr>
            <w:tcW w:w="184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on Vesting</w:t>
            </w:r>
          </w:p>
        </w:tc>
      </w:tr>
      <w:tr>
        <w:trPr>
          <w:trHeight w:val="268"/>
        </w:trPr>
        <w:tc>
          <w:tcPr>
            <w:tcW w:w="3500" w:type="dxa"/>
            <w:vAlign w:val="bottom"/>
            <w:tcBorders>
              <w:left w:val="single" w:sz="8" w:color="auto"/>
              <w:bottom w:val="single" w:sz="8" w:color="auto"/>
              <w:right w:val="single" w:sz="8" w:color="auto"/>
            </w:tcBorders>
            <w:shd w:val="clear" w:color="auto" w:fill="BCBCBC"/>
          </w:tcPr>
          <w:p>
            <w:pPr>
              <w:ind w:left="120"/>
              <w:spacing w:after="0"/>
              <w:rPr>
                <w:sz w:val="20"/>
                <w:szCs w:val="20"/>
                <w:color w:val="auto"/>
              </w:rPr>
            </w:pPr>
            <w:r>
              <w:rPr>
                <w:rFonts w:ascii="Arial" w:cs="Arial" w:eastAsia="Arial" w:hAnsi="Arial"/>
                <w:sz w:val="16"/>
                <w:szCs w:val="16"/>
                <w:b w:val="1"/>
                <w:bCs w:val="1"/>
                <w:color w:val="auto"/>
              </w:rPr>
              <w:t>Name</w:t>
            </w:r>
          </w:p>
        </w:tc>
        <w:tc>
          <w:tcPr>
            <w:tcW w:w="1840" w:type="dxa"/>
            <w:vAlign w:val="bottom"/>
            <w:tcBorders>
              <w:bottom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w:t>
            </w:r>
          </w:p>
        </w:tc>
        <w:tc>
          <w:tcPr>
            <w:tcW w:w="1840" w:type="dxa"/>
            <w:vAlign w:val="bottom"/>
            <w:tcBorders>
              <w:bottom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w:t>
            </w:r>
          </w:p>
        </w:tc>
        <w:tc>
          <w:tcPr>
            <w:tcW w:w="1820" w:type="dxa"/>
            <w:vAlign w:val="bottom"/>
            <w:tcBorders>
              <w:bottom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w:t>
            </w:r>
          </w:p>
        </w:tc>
        <w:tc>
          <w:tcPr>
            <w:tcW w:w="1840" w:type="dxa"/>
            <w:vAlign w:val="bottom"/>
            <w:tcBorders>
              <w:bottom w:val="single" w:sz="8" w:color="auto"/>
              <w:right w:val="single" w:sz="8" w:color="auto"/>
            </w:tcBorders>
            <w:shd w:val="clear" w:color="auto" w:fill="BCBCBC"/>
          </w:tcPr>
          <w:p>
            <w:pPr>
              <w:jc w:val="center"/>
              <w:spacing w:after="0" w:line="262"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b w:val="1"/>
                <w:bCs w:val="1"/>
                <w:color w:val="auto"/>
                <w:w w:val="84"/>
                <w:vertAlign w:val="superscript"/>
              </w:rPr>
              <w:t>(2)</w:t>
            </w:r>
          </w:p>
        </w:tc>
      </w:tr>
      <w:tr>
        <w:trPr>
          <w:trHeight w:val="243"/>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227,118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1,201,454</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51,364</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256,345</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50,113</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246,279</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41,572</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214,547</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26,432</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137,140</w:t>
            </w:r>
          </w:p>
        </w:tc>
      </w:tr>
      <w:tr>
        <w:trPr>
          <w:trHeight w:val="34"/>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3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No options were exercised during 2017.</w:t>
      </w:r>
    </w:p>
    <w:p>
      <w:pPr>
        <w:spacing w:after="0" w:line="201" w:lineRule="exact"/>
        <w:rPr>
          <w:rFonts w:ascii="Arial" w:cs="Arial" w:eastAsia="Arial" w:hAnsi="Arial"/>
          <w:sz w:val="25"/>
          <w:szCs w:val="25"/>
          <w:color w:val="auto"/>
          <w:vertAlign w:val="superscript"/>
        </w:rPr>
      </w:pPr>
    </w:p>
    <w:p>
      <w:pPr>
        <w:ind w:left="340" w:right="260" w:hanging="332"/>
        <w:spacing w:after="0" w:line="216"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this column for stock awards are calculated based on the closing price of a share of our common stock on the New York Stock Exchange on the date of vesting.</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no employment agreements with our named executive officers. Therefore, we would treat any termination of employment of a named executive officer as we believe is appropriate in light of the circumstances, subject to the terms of our agreements with the executive, including any equity award agreement and the intellectual property and non-disclosure agreement discussed above under “Restrictive Covenants," our clawback policy and, if applicable, the employment laws of the USVI and our USVI relocation policy. In addition, a named executive officer would typically retain any vested portion of prior equity awards granted through the 1998 Annual Incentive Plan, the 2007 Plan and the 2017 Plan.</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stock option agreements generally provide for accelerated vesting such that, upon a named executive officer’s death, disability, retirement or termination by the Company without cause, in each case as defined in the applicable stock option agreement, all unvested options that vest over a certain time period (“time-based”) would immediately vest. In the event of death, disability, retirement or termination by the Company without cause,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Upon death, disability, retirement or termination by the Company without cause, all vested options generally terminate within a specified timeframe. Upon termination for cause, all vested and unvested options are immediately terminated. Additionally, pursuant to these stock option agreements, if there is a “change of control” as defined in the applicable stock option agreement, all options would immediately vest.</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time-based and performance-based stock unit agreements provide for continued vesting upon a named executive officer’s retirement, disability or death. Upon retirement on or after the first anniversary of the award, or in the event of disability, vesting of the award continues as provided in the award agreement if the named executive officer meets certain conditions relating to cooperation and non-competition as set forth in the agreement. Upon death, vesting also continues as provided in the award agreement. If terminated (other than by retirement, disability or death), any unvested portion of the award shall be terminated on the last day of the named executive officer’s employment. If there is a “change of control” as defined in the applicable stock unit agreement, then all outstanding and unvested awards immediately vest.</w:t>
      </w:r>
    </w:p>
    <w:p>
      <w:pPr>
        <w:spacing w:after="0" w:line="85" w:lineRule="exact"/>
        <w:rPr>
          <w:sz w:val="20"/>
          <w:szCs w:val="20"/>
          <w:color w:val="auto"/>
        </w:rPr>
      </w:pPr>
    </w:p>
    <w:p>
      <w:pPr>
        <w:ind w:left="60" w:right="140"/>
        <w:spacing w:after="0" w:line="264" w:lineRule="auto"/>
        <w:rPr>
          <w:sz w:val="20"/>
          <w:szCs w:val="20"/>
          <w:color w:val="auto"/>
        </w:rPr>
      </w:pPr>
      <w:r>
        <w:rPr>
          <w:rFonts w:ascii="Arial" w:cs="Arial" w:eastAsia="Arial" w:hAnsi="Arial"/>
          <w:sz w:val="18"/>
          <w:szCs w:val="18"/>
          <w:color w:val="auto"/>
        </w:rPr>
        <w:t>As of December 29, 2017 (the last trading day of the year), and based upon a comparison of the closing price of our common stock on the New York Stock Exchange on such date with applicable option exercise prices, none of the stock options for which vesting would accelerate in any of the circumstances referred to above had value.</w:t>
      </w:r>
    </w:p>
    <w:p>
      <w:pPr>
        <w:spacing w:after="0" w:line="18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We believe that the provisions in our equity award agreements that provide for accelerated vesting upon a change in control support our compelling business need to incentivize the retention of key employees during the uncertain times preceding a change in control.</w:t>
      </w:r>
    </w:p>
    <w:p>
      <w:pPr>
        <w:spacing w:after="0" w:line="170" w:lineRule="exact"/>
        <w:rPr>
          <w:sz w:val="20"/>
          <w:szCs w:val="20"/>
          <w:color w:val="auto"/>
        </w:rPr>
      </w:pPr>
    </w:p>
    <w:p>
      <w:pPr>
        <w:ind w:left="60"/>
        <w:spacing w:after="0" w:line="291" w:lineRule="auto"/>
        <w:rPr>
          <w:sz w:val="20"/>
          <w:szCs w:val="20"/>
          <w:color w:val="auto"/>
        </w:rPr>
      </w:pPr>
      <w:r>
        <w:rPr>
          <w:rFonts w:ascii="Arial" w:cs="Arial" w:eastAsia="Arial" w:hAnsi="Arial"/>
          <w:sz w:val="16"/>
          <w:szCs w:val="16"/>
          <w:color w:val="auto"/>
        </w:rPr>
        <w:t>Pursuant to our USVI Relocation Program, upon a participant’s retirement or involuntary termination without cause, such participant is eligible to receive reimbursement for relocation costs back to the continental United States. Messrs. Bourque and Walker qualify for this benefit. In addition, if a participant at the level of executive vice president or above is involuntarily terminated without cause, such participant is eligible to receive a lump sum severance payment equal to one year’s base salary if such termination of employment occurs within the first year following relocation and six months’ base salary if such termination occurs at any time after the first year following relocation. See “USVI Relocation Program” above. Mr. Bourque qualifies for such benefits and, in the event of involuntary termination without cause, would receive a lump sum severance payment equal to six months’ base salary. In addition, the Company separately agreed to provide Mr. Walker with a severance payment equal to six months’ base salary in the event of termination of employment.</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714" w:right="299" w:bottom="1440" w:gutter="0" w:footer="0" w:header="0"/>
        </w:sectPr>
      </w:pPr>
    </w:p>
    <w:bookmarkStart w:id="45" w:name="page46"/>
    <w:bookmarkEnd w:id="45"/>
    <w:p>
      <w:pPr>
        <w:ind w:left="60" w:right="280"/>
        <w:spacing w:after="0" w:line="302" w:lineRule="auto"/>
        <w:rPr>
          <w:sz w:val="20"/>
          <w:szCs w:val="20"/>
          <w:color w:val="auto"/>
        </w:rPr>
      </w:pPr>
      <w:r>
        <w:rPr>
          <w:rFonts w:ascii="Arial" w:cs="Arial" w:eastAsia="Arial" w:hAnsi="Arial"/>
          <w:sz w:val="16"/>
          <w:szCs w:val="16"/>
          <w:color w:val="auto"/>
        </w:rPr>
        <w:t>The table below sets forth the potential benefits that each named executive officer would have been entitled to receive from the Company under the USVI Relocation Program on a termination of his employment under the circumstances described above, and the potential benefits that each named executive officer would have been entitled to receive with respect to accelerated vesting of his equity awards had a termination of his employment under the circumstances described above or a change in control of the Company occurred, assuming that the event occurred on the last day of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124460</wp:posOffset>
            </wp:positionV>
            <wp:extent cx="6894830" cy="1749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1749425"/>
                    </a:xfrm>
                    <a:prstGeom prst="rect">
                      <a:avLst/>
                    </a:prstGeom>
                    <a:noFill/>
                  </pic:spPr>
                </pic:pic>
              </a:graphicData>
            </a:graphic>
          </wp:anchor>
        </w:drawing>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59"/>
        </w:trPr>
        <w:tc>
          <w:tcPr>
            <w:tcW w:w="3720" w:type="dxa"/>
            <w:vAlign w:val="bottom"/>
            <w:tcBorders>
              <w:top w:val="single" w:sz="8" w:color="auto"/>
              <w:right w:val="single" w:sz="8" w:color="auto"/>
            </w:tcBorders>
          </w:tcPr>
          <w:p>
            <w:pPr>
              <w:spacing w:after="0"/>
              <w:rPr>
                <w:sz w:val="22"/>
                <w:szCs w:val="22"/>
                <w:color w:val="auto"/>
              </w:rPr>
            </w:pPr>
          </w:p>
        </w:tc>
        <w:tc>
          <w:tcPr>
            <w:tcW w:w="3580" w:type="dxa"/>
            <w:vAlign w:val="bottom"/>
            <w:tcBorders>
              <w:top w:val="single" w:sz="8" w:color="auto"/>
              <w:right w:val="single" w:sz="8" w:color="auto"/>
            </w:tcBorders>
          </w:tcPr>
          <w:p>
            <w:pPr>
              <w:spacing w:after="0"/>
              <w:rPr>
                <w:sz w:val="22"/>
                <w:szCs w:val="22"/>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of Any Outstanding Equity Awards</w:t>
            </w:r>
          </w:p>
        </w:tc>
      </w:tr>
      <w:tr>
        <w:trPr>
          <w:trHeight w:val="216"/>
        </w:trPr>
        <w:tc>
          <w:tcPr>
            <w:tcW w:w="37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1000"/>
              <w:spacing w:after="0"/>
              <w:rPr>
                <w:sz w:val="20"/>
                <w:szCs w:val="20"/>
                <w:color w:val="auto"/>
              </w:rPr>
            </w:pPr>
            <w:r>
              <w:rPr>
                <w:rFonts w:ascii="Arial" w:cs="Arial" w:eastAsia="Arial" w:hAnsi="Arial"/>
                <w:sz w:val="18"/>
                <w:szCs w:val="18"/>
                <w:b w:val="1"/>
                <w:bCs w:val="1"/>
                <w:color w:val="auto"/>
              </w:rPr>
              <w:t>Severance Payment</w:t>
            </w:r>
          </w:p>
        </w:tc>
        <w:tc>
          <w:tcPr>
            <w:tcW w:w="354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8"/>
              </w:rPr>
              <w:t xml:space="preserve">that Would Accelerate </w:t>
            </w:r>
            <w:r>
              <w:rPr>
                <w:rFonts w:ascii="Arial" w:cs="Arial" w:eastAsia="Arial" w:hAnsi="Arial"/>
                <w:sz w:val="25"/>
                <w:szCs w:val="25"/>
                <w:color w:val="auto"/>
                <w:w w:val="88"/>
                <w:vertAlign w:val="superscript"/>
              </w:rPr>
              <w:t>(3)</w:t>
            </w:r>
          </w:p>
        </w:tc>
      </w:tr>
      <w:tr>
        <w:trPr>
          <w:trHeight w:val="261"/>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34"/>
        </w:trPr>
        <w:tc>
          <w:tcPr>
            <w:tcW w:w="37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3"/>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1,892,532</w:t>
            </w:r>
          </w:p>
        </w:tc>
      </w:tr>
      <w:tr>
        <w:trPr>
          <w:trHeight w:val="27"/>
        </w:trPr>
        <w:tc>
          <w:tcPr>
            <w:tcW w:w="37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318"/>
        </w:trPr>
        <w:tc>
          <w:tcPr>
            <w:tcW w:w="3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(2)</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250,000</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518,133</w:t>
            </w:r>
          </w:p>
        </w:tc>
      </w:tr>
      <w:tr>
        <w:trPr>
          <w:trHeight w:val="237"/>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495,964</w:t>
            </w:r>
          </w:p>
        </w:tc>
      </w:tr>
      <w:tr>
        <w:trPr>
          <w:trHeight w:val="27"/>
        </w:trPr>
        <w:tc>
          <w:tcPr>
            <w:tcW w:w="37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91"/>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467,923</w:t>
            </w:r>
          </w:p>
        </w:tc>
      </w:tr>
      <w:tr>
        <w:trPr>
          <w:trHeight w:val="27"/>
        </w:trPr>
        <w:tc>
          <w:tcPr>
            <w:tcW w:w="37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325"/>
        </w:trPr>
        <w:tc>
          <w:tcPr>
            <w:tcW w:w="3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w:t>
            </w:r>
            <w:r>
              <w:rPr>
                <w:rFonts w:ascii="Arial" w:cs="Arial" w:eastAsia="Arial" w:hAnsi="Arial"/>
                <w:sz w:val="25"/>
                <w:szCs w:val="25"/>
                <w:color w:val="auto"/>
                <w:vertAlign w:val="superscript"/>
              </w:rPr>
              <w:t>(2)</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262,500</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278,106</w:t>
            </w:r>
          </w:p>
        </w:tc>
      </w:tr>
    </w:tbl>
    <w:p>
      <w:pPr>
        <w:spacing w:after="0" w:line="3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As of December 31, 2017.</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Also entitled to expenses associated with relocating to the United States in the event of termination of employment, as discussed above.</w:t>
      </w:r>
    </w:p>
    <w:p>
      <w:pPr>
        <w:spacing w:after="0" w:line="201" w:lineRule="exact"/>
        <w:rPr>
          <w:rFonts w:ascii="Arial" w:cs="Arial" w:eastAsia="Arial" w:hAnsi="Arial"/>
          <w:sz w:val="25"/>
          <w:szCs w:val="25"/>
          <w:color w:val="auto"/>
          <w:vertAlign w:val="superscript"/>
        </w:rPr>
      </w:pPr>
    </w:p>
    <w:p>
      <w:pPr>
        <w:ind w:left="340" w:hanging="332"/>
        <w:spacing w:after="0" w:line="273" w:lineRule="auto"/>
        <w:tabs>
          <w:tab w:leader="none" w:pos="34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The dollar amounts shown in these columns are determined by multiplying (i) the number of unvested restricted stock units held by the named executive officer that would accelerate by (ii) $3.13, the closing price of a share of our common stock on the New York Stock Exchange on December 29, 2017 (the last trading day of the year). Vesting of restricted stock unit awards does not accelerate upon retirement, disability, or death. If terminated other than by retirement, disability or death or in change of control circumstances, any unvested portion of the award shall be terminated on the last day of the named executive officer’s employment. Based upon a comparison of the closing price of our common stock on the New York Stock Exchange on December 29, 2017 with applicable option exercise prices, no stock options for which vesting would accelerate had value.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 – Agreement with Mr. Faris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disclosed on our current report on Form 8-K filed April 19, 2018, the Company entered into a release and restrictive covenants</w:t>
      </w:r>
    </w:p>
    <w:p>
      <w:pPr>
        <w:spacing w:after="0" w:line="23"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color w:val="auto"/>
        </w:rPr>
        <w:t>agreement with Mr. Faris dated April 17, 2018. Under the agreement, Mr. Faris will be subject to two-year non-competition, three-year non-intervention and three-year non-solicitation provisions and will render transition services to the Company for a period of six months. The agreement provides for a lump sum payment of $1,750,000 in respect of the restrictive covenant and consulting</w:t>
      </w:r>
    </w:p>
    <w:p>
      <w:pPr>
        <w:spacing w:after="0" w:line="1" w:lineRule="exact"/>
        <w:rPr>
          <w:sz w:val="20"/>
          <w:szCs w:val="20"/>
          <w:color w:val="auto"/>
        </w:rPr>
      </w:pPr>
    </w:p>
    <w:p>
      <w:pPr>
        <w:ind w:right="2020"/>
        <w:spacing w:after="0" w:line="254" w:lineRule="auto"/>
        <w:rPr>
          <w:sz w:val="20"/>
          <w:szCs w:val="20"/>
          <w:color w:val="auto"/>
        </w:rPr>
      </w:pPr>
      <w:r>
        <w:rPr>
          <w:rFonts w:ascii="Arial" w:cs="Arial" w:eastAsia="Arial" w:hAnsi="Arial"/>
          <w:sz w:val="18"/>
          <w:szCs w:val="18"/>
          <w:color w:val="auto"/>
        </w:rPr>
        <w:t>obligations, a lump sum payment of $1,050,000 in respect of Mr. Faris’ 2018 annual short-term incentive opportunity, continued participation in the Company’s medical plans for 10 years (to the extent permitted by the plan(s)) and continued vesting of his outstanding restricted stock unit and performance stock unit awards in accordance with the terms thereof applicable in the event of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2018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383" w:lineRule="exact"/>
        <w:rPr>
          <w:sz w:val="20"/>
          <w:szCs w:val="20"/>
          <w:color w:val="auto"/>
        </w:rPr>
      </w:pPr>
    </w:p>
    <w:p>
      <w:pPr>
        <w:jc w:val="center"/>
        <w:ind w:left="280" w:right="116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2018.</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9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2017;</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Auditing Standards No. 1301, “Communication with Audit Committees”; and</w:t>
      </w:r>
    </w:p>
    <w:p>
      <w:pPr>
        <w:spacing w:after="0" w:line="116"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pacing w:after="0" w:line="190"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April 19, 2018</w:t>
      </w:r>
      <w:r>
        <w:rPr>
          <w:sz w:val="20"/>
          <w:szCs w:val="20"/>
          <w:color w:val="auto"/>
        </w:rPr>
        <w:tab/>
      </w:r>
      <w:r>
        <w:rPr>
          <w:rFonts w:ascii="Arial" w:cs="Arial" w:eastAsia="Arial" w:hAnsi="Arial"/>
          <w:sz w:val="16"/>
          <w:szCs w:val="16"/>
          <w:b w:val="1"/>
          <w:bCs w:val="1"/>
          <w:color w:val="auto"/>
        </w:rPr>
        <w:t>Audit Committee</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Alan J. Bowers, Chair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J. Lipstein, Director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Salcetti,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2017 and 2016:</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Audit Fees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5,067,000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4,940,000</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Tax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1,723,352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1,435,765</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6,790,352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6,525,765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2017 and 2016, for the reviews of the financial statements included in Ocwen’s quarterly reports on Form 10-Q during fiscal years 2017 and 2016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amounts billed in each of the last two fiscal years by the independent registered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not reported above under “Audit Fees,” “Audit-Related Fees” or “Tax Fees.”</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2017 and the proposed services for 2018 and determined that such services and fees are compatible with the independence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97" w:right="259" w:bottom="1440" w:gutter="0" w:footer="0" w:header="0"/>
        </w:sectPr>
      </w:pPr>
    </w:p>
    <w:bookmarkStart w:id="48" w:name="page49"/>
    <w:bookmarkEnd w:id="48"/>
    <w:p>
      <w:pPr>
        <w:spacing w:after="0" w:line="279" w:lineRule="auto"/>
        <w:rPr>
          <w:sz w:val="20"/>
          <w:szCs w:val="20"/>
          <w:color w:val="auto"/>
        </w:rPr>
      </w:pPr>
      <w:r>
        <w:rPr>
          <w:rFonts w:ascii="Arial" w:cs="Arial" w:eastAsia="Arial" w:hAnsi="Arial"/>
          <w:sz w:val="17"/>
          <w:szCs w:val="17"/>
          <w:b w:val="1"/>
          <w:bCs w:val="1"/>
          <w:i w:val="1"/>
          <w:iCs w:val="1"/>
          <w:color w:val="auto"/>
        </w:rPr>
        <w:t xml:space="preserve">Principles for Audit Committee Pre-Approval of Audit and Non-Audit Services Provided by the Independent Auditor (the “Pre-Approval Principles”).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the beginning of each calendar year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does not delegate its responsibilities to pre-approve services performed by the independent auditor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described in more detail under the heading “Executive Compensation,” we believe our executive compensation programs are effectively designed, are in alignment with the interests of our shareholders and are instrumental to achieving our business strategy. In recent years, shareholder feedback in the form of shareholder advisory votes on Ocwen’s executive compensation has been very positive. At last year’s Annual Meeting of Shareholders, over 97% of votes cast on our Say-on-Pay proposal were in favor of our executive compensation. At each of our Annual Meetings of Shareholders since 2014, we have received at least 96% of votes cast on our Say-on-Pay proposal in favor of our executive compensation. As a result, the Compensation Committee has continued to apply the same principles and philosophy it has used in previous years in determining executive compensation levels, The Compensation Committee and our Board of Directors intends to continue to consider shareholder feedback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2018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2017 Annual Meeting for Shareholders, who voted overwhelmingly to advise the Company to hold Say-on-Pay votes annually. Therefore, we expect that the next such vote will occur at the 2019 annual meeting of shareholders.</w:t>
      </w:r>
    </w:p>
    <w:p>
      <w:pPr>
        <w:spacing w:after="0" w:line="39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and (vii) Altisource Portfolio Solutions, S.A. (“Altisource”), Front Yard Residential Corporation (formerly known as Altisource Residential Corporation), Altisource Asset Management Corporation, or any of their subsidiaries). Our written Code of Business Conduct and Ethics, which is available at </w:t>
      </w:r>
      <w:r>
        <w:rPr>
          <w:rFonts w:ascii="Arial" w:cs="Arial" w:eastAsia="Arial" w:hAnsi="Arial"/>
          <w:sz w:val="16"/>
          <w:szCs w:val="16"/>
          <w:u w:val="single" w:color="auto"/>
          <w:color w:val="auto"/>
        </w:rPr>
        <w:t>www.ocwen.com</w:t>
      </w:r>
      <w:r>
        <w:rPr>
          <w:rFonts w:ascii="Arial" w:cs="Arial" w:eastAsia="Arial" w:hAnsi="Arial"/>
          <w:sz w:val="16"/>
          <w:szCs w:val="16"/>
          <w:color w:val="auto"/>
        </w:rPr>
        <w:t>, also includes policies and procedures that broadly cover situations in which conflicts of interest may arise.</w:t>
      </w:r>
    </w:p>
    <w:p>
      <w:pPr>
        <w:spacing w:after="0" w:line="1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Risk and Compliance Committee (the “Committee”) of the Board of Directors provides independent review, approval and oversight of Related Party Transactions as required under the Policy.</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may consider the following factors, as well as any others it deems appropriate, to the extent relevant to the transaction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 of such Related Party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William C. Erbey beneficially owned approximately 15.1% of our common stock as of December 31, 2017 and continues to beneficially own approximately 7.5% of our common stock as of April 16, 2018, in each case based solely on information contained in filings with the Securities and Exchange Commission. In addition, Mr. Erbey owned approximately 33.5% of the common stock of Altisource as of December 1, 2017 based solely on information contained in filings with the Securities and Exchange Commission. As a result of these ownership interests, we have determined that Mr. Erbey may be considered to have an indirect material interest in our transactions with Altisource for purposes of applicable Securities and Exchange Commission rules.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relationship with Altisource is governed by a series of agreements that set forth the terms on which we do business with Altisource. The key agreements are summarized below.</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of Ocwen Financial Corporation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residential property valuation services and residential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currently provides title services to Liberty Home Equity Solutions, Inc.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51" w:name="page52"/>
    <w:bookmarkEnd w:id="51"/>
    <w:p>
      <w:pPr>
        <w:ind w:right="40"/>
        <w:spacing w:after="0" w:line="269" w:lineRule="auto"/>
        <w:rPr>
          <w:sz w:val="20"/>
          <w:szCs w:val="20"/>
          <w:color w:val="auto"/>
        </w:rPr>
      </w:pPr>
      <w:r>
        <w:rPr>
          <w:rFonts w:ascii="Arial" w:cs="Arial" w:eastAsia="Arial" w:hAnsi="Arial"/>
          <w:sz w:val="17"/>
          <w:szCs w:val="17"/>
          <w:color w:val="auto"/>
        </w:rPr>
        <w:t>Our servicing system runs on an information technology system that we license from Altisource (the REALServicing</w:t>
      </w:r>
      <w:r>
        <w:rPr>
          <w:rFonts w:ascii="Arial" w:cs="Arial" w:eastAsia="Arial" w:hAnsi="Arial"/>
          <w:sz w:val="17"/>
          <w:szCs w:val="17"/>
          <w:color w:val="auto"/>
          <w:vertAlign w:val="superscript"/>
        </w:rPr>
        <w:t>®</w:t>
      </w:r>
      <w:r>
        <w:rPr>
          <w:rFonts w:ascii="Arial" w:cs="Arial" w:eastAsia="Arial" w:hAnsi="Arial"/>
          <w:sz w:val="17"/>
          <w:szCs w:val="17"/>
          <w:color w:val="auto"/>
        </w:rPr>
        <w:t xml:space="preserve"> system) pursuant to a statement of work under the Technology Products Services Agreements. We are currently in the process of transitioning to a new servicing system and have entered into agreements with certain subsidiaries of Black Knight, Inc. (Black Knight) pursuant to which we plan to transition to Black Knight’s LoanSphere MSP</w:t>
      </w:r>
      <w:r>
        <w:rPr>
          <w:rFonts w:ascii="Arial" w:cs="Arial" w:eastAsia="Arial" w:hAnsi="Arial"/>
          <w:sz w:val="17"/>
          <w:szCs w:val="17"/>
          <w:color w:val="auto"/>
          <w:vertAlign w:val="superscript"/>
        </w:rPr>
        <w:t>®</w:t>
      </w:r>
      <w:r>
        <w:rPr>
          <w:rFonts w:ascii="Arial" w:cs="Arial" w:eastAsia="Arial" w:hAnsi="Arial"/>
          <w:sz w:val="17"/>
          <w:szCs w:val="17"/>
          <w:color w:val="auto"/>
        </w:rPr>
        <w:t xml:space="preserve"> servicing system. Based on substantive discussions with Altisource prior to entering into our agreements with Black Knight, Ocwen expects to enter into mutually acceptable agreements that provide for Ocwen’s transition to the new servicing system and the termination of the statement of work for the use of the REALServicing system. In addition, PHH Corporation, with whom we have entered into an Agreement and Plan of Merger, currently utilizes the MSP servicing system for its servicing operations. If the PHH transaction closes, which is currently expected to occur in the second half of 2018, Ocwen intends to transfer the loans it services to the MSP platform utilized by PHH, which may accelerate our transition to MSP. However, until we complete our transition to MSP, we remain substantially dependent on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w:t>
      </w:r>
    </w:p>
    <w:p>
      <w:pPr>
        <w:spacing w:after="0" w:line="1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 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2017 we subleased office space from Altisource in Atlanta, Georgia and we subleased office space to Altisource at our Fort Washington, Pennsylvania office. Both subleases have now been terminated.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2017, we generated revenues of $0.1 million under our agreements with Altisource, and we paid expenses of $53.3 million to Altisource. At December 31, 2017, the net amount payable to Altisource was $4.4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Similar to most other public companies, we have indemnification obligations to our current and former directors and officers, including the advancement of expenses in certain circumstances. During 2017, in accordance with our indemnification obligations, we advanced approximately $685,980 with respect to certain litigation-related expenses incurred by Mr. Erbey by reason of the fact he was a director and officer of Ocwen prior to his resignation in January 2015. Since his resignation, Mr. Erbey has had no directorial, management, oversight, consulting or other role at Ocwen. Mr. Erbey has provided an undertaking to repay all amounts advanced to the extent that it is ultimately determined that he is not entitled to be indemnified.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016" w:right="259" w:bottom="1440" w:gutter="0" w:footer="0" w:header="0"/>
        </w:sectPr>
      </w:pPr>
    </w:p>
    <w:bookmarkStart w:id="52" w:name="page53"/>
    <w:bookmarkEnd w:id="52"/>
    <w:p>
      <w:pPr>
        <w:ind w:left="2440"/>
        <w:spacing w:after="0"/>
        <w:rPr>
          <w:sz w:val="20"/>
          <w:szCs w:val="20"/>
          <w:color w:val="auto"/>
        </w:rPr>
      </w:pPr>
      <w:r>
        <w:rPr>
          <w:rFonts w:ascii="Arial" w:cs="Arial" w:eastAsia="Arial" w:hAnsi="Arial"/>
          <w:sz w:val="18"/>
          <w:szCs w:val="18"/>
          <w:b w:val="1"/>
          <w:bCs w:val="1"/>
          <w:color w:val="auto"/>
        </w:rPr>
        <w:t>SUBMISSION OF SHAREHOLDER PROPOSALS FOR 2019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to be Considered for Inclusion in Proxy Materials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2019 Annual Meeting of Shareholders, must be received by the Secretary of Ocwen at our principal executive offices no later than December 20, 2018 and must comply with the procedures prescribed in Rule 14a-8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Not Intended for Inclusion in Proxy Materials and for Nomination of Director Candidates.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2019 Annual Meeting, we must receive written notice of the proposal or nomination no earlier than December 20, 2018 and no later than January 19, 2019,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2019 proxy materials and notices of intent to present a proposal or nomination directly at the 2019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2017 was mailed on or about April 19, 2018 to shareholders of record as of March 23, 2018.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2017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this proxy statement and 2017 annual report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2017, and (iii) “for” the approval, on an advisory basis, of the compensation of our named executive officers as disclosed in this proxy statement.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2018 Annual Meeting. If you are interested in attending the meeting and voting in person, please see “Annual Meeting Admission” above for further details on admission requirements.</w:t>
      </w:r>
    </w:p>
    <w:p>
      <w:pPr>
        <w:spacing w:after="0" w:line="1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96" w:right="259" w:bottom="1440" w:gutter="0" w:footer="0" w:header="0"/>
        </w:sectPr>
      </w:pPr>
    </w:p>
    <w:bookmarkStart w:id="53" w:name="page54"/>
    <w:bookmarkEnd w:id="53"/>
    <w:p>
      <w:pPr>
        <w:ind w:right="240"/>
        <w:spacing w:after="0" w:line="255" w:lineRule="auto"/>
        <w:rPr>
          <w:sz w:val="20"/>
          <w:szCs w:val="20"/>
          <w:color w:val="auto"/>
        </w:rPr>
      </w:pPr>
      <w:r>
        <w:rPr>
          <w:rFonts w:ascii="Arial" w:cs="Arial" w:eastAsia="Arial" w:hAnsi="Arial"/>
          <w:sz w:val="18"/>
          <w:szCs w:val="18"/>
          <w:color w:val="auto"/>
        </w:rPr>
        <w:t>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proxy statement and our 2017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5848985" cy="757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lvl>
    <w:lvl w:ilvl="1">
      <w:lvlJc w:val="left"/>
      <w:lvlText w:val="o"/>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amp;"/>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7"/>
    </w:lvl>
  </w:abstractNum>
  <w:abstractNum w:abstractNumId="18">
    <w:nsid w:val="836C40E"/>
    <w:multiLevelType w:val="hybridMultilevel"/>
    <w:lvl w:ilvl="0">
      <w:lvlJc w:val="left"/>
      <w:lvlText w:val="1"/>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2"/>
      <w:numFmt w:val="bullet"/>
      <w:start w:val="1"/>
    </w:lvl>
  </w:abstractNum>
  <w:abstractNum w:abstractNumId="29">
    <w:nsid w:val="614FD4A1"/>
    <w:multiLevelType w:val="hybridMultilevel"/>
    <w:lvl w:ilvl="0">
      <w:lvlJc w:val="left"/>
      <w:lvlText w:val="3"/>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8"/>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4"/>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2019-12-05T21:29:48Z</dcterms:created>
  <dcterms:modified xsi:type="dcterms:W3CDTF">2019-12-05T21:29:48Z</dcterms:modified>
</cp:coreProperties>
</file>